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85731" w14:textId="77777777" w:rsidR="004243C5" w:rsidRDefault="004243C5">
      <w:pPr>
        <w:widowControl/>
        <w:rPr>
          <w:noProof/>
        </w:rPr>
      </w:pPr>
    </w:p>
    <w:p w14:paraId="3CDFD903" w14:textId="20549798" w:rsidR="005343B1" w:rsidRDefault="005343B1">
      <w:pPr>
        <w:widowControl/>
        <w:rPr>
          <w:noProof/>
        </w:rPr>
      </w:pPr>
      <w:r>
        <w:rPr>
          <w:noProof/>
        </w:rPr>
        <w:drawing>
          <wp:inline distT="0" distB="0" distL="0" distR="0" wp14:anchorId="771B50B8" wp14:editId="3A59C12C">
            <wp:extent cx="5961780" cy="4391660"/>
            <wp:effectExtent l="0" t="0" r="1270" b="8890"/>
            <wp:docPr id="2073872653"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872653" name="圖片 1" descr="一張含有 文字, 螢幕擷取畫面, 軟體, 電腦圖示 的圖片&#10;&#10;自動產生的描述"/>
                    <pic:cNvPicPr/>
                  </pic:nvPicPr>
                  <pic:blipFill rotWithShape="1">
                    <a:blip r:embed="rId8"/>
                    <a:srcRect l="29272" t="14665" r="36501" b="40509"/>
                    <a:stretch/>
                  </pic:blipFill>
                  <pic:spPr bwMode="auto">
                    <a:xfrm>
                      <a:off x="0" y="0"/>
                      <a:ext cx="5974795" cy="440124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szCs w:val="24"/>
          <w:lang w:val="en-GB"/>
        </w:rPr>
        <w:br w:type="page"/>
      </w:r>
    </w:p>
    <w:p w14:paraId="1943C9FD" w14:textId="1CCD57A1" w:rsidR="005343B1" w:rsidRDefault="005343B1">
      <w:pPr>
        <w:widowControl/>
        <w:rPr>
          <w:rFonts w:ascii="Times New Roman" w:hAnsi="Times New Roman"/>
          <w:szCs w:val="24"/>
          <w:lang w:val="en-GB"/>
        </w:rPr>
      </w:pPr>
    </w:p>
    <w:p w14:paraId="75C97518" w14:textId="77777777" w:rsidR="008D7AAD" w:rsidRPr="001167C1" w:rsidRDefault="008D7AAD" w:rsidP="001167C1">
      <w:pPr>
        <w:adjustRightInd w:val="0"/>
        <w:snapToGrid w:val="0"/>
        <w:spacing w:line="360" w:lineRule="auto"/>
        <w:jc w:val="center"/>
        <w:rPr>
          <w:rFonts w:ascii="Times New Roman" w:hAnsi="Times New Roman"/>
          <w:szCs w:val="24"/>
          <w:lang w:val="en-GB"/>
        </w:rPr>
      </w:pPr>
    </w:p>
    <w:p w14:paraId="72FCCD6A" w14:textId="77777777" w:rsidR="003C1399" w:rsidRPr="001167C1" w:rsidRDefault="003C1399" w:rsidP="001167C1">
      <w:pPr>
        <w:adjustRightInd w:val="0"/>
        <w:snapToGrid w:val="0"/>
        <w:spacing w:line="360" w:lineRule="auto"/>
        <w:jc w:val="both"/>
        <w:rPr>
          <w:rFonts w:ascii="Times New Roman" w:hAnsi="Times New Roman"/>
          <w:b/>
          <w:szCs w:val="24"/>
          <w:lang w:val="en-HK"/>
        </w:rPr>
      </w:pPr>
    </w:p>
    <w:p w14:paraId="67614CF2" w14:textId="77777777" w:rsidR="003C1399" w:rsidRPr="001167C1" w:rsidRDefault="003C1399" w:rsidP="001167C1">
      <w:pPr>
        <w:adjustRightInd w:val="0"/>
        <w:snapToGrid w:val="0"/>
        <w:spacing w:line="360" w:lineRule="auto"/>
        <w:jc w:val="center"/>
        <w:rPr>
          <w:rFonts w:ascii="Times New Roman" w:hAnsi="Times New Roman"/>
          <w:b/>
          <w:szCs w:val="24"/>
          <w:lang w:val="en-HK"/>
        </w:rPr>
      </w:pPr>
      <w:r w:rsidRPr="001167C1">
        <w:rPr>
          <w:rFonts w:ascii="Times New Roman" w:hAnsi="Times New Roman"/>
          <w:b/>
          <w:noProof/>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1167C1" w:rsidRDefault="003C1399" w:rsidP="001167C1">
      <w:pPr>
        <w:adjustRightInd w:val="0"/>
        <w:snapToGrid w:val="0"/>
        <w:spacing w:line="360" w:lineRule="auto"/>
        <w:jc w:val="center"/>
        <w:rPr>
          <w:rFonts w:ascii="Times New Roman" w:hAnsi="Times New Roman"/>
          <w:b/>
          <w:szCs w:val="24"/>
          <w:lang w:val="en-HK"/>
        </w:rPr>
      </w:pPr>
    </w:p>
    <w:p w14:paraId="009B300F" w14:textId="77777777" w:rsidR="003C1399" w:rsidRPr="001167C1" w:rsidRDefault="003C1399" w:rsidP="001167C1">
      <w:pPr>
        <w:adjustRightInd w:val="0"/>
        <w:snapToGrid w:val="0"/>
        <w:spacing w:line="360" w:lineRule="auto"/>
        <w:jc w:val="center"/>
        <w:rPr>
          <w:rFonts w:ascii="Times New Roman" w:hAnsi="Times New Roman"/>
          <w:b/>
          <w:szCs w:val="24"/>
          <w:lang w:val="en-HK"/>
        </w:rPr>
      </w:pPr>
    </w:p>
    <w:p w14:paraId="18C8F440" w14:textId="348C3C49" w:rsidR="00313CFB" w:rsidRPr="001167C1" w:rsidRDefault="00E940F0" w:rsidP="001167C1">
      <w:pPr>
        <w:adjustRightInd w:val="0"/>
        <w:snapToGrid w:val="0"/>
        <w:spacing w:line="360" w:lineRule="auto"/>
        <w:jc w:val="center"/>
        <w:rPr>
          <w:rFonts w:ascii="Times New Roman" w:hAnsi="Times New Roman"/>
          <w:b/>
          <w:szCs w:val="24"/>
          <w:lang w:val="en-HK"/>
        </w:rPr>
      </w:pPr>
      <w:r w:rsidRPr="001167C1">
        <w:rPr>
          <w:rFonts w:ascii="Times New Roman" w:hAnsi="Times New Roman"/>
          <w:color w:val="000000"/>
          <w:szCs w:val="24"/>
        </w:rPr>
        <w:t>UWTSD MBA HKBM7009</w:t>
      </w:r>
      <w:r w:rsidRPr="001167C1">
        <w:rPr>
          <w:rFonts w:ascii="Times New Roman" w:hAnsi="Times New Roman"/>
          <w:color w:val="000000"/>
          <w:szCs w:val="24"/>
        </w:rPr>
        <w:br/>
        <w:t>(UWMBA-30013-202</w:t>
      </w:r>
      <w:r w:rsidR="009E6700" w:rsidRPr="001167C1">
        <w:rPr>
          <w:rFonts w:ascii="Times New Roman" w:hAnsi="Times New Roman"/>
          <w:color w:val="000000"/>
          <w:szCs w:val="24"/>
        </w:rPr>
        <w:t>3</w:t>
      </w:r>
      <w:r w:rsidRPr="001167C1">
        <w:rPr>
          <w:rFonts w:ascii="Times New Roman" w:hAnsi="Times New Roman"/>
          <w:color w:val="000000"/>
          <w:szCs w:val="24"/>
        </w:rPr>
        <w:t>-1-SS)</w:t>
      </w:r>
    </w:p>
    <w:p w14:paraId="1E48F155" w14:textId="25999459" w:rsidR="00313CFB" w:rsidRPr="001167C1" w:rsidRDefault="00CD7E3B" w:rsidP="001167C1">
      <w:pPr>
        <w:adjustRightInd w:val="0"/>
        <w:snapToGrid w:val="0"/>
        <w:spacing w:line="360" w:lineRule="auto"/>
        <w:jc w:val="center"/>
        <w:rPr>
          <w:rFonts w:ascii="Times New Roman" w:hAnsi="Times New Roman"/>
          <w:bCs/>
          <w:szCs w:val="24"/>
          <w:lang w:val="en-HK"/>
        </w:rPr>
      </w:pPr>
      <w:r w:rsidRPr="001167C1">
        <w:rPr>
          <w:rFonts w:ascii="Times New Roman" w:hAnsi="Times New Roman"/>
          <w:bCs/>
          <w:szCs w:val="24"/>
          <w:lang w:val="en-HK"/>
        </w:rPr>
        <w:t xml:space="preserve">HKBM7009 </w:t>
      </w:r>
      <w:r w:rsidR="00E940F0" w:rsidRPr="001167C1">
        <w:rPr>
          <w:rFonts w:ascii="Times New Roman" w:hAnsi="Times New Roman"/>
          <w:bCs/>
          <w:szCs w:val="24"/>
          <w:lang w:val="en-HK"/>
        </w:rPr>
        <w:t xml:space="preserve">Global Business Challenges </w:t>
      </w:r>
    </w:p>
    <w:p w14:paraId="2C46C56B" w14:textId="1E35C84E" w:rsidR="00313CFB" w:rsidRPr="001167C1" w:rsidRDefault="00313CFB" w:rsidP="001167C1">
      <w:pPr>
        <w:adjustRightInd w:val="0"/>
        <w:snapToGrid w:val="0"/>
        <w:spacing w:line="360" w:lineRule="auto"/>
        <w:jc w:val="center"/>
        <w:rPr>
          <w:rFonts w:ascii="Times New Roman" w:hAnsi="Times New Roman"/>
          <w:b/>
          <w:szCs w:val="24"/>
          <w:lang w:val="en-HK"/>
        </w:rPr>
      </w:pPr>
    </w:p>
    <w:p w14:paraId="10522B82" w14:textId="6A1EBF65" w:rsidR="00E940F0" w:rsidRPr="001167C1" w:rsidRDefault="00E940F0" w:rsidP="001167C1">
      <w:pPr>
        <w:adjustRightInd w:val="0"/>
        <w:snapToGrid w:val="0"/>
        <w:spacing w:line="360" w:lineRule="auto"/>
        <w:jc w:val="center"/>
        <w:rPr>
          <w:rFonts w:ascii="Times New Roman" w:hAnsi="Times New Roman"/>
          <w:b/>
          <w:szCs w:val="24"/>
          <w:lang w:val="en-HK"/>
        </w:rPr>
      </w:pPr>
    </w:p>
    <w:p w14:paraId="38A16873" w14:textId="2330C6B1" w:rsidR="00684616" w:rsidRPr="001167C1" w:rsidRDefault="00684616" w:rsidP="001167C1">
      <w:pPr>
        <w:adjustRightInd w:val="0"/>
        <w:snapToGrid w:val="0"/>
        <w:spacing w:line="360" w:lineRule="auto"/>
        <w:jc w:val="center"/>
        <w:rPr>
          <w:rFonts w:ascii="Times New Roman" w:hAnsi="Times New Roman"/>
          <w:b/>
          <w:szCs w:val="24"/>
          <w:lang w:val="en-HK"/>
        </w:rPr>
      </w:pPr>
    </w:p>
    <w:p w14:paraId="21432FA5" w14:textId="20DCC255" w:rsidR="00684616" w:rsidRPr="001167C1" w:rsidRDefault="004857C6" w:rsidP="001167C1">
      <w:pPr>
        <w:adjustRightInd w:val="0"/>
        <w:snapToGrid w:val="0"/>
        <w:spacing w:line="360" w:lineRule="auto"/>
        <w:jc w:val="center"/>
        <w:rPr>
          <w:rFonts w:ascii="Times New Roman" w:hAnsi="Times New Roman"/>
          <w:b/>
          <w:szCs w:val="24"/>
          <w:lang w:val="en-HK"/>
        </w:rPr>
      </w:pPr>
      <w:r w:rsidRPr="001167C1">
        <w:rPr>
          <w:rFonts w:ascii="Times New Roman" w:hAnsi="Times New Roman"/>
          <w:b/>
          <w:kern w:val="0"/>
          <w:szCs w:val="24"/>
          <w:lang w:val="en-GB"/>
        </w:rPr>
        <w:t xml:space="preserve">An Analytical Report on the </w:t>
      </w:r>
      <w:r w:rsidR="005D3924" w:rsidRPr="001167C1">
        <w:rPr>
          <w:rFonts w:ascii="Times New Roman" w:hAnsi="Times New Roman"/>
          <w:b/>
          <w:kern w:val="0"/>
          <w:szCs w:val="24"/>
          <w:lang w:val="en-GB"/>
        </w:rPr>
        <w:t>T</w:t>
      </w:r>
      <w:r w:rsidRPr="001167C1">
        <w:rPr>
          <w:rFonts w:ascii="Times New Roman" w:hAnsi="Times New Roman"/>
          <w:b/>
          <w:kern w:val="0"/>
          <w:szCs w:val="24"/>
          <w:lang w:val="en-GB"/>
        </w:rPr>
        <w:t>rend Movement of a Key Indicator of the Global Economy</w:t>
      </w:r>
    </w:p>
    <w:p w14:paraId="36DDE773" w14:textId="77777777" w:rsidR="004857C6" w:rsidRPr="001167C1" w:rsidRDefault="004857C6" w:rsidP="001167C1">
      <w:pPr>
        <w:adjustRightInd w:val="0"/>
        <w:snapToGrid w:val="0"/>
        <w:spacing w:line="360" w:lineRule="auto"/>
        <w:jc w:val="center"/>
        <w:rPr>
          <w:rFonts w:ascii="Times New Roman" w:hAnsi="Times New Roman"/>
          <w:b/>
          <w:szCs w:val="24"/>
          <w:lang w:val="en-HK"/>
        </w:rPr>
      </w:pPr>
      <w:r w:rsidRPr="001167C1">
        <w:rPr>
          <w:rFonts w:ascii="Times New Roman" w:hAnsi="Times New Roman"/>
          <w:b/>
          <w:szCs w:val="24"/>
          <w:lang w:val="en-HK"/>
        </w:rPr>
        <w:t xml:space="preserve"> </w:t>
      </w:r>
    </w:p>
    <w:p w14:paraId="6108190B" w14:textId="77777777" w:rsidR="003C1399" w:rsidRPr="001167C1" w:rsidRDefault="003C1399" w:rsidP="001167C1">
      <w:pPr>
        <w:adjustRightInd w:val="0"/>
        <w:snapToGrid w:val="0"/>
        <w:spacing w:line="360" w:lineRule="auto"/>
        <w:jc w:val="center"/>
        <w:rPr>
          <w:rFonts w:ascii="Times New Roman" w:hAnsi="Times New Roman"/>
          <w:b/>
          <w:szCs w:val="24"/>
          <w:lang w:val="en-HK"/>
        </w:rPr>
      </w:pPr>
    </w:p>
    <w:p w14:paraId="0FD2F0AB" w14:textId="4F85D380" w:rsidR="003C1399" w:rsidRPr="001167C1" w:rsidRDefault="003C1399" w:rsidP="001167C1">
      <w:pPr>
        <w:adjustRightInd w:val="0"/>
        <w:snapToGrid w:val="0"/>
        <w:spacing w:line="360" w:lineRule="auto"/>
        <w:rPr>
          <w:rFonts w:ascii="Times New Roman" w:hAnsi="Times New Roman"/>
          <w:b/>
          <w:szCs w:val="24"/>
          <w:lang w:val="en-HK"/>
        </w:rPr>
      </w:pPr>
    </w:p>
    <w:p w14:paraId="5D9608A1" w14:textId="77777777" w:rsidR="003C1399" w:rsidRPr="001167C1" w:rsidRDefault="003C1399" w:rsidP="001167C1">
      <w:pPr>
        <w:adjustRightInd w:val="0"/>
        <w:snapToGrid w:val="0"/>
        <w:spacing w:line="360" w:lineRule="auto"/>
        <w:jc w:val="both"/>
        <w:rPr>
          <w:rFonts w:ascii="Times New Roman" w:hAnsi="Times New Roman"/>
          <w:b/>
          <w:szCs w:val="24"/>
          <w:lang w:val="en-HK"/>
        </w:rPr>
      </w:pPr>
    </w:p>
    <w:p w14:paraId="5FD5EC24" w14:textId="77777777" w:rsidR="003C1399" w:rsidRPr="001167C1" w:rsidRDefault="003C1399" w:rsidP="001167C1">
      <w:pPr>
        <w:adjustRightInd w:val="0"/>
        <w:snapToGrid w:val="0"/>
        <w:spacing w:line="360" w:lineRule="auto"/>
        <w:jc w:val="both"/>
        <w:rPr>
          <w:rFonts w:ascii="Times New Roman" w:hAnsi="Times New Roman"/>
          <w:b/>
          <w:szCs w:val="24"/>
          <w:lang w:val="en-HK"/>
        </w:rPr>
      </w:pPr>
    </w:p>
    <w:p w14:paraId="1A89CACF" w14:textId="41370FF1" w:rsidR="00313CFB" w:rsidRPr="001167C1" w:rsidRDefault="003C1399" w:rsidP="001167C1">
      <w:pPr>
        <w:adjustRightInd w:val="0"/>
        <w:snapToGrid w:val="0"/>
        <w:spacing w:line="360" w:lineRule="auto"/>
        <w:jc w:val="center"/>
        <w:rPr>
          <w:rFonts w:ascii="Times New Roman" w:hAnsi="Times New Roman"/>
          <w:szCs w:val="24"/>
          <w:lang w:val="en-HK"/>
        </w:rPr>
      </w:pPr>
      <w:r w:rsidRPr="001167C1">
        <w:rPr>
          <w:rFonts w:ascii="Times New Roman" w:hAnsi="Times New Roman"/>
          <w:szCs w:val="24"/>
          <w:lang w:val="en-HK"/>
        </w:rPr>
        <w:t>A</w:t>
      </w:r>
      <w:r w:rsidR="00313CFB" w:rsidRPr="001167C1">
        <w:rPr>
          <w:rFonts w:ascii="Times New Roman" w:hAnsi="Times New Roman"/>
          <w:szCs w:val="24"/>
          <w:lang w:val="en-HK"/>
        </w:rPr>
        <w:t>n</w:t>
      </w:r>
      <w:r w:rsidRPr="001167C1">
        <w:rPr>
          <w:rFonts w:ascii="Times New Roman" w:hAnsi="Times New Roman"/>
          <w:szCs w:val="24"/>
          <w:lang w:val="en-HK"/>
        </w:rPr>
        <w:t xml:space="preserve"> </w:t>
      </w:r>
      <w:r w:rsidR="00313CFB" w:rsidRPr="001167C1">
        <w:rPr>
          <w:rFonts w:ascii="Times New Roman" w:hAnsi="Times New Roman"/>
          <w:szCs w:val="24"/>
          <w:lang w:val="en-HK"/>
        </w:rPr>
        <w:t xml:space="preserve">Analytical Report </w:t>
      </w:r>
      <w:r w:rsidRPr="001167C1">
        <w:rPr>
          <w:rFonts w:ascii="Times New Roman" w:hAnsi="Times New Roman"/>
          <w:szCs w:val="24"/>
          <w:lang w:val="en-HK"/>
        </w:rPr>
        <w:t xml:space="preserve">Submitted in </w:t>
      </w:r>
      <w:r w:rsidR="00313CFB" w:rsidRPr="001167C1">
        <w:rPr>
          <w:rFonts w:ascii="Times New Roman" w:hAnsi="Times New Roman"/>
          <w:szCs w:val="24"/>
          <w:lang w:val="en-HK"/>
        </w:rPr>
        <w:t xml:space="preserve">Contribution to 100% </w:t>
      </w:r>
      <w:r w:rsidR="00E940F0" w:rsidRPr="001167C1">
        <w:rPr>
          <w:rFonts w:ascii="Times New Roman" w:hAnsi="Times New Roman"/>
          <w:szCs w:val="24"/>
          <w:lang w:val="en-HK"/>
        </w:rPr>
        <w:t xml:space="preserve">Module </w:t>
      </w:r>
      <w:r w:rsidR="00313CFB" w:rsidRPr="001167C1">
        <w:rPr>
          <w:rFonts w:ascii="Times New Roman" w:hAnsi="Times New Roman"/>
          <w:szCs w:val="24"/>
          <w:lang w:val="en-HK"/>
        </w:rPr>
        <w:t>Assessment</w:t>
      </w:r>
    </w:p>
    <w:p w14:paraId="2CD1113F" w14:textId="786B66B7" w:rsidR="003C1399" w:rsidRPr="001167C1" w:rsidRDefault="003C1399" w:rsidP="001167C1">
      <w:pPr>
        <w:adjustRightInd w:val="0"/>
        <w:snapToGrid w:val="0"/>
        <w:spacing w:line="360" w:lineRule="auto"/>
        <w:jc w:val="center"/>
        <w:rPr>
          <w:rFonts w:ascii="Times New Roman" w:hAnsi="Times New Roman"/>
          <w:szCs w:val="24"/>
          <w:lang w:val="en-HK"/>
        </w:rPr>
      </w:pPr>
    </w:p>
    <w:p w14:paraId="6B8F7480" w14:textId="77777777" w:rsidR="003C1399" w:rsidRPr="001167C1" w:rsidRDefault="003C1399" w:rsidP="001167C1">
      <w:pPr>
        <w:adjustRightInd w:val="0"/>
        <w:snapToGrid w:val="0"/>
        <w:spacing w:line="360" w:lineRule="auto"/>
        <w:jc w:val="both"/>
        <w:rPr>
          <w:rFonts w:ascii="Times New Roman" w:hAnsi="Times New Roman"/>
          <w:b/>
          <w:szCs w:val="24"/>
          <w:lang w:val="en-HK"/>
        </w:rPr>
      </w:pPr>
      <w:r w:rsidRPr="001167C1">
        <w:rPr>
          <w:rFonts w:ascii="Times New Roman" w:hAnsi="Times New Roman"/>
          <w:b/>
          <w:szCs w:val="24"/>
          <w:lang w:val="en-HK"/>
        </w:rPr>
        <w:t xml:space="preserve"> </w:t>
      </w:r>
    </w:p>
    <w:p w14:paraId="35996AE6" w14:textId="59A6C6A8" w:rsidR="00684616" w:rsidRPr="001167C1" w:rsidRDefault="00684616" w:rsidP="001167C1">
      <w:pPr>
        <w:adjustRightInd w:val="0"/>
        <w:snapToGrid w:val="0"/>
        <w:spacing w:line="360" w:lineRule="auto"/>
        <w:jc w:val="both"/>
        <w:rPr>
          <w:rFonts w:ascii="Times New Roman" w:hAnsi="Times New Roman"/>
          <w:b/>
          <w:szCs w:val="24"/>
          <w:lang w:val="en-HK"/>
        </w:rPr>
      </w:pPr>
    </w:p>
    <w:p w14:paraId="6E1FF159" w14:textId="77777777" w:rsidR="00684616" w:rsidRPr="001167C1" w:rsidRDefault="00684616" w:rsidP="001167C1">
      <w:pPr>
        <w:adjustRightInd w:val="0"/>
        <w:snapToGrid w:val="0"/>
        <w:spacing w:line="360" w:lineRule="auto"/>
        <w:jc w:val="both"/>
        <w:rPr>
          <w:rFonts w:ascii="Times New Roman" w:hAnsi="Times New Roman"/>
          <w:b/>
          <w:szCs w:val="24"/>
          <w:lang w:val="en-HK"/>
        </w:rPr>
      </w:pPr>
    </w:p>
    <w:p w14:paraId="3F260072" w14:textId="77777777" w:rsidR="003C1399" w:rsidRPr="001167C1" w:rsidRDefault="003C1399" w:rsidP="001167C1">
      <w:pPr>
        <w:adjustRightInd w:val="0"/>
        <w:snapToGrid w:val="0"/>
        <w:spacing w:line="360" w:lineRule="auto"/>
        <w:jc w:val="both"/>
        <w:rPr>
          <w:rFonts w:ascii="Times New Roman" w:hAnsi="Times New Roman"/>
          <w:b/>
          <w:szCs w:val="24"/>
          <w:lang w:val="en-HK"/>
        </w:rPr>
      </w:pPr>
    </w:p>
    <w:p w14:paraId="2FEBE151" w14:textId="77777777" w:rsidR="003C1399" w:rsidRPr="001167C1" w:rsidRDefault="003C1399" w:rsidP="001167C1">
      <w:pPr>
        <w:adjustRightInd w:val="0"/>
        <w:snapToGrid w:val="0"/>
        <w:spacing w:line="360" w:lineRule="auto"/>
        <w:jc w:val="both"/>
        <w:rPr>
          <w:rFonts w:ascii="Times New Roman" w:hAnsi="Times New Roman"/>
          <w:b/>
          <w:szCs w:val="24"/>
          <w:lang w:val="en-HK"/>
        </w:rPr>
      </w:pPr>
    </w:p>
    <w:tbl>
      <w:tblPr>
        <w:tblW w:w="8610" w:type="dxa"/>
        <w:tblLayout w:type="fixed"/>
        <w:tblLook w:val="04A0" w:firstRow="1" w:lastRow="0" w:firstColumn="1" w:lastColumn="0" w:noHBand="0" w:noVBand="1"/>
      </w:tblPr>
      <w:tblGrid>
        <w:gridCol w:w="2942"/>
        <w:gridCol w:w="284"/>
        <w:gridCol w:w="5384"/>
      </w:tblGrid>
      <w:tr w:rsidR="003C1399" w:rsidRPr="001167C1" w14:paraId="1DAA85DD" w14:textId="77777777" w:rsidTr="00E940F0">
        <w:tc>
          <w:tcPr>
            <w:tcW w:w="2942" w:type="dxa"/>
            <w:hideMark/>
          </w:tcPr>
          <w:p w14:paraId="3C195889" w14:textId="77777777" w:rsidR="003C1399" w:rsidRPr="001167C1" w:rsidRDefault="003C1399" w:rsidP="001167C1">
            <w:pPr>
              <w:tabs>
                <w:tab w:val="left" w:pos="4606"/>
              </w:tabs>
              <w:adjustRightInd w:val="0"/>
              <w:snapToGrid w:val="0"/>
              <w:spacing w:line="360" w:lineRule="auto"/>
              <w:jc w:val="both"/>
              <w:rPr>
                <w:rFonts w:ascii="Times New Roman" w:hAnsi="Times New Roman"/>
                <w:b/>
                <w:szCs w:val="24"/>
                <w:lang w:val="en-HK"/>
              </w:rPr>
            </w:pPr>
            <w:r w:rsidRPr="001167C1">
              <w:rPr>
                <w:rFonts w:ascii="Times New Roman" w:hAnsi="Times New Roman"/>
                <w:b/>
                <w:szCs w:val="24"/>
                <w:lang w:val="en-HK"/>
              </w:rPr>
              <w:t>Student Name</w:t>
            </w:r>
          </w:p>
        </w:tc>
        <w:tc>
          <w:tcPr>
            <w:tcW w:w="284" w:type="dxa"/>
            <w:hideMark/>
          </w:tcPr>
          <w:p w14:paraId="33665D5B" w14:textId="77777777" w:rsidR="003C1399" w:rsidRPr="001167C1" w:rsidRDefault="003C1399" w:rsidP="001167C1">
            <w:pPr>
              <w:tabs>
                <w:tab w:val="left" w:pos="4606"/>
              </w:tabs>
              <w:adjustRightInd w:val="0"/>
              <w:snapToGrid w:val="0"/>
              <w:spacing w:line="360" w:lineRule="auto"/>
              <w:jc w:val="both"/>
              <w:rPr>
                <w:rFonts w:ascii="Times New Roman" w:hAnsi="Times New Roman"/>
                <w:b/>
                <w:szCs w:val="24"/>
                <w:lang w:val="en-HK"/>
              </w:rPr>
            </w:pPr>
            <w:r w:rsidRPr="001167C1">
              <w:rPr>
                <w:rFonts w:ascii="Times New Roman" w:hAnsi="Times New Roman"/>
                <w:b/>
                <w:szCs w:val="24"/>
                <w:lang w:val="en-HK"/>
              </w:rPr>
              <w:t>：</w:t>
            </w:r>
          </w:p>
        </w:tc>
        <w:tc>
          <w:tcPr>
            <w:tcW w:w="5384" w:type="dxa"/>
          </w:tcPr>
          <w:p w14:paraId="327DC2E4" w14:textId="189F562C" w:rsidR="003C1399" w:rsidRPr="001167C1" w:rsidRDefault="003527ED" w:rsidP="001167C1">
            <w:pPr>
              <w:tabs>
                <w:tab w:val="left" w:pos="4606"/>
              </w:tabs>
              <w:adjustRightInd w:val="0"/>
              <w:snapToGrid w:val="0"/>
              <w:spacing w:line="360" w:lineRule="auto"/>
              <w:jc w:val="both"/>
              <w:rPr>
                <w:rFonts w:ascii="Times New Roman" w:hAnsi="Times New Roman"/>
                <w:szCs w:val="24"/>
                <w:lang w:val="en-HK"/>
              </w:rPr>
            </w:pPr>
            <w:r w:rsidRPr="001167C1">
              <w:rPr>
                <w:rFonts w:ascii="Times New Roman" w:hAnsi="Times New Roman"/>
                <w:szCs w:val="24"/>
                <w:lang w:val="en-HK"/>
              </w:rPr>
              <w:t>Luk Yau Yee</w:t>
            </w:r>
          </w:p>
        </w:tc>
      </w:tr>
      <w:tr w:rsidR="003C1399" w:rsidRPr="001167C1" w14:paraId="32CBE455" w14:textId="77777777" w:rsidTr="00E940F0">
        <w:tc>
          <w:tcPr>
            <w:tcW w:w="2942" w:type="dxa"/>
            <w:hideMark/>
          </w:tcPr>
          <w:p w14:paraId="31DE2B61" w14:textId="77777777" w:rsidR="003C1399" w:rsidRPr="001167C1" w:rsidRDefault="003C1399" w:rsidP="001167C1">
            <w:pPr>
              <w:tabs>
                <w:tab w:val="left" w:pos="4606"/>
              </w:tabs>
              <w:adjustRightInd w:val="0"/>
              <w:snapToGrid w:val="0"/>
              <w:spacing w:line="360" w:lineRule="auto"/>
              <w:jc w:val="both"/>
              <w:rPr>
                <w:rFonts w:ascii="Times New Roman" w:hAnsi="Times New Roman"/>
                <w:b/>
                <w:szCs w:val="24"/>
                <w:lang w:val="en-HK"/>
              </w:rPr>
            </w:pPr>
            <w:r w:rsidRPr="001167C1">
              <w:rPr>
                <w:rFonts w:ascii="Times New Roman" w:hAnsi="Times New Roman"/>
                <w:b/>
                <w:szCs w:val="24"/>
                <w:lang w:val="en-HK"/>
              </w:rPr>
              <w:t>Student ID Number</w:t>
            </w:r>
          </w:p>
        </w:tc>
        <w:tc>
          <w:tcPr>
            <w:tcW w:w="284" w:type="dxa"/>
            <w:hideMark/>
          </w:tcPr>
          <w:p w14:paraId="3332F5A4" w14:textId="77777777" w:rsidR="003C1399" w:rsidRPr="001167C1" w:rsidRDefault="003C1399" w:rsidP="001167C1">
            <w:pPr>
              <w:tabs>
                <w:tab w:val="left" w:pos="4606"/>
              </w:tabs>
              <w:adjustRightInd w:val="0"/>
              <w:snapToGrid w:val="0"/>
              <w:spacing w:line="360" w:lineRule="auto"/>
              <w:jc w:val="both"/>
              <w:rPr>
                <w:rFonts w:ascii="Times New Roman" w:hAnsi="Times New Roman"/>
                <w:b/>
                <w:szCs w:val="24"/>
                <w:lang w:val="en-HK"/>
              </w:rPr>
            </w:pPr>
            <w:r w:rsidRPr="001167C1">
              <w:rPr>
                <w:rFonts w:ascii="Times New Roman" w:hAnsi="Times New Roman"/>
                <w:b/>
                <w:szCs w:val="24"/>
                <w:lang w:val="en-HK"/>
              </w:rPr>
              <w:t>：</w:t>
            </w:r>
          </w:p>
        </w:tc>
        <w:tc>
          <w:tcPr>
            <w:tcW w:w="5384" w:type="dxa"/>
          </w:tcPr>
          <w:p w14:paraId="20AD48BB" w14:textId="0EDAE0B9" w:rsidR="003C1399" w:rsidRPr="001167C1" w:rsidRDefault="003527ED" w:rsidP="001167C1">
            <w:pPr>
              <w:tabs>
                <w:tab w:val="left" w:pos="4606"/>
              </w:tabs>
              <w:adjustRightInd w:val="0"/>
              <w:snapToGrid w:val="0"/>
              <w:spacing w:line="360" w:lineRule="auto"/>
              <w:jc w:val="both"/>
              <w:rPr>
                <w:rFonts w:ascii="Times New Roman" w:hAnsi="Times New Roman"/>
                <w:szCs w:val="24"/>
                <w:lang w:val="en-HK"/>
              </w:rPr>
            </w:pPr>
            <w:r w:rsidRPr="001167C1">
              <w:rPr>
                <w:rFonts w:ascii="Times New Roman" w:hAnsi="Times New Roman"/>
                <w:szCs w:val="24"/>
                <w:lang w:val="en-HK"/>
              </w:rPr>
              <w:t>2247753</w:t>
            </w:r>
          </w:p>
        </w:tc>
      </w:tr>
      <w:tr w:rsidR="003C1399" w:rsidRPr="001167C1" w14:paraId="0396F091" w14:textId="77777777" w:rsidTr="00E940F0">
        <w:tc>
          <w:tcPr>
            <w:tcW w:w="2942" w:type="dxa"/>
          </w:tcPr>
          <w:p w14:paraId="44642F0D" w14:textId="0D05ECAA" w:rsidR="003C1399" w:rsidRPr="001167C1" w:rsidRDefault="003C1399" w:rsidP="001167C1">
            <w:pPr>
              <w:tabs>
                <w:tab w:val="left" w:pos="4606"/>
              </w:tabs>
              <w:adjustRightInd w:val="0"/>
              <w:snapToGrid w:val="0"/>
              <w:spacing w:line="360" w:lineRule="auto"/>
              <w:jc w:val="both"/>
              <w:rPr>
                <w:rFonts w:ascii="Times New Roman" w:hAnsi="Times New Roman"/>
                <w:b/>
                <w:szCs w:val="24"/>
                <w:lang w:val="en-HK"/>
              </w:rPr>
            </w:pPr>
            <w:r w:rsidRPr="001167C1">
              <w:rPr>
                <w:rFonts w:ascii="Times New Roman" w:hAnsi="Times New Roman"/>
                <w:b/>
                <w:szCs w:val="24"/>
                <w:lang w:val="en-HK"/>
              </w:rPr>
              <w:t>Date of Submission</w:t>
            </w:r>
          </w:p>
        </w:tc>
        <w:tc>
          <w:tcPr>
            <w:tcW w:w="284" w:type="dxa"/>
            <w:hideMark/>
          </w:tcPr>
          <w:p w14:paraId="526DE28F" w14:textId="77777777" w:rsidR="003C1399" w:rsidRPr="001167C1" w:rsidRDefault="003C1399" w:rsidP="001167C1">
            <w:pPr>
              <w:tabs>
                <w:tab w:val="left" w:pos="4606"/>
              </w:tabs>
              <w:adjustRightInd w:val="0"/>
              <w:snapToGrid w:val="0"/>
              <w:spacing w:line="360" w:lineRule="auto"/>
              <w:jc w:val="both"/>
              <w:rPr>
                <w:rFonts w:ascii="Times New Roman" w:hAnsi="Times New Roman"/>
                <w:b/>
                <w:szCs w:val="24"/>
                <w:lang w:val="en-HK"/>
              </w:rPr>
            </w:pPr>
            <w:r w:rsidRPr="001167C1">
              <w:rPr>
                <w:rFonts w:ascii="Times New Roman" w:hAnsi="Times New Roman"/>
                <w:b/>
                <w:szCs w:val="24"/>
                <w:lang w:val="en-HK"/>
              </w:rPr>
              <w:t>：</w:t>
            </w:r>
          </w:p>
        </w:tc>
        <w:tc>
          <w:tcPr>
            <w:tcW w:w="5384" w:type="dxa"/>
            <w:hideMark/>
          </w:tcPr>
          <w:p w14:paraId="5C9963CF" w14:textId="43E27C11" w:rsidR="003C1399" w:rsidRPr="001167C1" w:rsidRDefault="009E6700" w:rsidP="001167C1">
            <w:pPr>
              <w:tabs>
                <w:tab w:val="left" w:pos="4606"/>
              </w:tabs>
              <w:adjustRightInd w:val="0"/>
              <w:snapToGrid w:val="0"/>
              <w:spacing w:line="360" w:lineRule="auto"/>
              <w:jc w:val="both"/>
              <w:rPr>
                <w:rFonts w:ascii="Times New Roman" w:hAnsi="Times New Roman"/>
                <w:szCs w:val="24"/>
                <w:lang w:val="en-HK"/>
              </w:rPr>
            </w:pPr>
            <w:r w:rsidRPr="001167C1">
              <w:rPr>
                <w:rFonts w:ascii="Times New Roman" w:hAnsi="Times New Roman"/>
                <w:szCs w:val="24"/>
                <w:lang w:val="en-HK"/>
              </w:rPr>
              <w:t>11</w:t>
            </w:r>
            <w:r w:rsidR="00E940F0" w:rsidRPr="001167C1">
              <w:rPr>
                <w:rFonts w:ascii="Times New Roman" w:hAnsi="Times New Roman"/>
                <w:szCs w:val="24"/>
                <w:lang w:val="en-HK"/>
              </w:rPr>
              <w:t xml:space="preserve"> </w:t>
            </w:r>
            <w:r w:rsidRPr="001167C1">
              <w:rPr>
                <w:rFonts w:ascii="Times New Roman" w:hAnsi="Times New Roman"/>
                <w:szCs w:val="24"/>
                <w:lang w:val="en-HK"/>
              </w:rPr>
              <w:t>March</w:t>
            </w:r>
            <w:r w:rsidR="00E940F0" w:rsidRPr="001167C1">
              <w:rPr>
                <w:rFonts w:ascii="Times New Roman" w:hAnsi="Times New Roman"/>
                <w:szCs w:val="24"/>
                <w:lang w:val="en-HK"/>
              </w:rPr>
              <w:t xml:space="preserve"> 202</w:t>
            </w:r>
            <w:r w:rsidR="008349B4" w:rsidRPr="001167C1">
              <w:rPr>
                <w:rFonts w:ascii="Times New Roman" w:hAnsi="Times New Roman"/>
                <w:szCs w:val="24"/>
                <w:lang w:val="en-HK"/>
              </w:rPr>
              <w:t>4</w:t>
            </w:r>
          </w:p>
        </w:tc>
      </w:tr>
      <w:tr w:rsidR="00E940F0" w:rsidRPr="001167C1" w14:paraId="3D778F36" w14:textId="77777777" w:rsidTr="00E940F0">
        <w:tc>
          <w:tcPr>
            <w:tcW w:w="2942" w:type="dxa"/>
          </w:tcPr>
          <w:p w14:paraId="3C5CF1D2" w14:textId="0079BCEE" w:rsidR="00E940F0" w:rsidRPr="001167C1" w:rsidRDefault="00E940F0" w:rsidP="001167C1">
            <w:pPr>
              <w:tabs>
                <w:tab w:val="left" w:pos="4606"/>
              </w:tabs>
              <w:adjustRightInd w:val="0"/>
              <w:snapToGrid w:val="0"/>
              <w:spacing w:line="360" w:lineRule="auto"/>
              <w:jc w:val="both"/>
              <w:rPr>
                <w:rFonts w:ascii="Times New Roman" w:hAnsi="Times New Roman"/>
                <w:b/>
                <w:szCs w:val="24"/>
                <w:lang w:val="en-HK"/>
              </w:rPr>
            </w:pPr>
            <w:r w:rsidRPr="001167C1">
              <w:rPr>
                <w:rFonts w:ascii="Times New Roman" w:hAnsi="Times New Roman"/>
                <w:b/>
                <w:szCs w:val="24"/>
                <w:lang w:val="en-HK"/>
              </w:rPr>
              <w:t>Lecturer</w:t>
            </w:r>
          </w:p>
        </w:tc>
        <w:tc>
          <w:tcPr>
            <w:tcW w:w="284" w:type="dxa"/>
          </w:tcPr>
          <w:p w14:paraId="54B5CBA5" w14:textId="2B4F1065" w:rsidR="00E940F0" w:rsidRPr="001167C1" w:rsidRDefault="00E940F0" w:rsidP="001167C1">
            <w:pPr>
              <w:tabs>
                <w:tab w:val="left" w:pos="4606"/>
              </w:tabs>
              <w:adjustRightInd w:val="0"/>
              <w:snapToGrid w:val="0"/>
              <w:spacing w:line="360" w:lineRule="auto"/>
              <w:jc w:val="both"/>
              <w:rPr>
                <w:rFonts w:ascii="Times New Roman" w:hAnsi="Times New Roman"/>
                <w:b/>
                <w:szCs w:val="24"/>
                <w:lang w:val="en-HK"/>
              </w:rPr>
            </w:pPr>
            <w:r w:rsidRPr="001167C1">
              <w:rPr>
                <w:rFonts w:ascii="Times New Roman" w:hAnsi="Times New Roman"/>
                <w:b/>
                <w:szCs w:val="24"/>
                <w:lang w:val="en-HK"/>
              </w:rPr>
              <w:t>：</w:t>
            </w:r>
          </w:p>
        </w:tc>
        <w:tc>
          <w:tcPr>
            <w:tcW w:w="5384" w:type="dxa"/>
          </w:tcPr>
          <w:p w14:paraId="5D526849" w14:textId="7A4B362D" w:rsidR="00E940F0" w:rsidRPr="001167C1" w:rsidRDefault="00E940F0" w:rsidP="001167C1">
            <w:pPr>
              <w:tabs>
                <w:tab w:val="left" w:pos="4606"/>
              </w:tabs>
              <w:adjustRightInd w:val="0"/>
              <w:snapToGrid w:val="0"/>
              <w:spacing w:line="360" w:lineRule="auto"/>
              <w:jc w:val="both"/>
              <w:rPr>
                <w:rFonts w:ascii="Times New Roman" w:hAnsi="Times New Roman"/>
                <w:szCs w:val="24"/>
                <w:lang w:val="en-HK"/>
              </w:rPr>
            </w:pPr>
            <w:proofErr w:type="spellStart"/>
            <w:r w:rsidRPr="001167C1">
              <w:rPr>
                <w:rFonts w:ascii="Times New Roman" w:hAnsi="Times New Roman"/>
                <w:szCs w:val="24"/>
                <w:lang w:val="en-HK"/>
              </w:rPr>
              <w:t>Dr.</w:t>
            </w:r>
            <w:proofErr w:type="spellEnd"/>
            <w:r w:rsidRPr="001167C1">
              <w:rPr>
                <w:rFonts w:ascii="Times New Roman" w:hAnsi="Times New Roman"/>
                <w:szCs w:val="24"/>
                <w:lang w:val="en-HK"/>
              </w:rPr>
              <w:t xml:space="preserve"> Che Cheong Poon</w:t>
            </w:r>
          </w:p>
        </w:tc>
      </w:tr>
    </w:tbl>
    <w:p w14:paraId="5097A186" w14:textId="77777777" w:rsidR="003C1399" w:rsidRPr="001167C1" w:rsidRDefault="003C1399" w:rsidP="001167C1">
      <w:pPr>
        <w:autoSpaceDE w:val="0"/>
        <w:autoSpaceDN w:val="0"/>
        <w:adjustRightInd w:val="0"/>
        <w:snapToGrid w:val="0"/>
        <w:spacing w:line="360" w:lineRule="auto"/>
        <w:rPr>
          <w:rFonts w:ascii="Times New Roman" w:hAnsi="Times New Roman"/>
          <w:b/>
          <w:bCs/>
          <w:kern w:val="0"/>
          <w:szCs w:val="24"/>
          <w:lang w:val="en-HK"/>
        </w:rPr>
      </w:pPr>
    </w:p>
    <w:p w14:paraId="0FBA2A24" w14:textId="77777777" w:rsidR="004238D8" w:rsidRPr="001167C1" w:rsidRDefault="004238D8" w:rsidP="001167C1">
      <w:pPr>
        <w:spacing w:line="360" w:lineRule="auto"/>
        <w:jc w:val="both"/>
        <w:rPr>
          <w:rFonts w:ascii="Times New Roman" w:eastAsia="標楷體" w:hAnsi="Times New Roman"/>
          <w:b/>
          <w:smallCaps/>
          <w:szCs w:val="24"/>
          <w:u w:val="single"/>
          <w:lang w:val="en-GB"/>
        </w:rPr>
        <w:sectPr w:rsidR="004238D8" w:rsidRPr="001167C1" w:rsidSect="00A27B5B">
          <w:footerReference w:type="even" r:id="rId10"/>
          <w:footerReference w:type="default" r:id="rId11"/>
          <w:pgSz w:w="11906" w:h="16838"/>
          <w:pgMar w:top="1134" w:right="1134" w:bottom="1134" w:left="1134" w:header="851" w:footer="992" w:gutter="0"/>
          <w:pgNumType w:fmt="lowerRoman" w:start="1"/>
          <w:cols w:space="425"/>
          <w:titlePg/>
          <w:docGrid w:type="lines" w:linePitch="360"/>
        </w:sectPr>
      </w:pPr>
    </w:p>
    <w:p w14:paraId="73EF718E" w14:textId="77777777" w:rsidR="004238D8" w:rsidRPr="001167C1" w:rsidRDefault="004238D8" w:rsidP="001167C1">
      <w:pPr>
        <w:spacing w:line="360" w:lineRule="auto"/>
        <w:jc w:val="both"/>
        <w:rPr>
          <w:rFonts w:ascii="Times New Roman" w:hAnsi="Times New Roman"/>
          <w:b/>
          <w:szCs w:val="24"/>
          <w:u w:val="single"/>
        </w:rPr>
      </w:pPr>
    </w:p>
    <w:p w14:paraId="43E4438E" w14:textId="119885FE" w:rsidR="00B638D9" w:rsidRPr="001167C1" w:rsidRDefault="00311ADA" w:rsidP="001167C1">
      <w:pPr>
        <w:adjustRightInd w:val="0"/>
        <w:spacing w:line="360" w:lineRule="auto"/>
        <w:jc w:val="center"/>
        <w:rPr>
          <w:rFonts w:ascii="Times New Roman" w:hAnsi="Times New Roman"/>
          <w:b/>
          <w:szCs w:val="24"/>
          <w:u w:val="single"/>
        </w:rPr>
      </w:pPr>
      <w:r w:rsidRPr="001167C1">
        <w:rPr>
          <w:rFonts w:ascii="Times New Roman" w:hAnsi="Times New Roman"/>
          <w:color w:val="000000"/>
          <w:szCs w:val="24"/>
        </w:rPr>
        <w:t>UWTSD MBA (</w:t>
      </w:r>
      <w:r w:rsidR="002904D7" w:rsidRPr="001167C1">
        <w:rPr>
          <w:rFonts w:ascii="Times New Roman" w:hAnsi="Times New Roman"/>
          <w:color w:val="000000"/>
          <w:szCs w:val="24"/>
        </w:rPr>
        <w:t>May</w:t>
      </w:r>
      <w:r w:rsidRPr="001167C1">
        <w:rPr>
          <w:rFonts w:ascii="Times New Roman" w:hAnsi="Times New Roman"/>
          <w:color w:val="000000"/>
          <w:szCs w:val="24"/>
        </w:rPr>
        <w:t xml:space="preserve"> </w:t>
      </w:r>
      <w:r w:rsidR="002904D7" w:rsidRPr="001167C1">
        <w:rPr>
          <w:rFonts w:ascii="Times New Roman" w:hAnsi="Times New Roman"/>
          <w:color w:val="000000"/>
          <w:szCs w:val="24"/>
        </w:rPr>
        <w:t>20</w:t>
      </w:r>
      <w:r w:rsidR="00DF39E6" w:rsidRPr="001167C1">
        <w:rPr>
          <w:rFonts w:ascii="Times New Roman" w:hAnsi="Times New Roman"/>
          <w:color w:val="000000"/>
          <w:szCs w:val="24"/>
        </w:rPr>
        <w:t>2</w:t>
      </w:r>
      <w:r w:rsidR="008349B4" w:rsidRPr="001167C1">
        <w:rPr>
          <w:rFonts w:ascii="Times New Roman" w:hAnsi="Times New Roman"/>
          <w:color w:val="000000"/>
          <w:szCs w:val="24"/>
        </w:rPr>
        <w:t>3</w:t>
      </w:r>
      <w:r w:rsidRPr="001167C1">
        <w:rPr>
          <w:rFonts w:ascii="Times New Roman" w:hAnsi="Times New Roman"/>
          <w:color w:val="000000"/>
          <w:szCs w:val="24"/>
        </w:rPr>
        <w:t xml:space="preserve"> intake</w:t>
      </w:r>
      <w:r w:rsidR="002904D7" w:rsidRPr="001167C1">
        <w:rPr>
          <w:rFonts w:ascii="Times New Roman" w:hAnsi="Times New Roman"/>
          <w:color w:val="000000"/>
          <w:szCs w:val="24"/>
        </w:rPr>
        <w:t>s</w:t>
      </w:r>
      <w:r w:rsidRPr="001167C1">
        <w:rPr>
          <w:rFonts w:ascii="Times New Roman" w:hAnsi="Times New Roman"/>
          <w:color w:val="000000"/>
          <w:szCs w:val="24"/>
        </w:rPr>
        <w:t xml:space="preserve">) </w:t>
      </w:r>
      <w:r w:rsidR="002904D7" w:rsidRPr="001167C1">
        <w:rPr>
          <w:rFonts w:ascii="Times New Roman" w:hAnsi="Times New Roman"/>
          <w:color w:val="000000"/>
          <w:szCs w:val="24"/>
        </w:rPr>
        <w:br/>
        <w:t>BMMB700</w:t>
      </w:r>
      <w:r w:rsidR="00DF39E6" w:rsidRPr="001167C1">
        <w:rPr>
          <w:rFonts w:ascii="Times New Roman" w:hAnsi="Times New Roman"/>
          <w:color w:val="000000"/>
          <w:szCs w:val="24"/>
        </w:rPr>
        <w:t>9</w:t>
      </w:r>
      <w:r w:rsidR="002904D7" w:rsidRPr="001167C1">
        <w:rPr>
          <w:rFonts w:ascii="Times New Roman" w:hAnsi="Times New Roman"/>
          <w:color w:val="000000"/>
          <w:szCs w:val="24"/>
        </w:rPr>
        <w:t xml:space="preserve"> Global Business Challenges</w:t>
      </w:r>
    </w:p>
    <w:p w14:paraId="270078E0" w14:textId="77777777" w:rsidR="00B638D9" w:rsidRPr="001167C1" w:rsidRDefault="00B638D9" w:rsidP="001167C1">
      <w:pPr>
        <w:adjustRightInd w:val="0"/>
        <w:spacing w:line="360" w:lineRule="auto"/>
        <w:jc w:val="center"/>
        <w:rPr>
          <w:rFonts w:ascii="Times New Roman" w:hAnsi="Times New Roman"/>
          <w:b/>
          <w:szCs w:val="24"/>
          <w:u w:val="single"/>
        </w:rPr>
      </w:pPr>
    </w:p>
    <w:p w14:paraId="5829FE7E" w14:textId="32996A07" w:rsidR="00311ADA" w:rsidRPr="001167C1" w:rsidRDefault="00311ADA" w:rsidP="001167C1">
      <w:pPr>
        <w:spacing w:line="360" w:lineRule="auto"/>
        <w:rPr>
          <w:rFonts w:ascii="Times New Roman" w:hAnsi="Times New Roman"/>
          <w:szCs w:val="24"/>
        </w:rPr>
      </w:pPr>
      <w:r w:rsidRPr="001167C1">
        <w:rPr>
          <w:rFonts w:ascii="Times New Roman" w:hAnsi="Times New Roman"/>
          <w:szCs w:val="24"/>
        </w:rPr>
        <w:t>Assignment Title:</w:t>
      </w:r>
      <w:r w:rsidR="00850120" w:rsidRPr="001167C1">
        <w:rPr>
          <w:rFonts w:ascii="Times New Roman" w:hAnsi="Times New Roman"/>
          <w:szCs w:val="24"/>
        </w:rPr>
        <w:t xml:space="preserve"> </w:t>
      </w:r>
      <w:r w:rsidR="005345F7" w:rsidRPr="001167C1">
        <w:rPr>
          <w:rFonts w:ascii="Times New Roman" w:hAnsi="Times New Roman"/>
          <w:szCs w:val="24"/>
        </w:rPr>
        <w:t xml:space="preserve">An Analytical Report on the Trend Movement of a Key Indicator of the Global Economy: </w:t>
      </w:r>
      <w:r w:rsidR="003527ED" w:rsidRPr="001167C1">
        <w:rPr>
          <w:rFonts w:ascii="Times New Roman" w:hAnsi="Times New Roman"/>
          <w:szCs w:val="24"/>
        </w:rPr>
        <w:t>The trend movement of GDP per capita in Hong Kong, China, India, United States and United Kingdom</w:t>
      </w:r>
    </w:p>
    <w:p w14:paraId="7C296744" w14:textId="77777777" w:rsidR="00BB4C1B" w:rsidRPr="001167C1" w:rsidRDefault="00BB4C1B" w:rsidP="001167C1">
      <w:pPr>
        <w:spacing w:line="360" w:lineRule="auto"/>
        <w:jc w:val="both"/>
        <w:rPr>
          <w:rFonts w:ascii="Times New Roman" w:hAnsi="Times New Roman"/>
          <w:szCs w:val="24"/>
        </w:rPr>
      </w:pPr>
    </w:p>
    <w:p w14:paraId="0AB70F5B" w14:textId="7AADEC62" w:rsidR="004238D8" w:rsidRPr="001167C1" w:rsidRDefault="00B25B3D" w:rsidP="001167C1">
      <w:pPr>
        <w:spacing w:line="360" w:lineRule="auto"/>
        <w:jc w:val="both"/>
        <w:rPr>
          <w:rFonts w:ascii="Times New Roman" w:hAnsi="Times New Roman"/>
          <w:szCs w:val="24"/>
        </w:rPr>
      </w:pPr>
      <w:r w:rsidRPr="001167C1">
        <w:rPr>
          <w:rFonts w:ascii="Times New Roman" w:hAnsi="Times New Roman"/>
          <w:szCs w:val="24"/>
        </w:rPr>
        <w:t xml:space="preserve">“I, </w:t>
      </w:r>
      <w:r w:rsidR="003527ED" w:rsidRPr="001167C1">
        <w:rPr>
          <w:rFonts w:ascii="Times New Roman" w:hAnsi="Times New Roman"/>
          <w:szCs w:val="24"/>
        </w:rPr>
        <w:t>Luk Yau Yee (2247753)</w:t>
      </w:r>
      <w:r w:rsidRPr="001167C1">
        <w:rPr>
          <w:rFonts w:ascii="Times New Roman" w:hAnsi="Times New Roman"/>
          <w:szCs w:val="24"/>
        </w:rPr>
        <w:t xml:space="preserve">, </w:t>
      </w:r>
      <w:r w:rsidR="004238D8" w:rsidRPr="001167C1">
        <w:rPr>
          <w:rFonts w:ascii="Times New Roman" w:hAnsi="Times New Roman"/>
          <w:szCs w:val="24"/>
        </w:rPr>
        <w:t xml:space="preserve">certify this work is the result of my own investigations, except where otherwise stated.  All references have been duly </w:t>
      </w:r>
      <w:proofErr w:type="gramStart"/>
      <w:r w:rsidR="004238D8" w:rsidRPr="001167C1">
        <w:rPr>
          <w:rFonts w:ascii="Times New Roman" w:hAnsi="Times New Roman"/>
          <w:szCs w:val="24"/>
        </w:rPr>
        <w:t>cited</w:t>
      </w:r>
      <w:proofErr w:type="gramEnd"/>
      <w:r w:rsidR="004238D8" w:rsidRPr="001167C1">
        <w:rPr>
          <w:rFonts w:ascii="Times New Roman" w:hAnsi="Times New Roman"/>
          <w:szCs w:val="24"/>
        </w:rPr>
        <w:t>”</w:t>
      </w:r>
    </w:p>
    <w:p w14:paraId="2001BEE3" w14:textId="77777777" w:rsidR="004238D8" w:rsidRPr="001167C1" w:rsidRDefault="004238D8" w:rsidP="001167C1">
      <w:pPr>
        <w:spacing w:line="360" w:lineRule="auto"/>
        <w:jc w:val="both"/>
        <w:rPr>
          <w:rFonts w:ascii="Times New Roman" w:hAnsi="Times New Roman"/>
          <w:szCs w:val="24"/>
        </w:rPr>
      </w:pPr>
    </w:p>
    <w:p w14:paraId="1B6FA4C1" w14:textId="77777777" w:rsidR="00B638D9" w:rsidRPr="001167C1" w:rsidRDefault="00B638D9" w:rsidP="001167C1">
      <w:pPr>
        <w:spacing w:line="360" w:lineRule="auto"/>
        <w:jc w:val="both"/>
        <w:rPr>
          <w:rFonts w:ascii="Times New Roman" w:hAnsi="Times New Roman"/>
          <w:szCs w:val="24"/>
        </w:rPr>
      </w:pPr>
    </w:p>
    <w:p w14:paraId="25103C95" w14:textId="77777777" w:rsidR="00B638D9" w:rsidRPr="001167C1" w:rsidRDefault="00B638D9" w:rsidP="001167C1">
      <w:pPr>
        <w:spacing w:line="360" w:lineRule="auto"/>
        <w:jc w:val="both"/>
        <w:rPr>
          <w:rFonts w:ascii="Times New Roman" w:hAnsi="Times New Roman"/>
          <w:szCs w:val="24"/>
        </w:rPr>
      </w:pPr>
    </w:p>
    <w:p w14:paraId="7AF0EA01" w14:textId="77777777" w:rsidR="004238D8" w:rsidRPr="001167C1" w:rsidRDefault="004238D8" w:rsidP="001167C1">
      <w:pPr>
        <w:spacing w:line="360" w:lineRule="auto"/>
        <w:jc w:val="both"/>
        <w:rPr>
          <w:rFonts w:ascii="Times New Roman" w:hAnsi="Times New Roman"/>
          <w:b/>
          <w:szCs w:val="24"/>
        </w:rPr>
      </w:pPr>
    </w:p>
    <w:p w14:paraId="074E2C51" w14:textId="24CA30E6" w:rsidR="004238D8" w:rsidRPr="001167C1" w:rsidRDefault="004238D8" w:rsidP="001167C1">
      <w:pPr>
        <w:spacing w:line="360" w:lineRule="auto"/>
        <w:jc w:val="both"/>
        <w:rPr>
          <w:rFonts w:ascii="Times New Roman" w:hAnsi="Times New Roman"/>
          <w:szCs w:val="24"/>
        </w:rPr>
      </w:pPr>
      <w:r w:rsidRPr="001167C1">
        <w:rPr>
          <w:rFonts w:ascii="Times New Roman" w:hAnsi="Times New Roman"/>
          <w:szCs w:val="24"/>
        </w:rPr>
        <w:t>Signed</w:t>
      </w:r>
      <w:r w:rsidR="000C61E4" w:rsidRPr="001167C1">
        <w:rPr>
          <w:rFonts w:ascii="Times New Roman" w:hAnsi="Times New Roman"/>
          <w:szCs w:val="24"/>
        </w:rPr>
        <w:t>:</w:t>
      </w:r>
      <w:r w:rsidR="00B25B3D" w:rsidRPr="001167C1">
        <w:rPr>
          <w:rFonts w:ascii="Times New Roman" w:hAnsi="Times New Roman"/>
          <w:szCs w:val="24"/>
        </w:rPr>
        <w:t xml:space="preserve"> </w:t>
      </w:r>
      <w:r w:rsidR="003527ED" w:rsidRPr="001167C1">
        <w:rPr>
          <w:rFonts w:ascii="Times New Roman" w:hAnsi="Times New Roman"/>
          <w:i/>
          <w:iCs/>
          <w:szCs w:val="24"/>
          <w:u w:val="single"/>
        </w:rPr>
        <w:t>Luk Yau Yee</w:t>
      </w:r>
    </w:p>
    <w:p w14:paraId="5D06CDF4" w14:textId="77777777" w:rsidR="00FE6608" w:rsidRPr="001167C1" w:rsidRDefault="00FE6608" w:rsidP="001167C1">
      <w:pPr>
        <w:spacing w:line="360" w:lineRule="auto"/>
        <w:rPr>
          <w:rFonts w:ascii="Times New Roman" w:hAnsi="Times New Roman"/>
          <w:szCs w:val="24"/>
        </w:rPr>
      </w:pPr>
    </w:p>
    <w:p w14:paraId="69180220" w14:textId="0E64528E" w:rsidR="00603E07" w:rsidRPr="001167C1" w:rsidRDefault="000C61E4" w:rsidP="001167C1">
      <w:pPr>
        <w:spacing w:line="360" w:lineRule="auto"/>
        <w:rPr>
          <w:rFonts w:ascii="Times New Roman" w:hAnsi="Times New Roman"/>
          <w:szCs w:val="24"/>
        </w:rPr>
      </w:pPr>
      <w:r w:rsidRPr="001167C1">
        <w:rPr>
          <w:rFonts w:ascii="Times New Roman" w:hAnsi="Times New Roman"/>
          <w:szCs w:val="24"/>
        </w:rPr>
        <w:t>D</w:t>
      </w:r>
      <w:r w:rsidR="00B25B3D" w:rsidRPr="001167C1">
        <w:rPr>
          <w:rFonts w:ascii="Times New Roman" w:hAnsi="Times New Roman"/>
          <w:szCs w:val="24"/>
        </w:rPr>
        <w:t>ate</w:t>
      </w:r>
      <w:r w:rsidRPr="001167C1">
        <w:rPr>
          <w:rFonts w:ascii="Times New Roman" w:hAnsi="Times New Roman"/>
          <w:szCs w:val="24"/>
        </w:rPr>
        <w:t>:</w:t>
      </w:r>
      <w:r w:rsidR="00FE6608" w:rsidRPr="001167C1">
        <w:rPr>
          <w:rFonts w:ascii="Times New Roman" w:hAnsi="Times New Roman"/>
          <w:szCs w:val="24"/>
        </w:rPr>
        <w:t xml:space="preserve">  </w:t>
      </w:r>
      <w:r w:rsidR="00556AC6" w:rsidRPr="001167C1">
        <w:rPr>
          <w:rFonts w:ascii="Times New Roman" w:hAnsi="Times New Roman"/>
          <w:szCs w:val="24"/>
        </w:rPr>
        <w:t>11/3/2024</w:t>
      </w:r>
    </w:p>
    <w:p w14:paraId="59166276" w14:textId="77777777" w:rsidR="00603E07" w:rsidRPr="001167C1" w:rsidRDefault="00603E07" w:rsidP="001167C1">
      <w:pPr>
        <w:spacing w:line="360" w:lineRule="auto"/>
        <w:jc w:val="center"/>
        <w:rPr>
          <w:rFonts w:ascii="Times New Roman" w:hAnsi="Times New Roman"/>
          <w:szCs w:val="24"/>
        </w:rPr>
      </w:pPr>
    </w:p>
    <w:p w14:paraId="791BBD2D" w14:textId="77777777" w:rsidR="005F5BA8" w:rsidRPr="001167C1" w:rsidRDefault="005F5BA8" w:rsidP="001167C1">
      <w:pPr>
        <w:widowControl/>
        <w:adjustRightInd w:val="0"/>
        <w:snapToGrid w:val="0"/>
        <w:spacing w:line="360" w:lineRule="auto"/>
        <w:jc w:val="center"/>
        <w:rPr>
          <w:rFonts w:ascii="Times New Roman" w:hAnsi="Times New Roman"/>
          <w:szCs w:val="24"/>
        </w:rPr>
      </w:pPr>
    </w:p>
    <w:p w14:paraId="711D9D36" w14:textId="77777777" w:rsidR="005F5BA8" w:rsidRPr="001167C1" w:rsidRDefault="005F5BA8" w:rsidP="001167C1">
      <w:pPr>
        <w:widowControl/>
        <w:adjustRightInd w:val="0"/>
        <w:snapToGrid w:val="0"/>
        <w:spacing w:line="360" w:lineRule="auto"/>
        <w:jc w:val="center"/>
        <w:rPr>
          <w:rFonts w:ascii="Times New Roman" w:hAnsi="Times New Roman"/>
          <w:szCs w:val="24"/>
        </w:rPr>
      </w:pPr>
    </w:p>
    <w:p w14:paraId="5F0ABC6B" w14:textId="77777777" w:rsidR="005F5BA8" w:rsidRPr="001167C1" w:rsidRDefault="005F5BA8" w:rsidP="001167C1">
      <w:pPr>
        <w:widowControl/>
        <w:adjustRightInd w:val="0"/>
        <w:snapToGrid w:val="0"/>
        <w:spacing w:line="360" w:lineRule="auto"/>
        <w:jc w:val="center"/>
        <w:rPr>
          <w:rFonts w:ascii="Times New Roman" w:hAnsi="Times New Roman"/>
          <w:szCs w:val="24"/>
        </w:rPr>
      </w:pPr>
    </w:p>
    <w:p w14:paraId="4ACC24BB" w14:textId="12847B7F" w:rsidR="00074B88" w:rsidRPr="001167C1" w:rsidRDefault="00074B88" w:rsidP="001167C1">
      <w:pPr>
        <w:widowControl/>
        <w:adjustRightInd w:val="0"/>
        <w:snapToGrid w:val="0"/>
        <w:spacing w:line="360" w:lineRule="auto"/>
        <w:jc w:val="center"/>
        <w:rPr>
          <w:rFonts w:ascii="Times New Roman" w:hAnsi="Times New Roman"/>
          <w:color w:val="0000CC"/>
          <w:szCs w:val="24"/>
        </w:rPr>
      </w:pPr>
      <w:r w:rsidRPr="001167C1">
        <w:rPr>
          <w:rFonts w:ascii="Times New Roman" w:hAnsi="Times New Roman"/>
          <w:color w:val="0000CC"/>
          <w:szCs w:val="24"/>
        </w:rPr>
        <w:br w:type="page"/>
      </w:r>
    </w:p>
    <w:p w14:paraId="14A9E7F0" w14:textId="39615272" w:rsidR="00074B88" w:rsidRPr="001167C1" w:rsidRDefault="00074B88" w:rsidP="001167C1">
      <w:pPr>
        <w:widowControl/>
        <w:adjustRightInd w:val="0"/>
        <w:snapToGrid w:val="0"/>
        <w:spacing w:line="360" w:lineRule="auto"/>
        <w:jc w:val="center"/>
        <w:rPr>
          <w:rFonts w:ascii="Times New Roman" w:hAnsi="Times New Roman"/>
          <w:color w:val="0000CC"/>
          <w:szCs w:val="24"/>
        </w:rPr>
      </w:pPr>
      <w:r w:rsidRPr="001167C1">
        <w:rPr>
          <w:rFonts w:ascii="Times New Roman" w:hAnsi="Times New Roman"/>
          <w:b/>
          <w:szCs w:val="24"/>
        </w:rPr>
        <w:lastRenderedPageBreak/>
        <w:t>Synopsis</w:t>
      </w:r>
      <w:r w:rsidR="00CA1589" w:rsidRPr="001167C1">
        <w:rPr>
          <w:rFonts w:ascii="Times New Roman" w:hAnsi="Times New Roman"/>
          <w:b/>
          <w:szCs w:val="24"/>
        </w:rPr>
        <w:t xml:space="preserve"> </w:t>
      </w:r>
    </w:p>
    <w:p w14:paraId="55339909" w14:textId="77777777" w:rsidR="00074B88" w:rsidRPr="001167C1" w:rsidRDefault="00074B88" w:rsidP="001167C1">
      <w:pPr>
        <w:widowControl/>
        <w:adjustRightInd w:val="0"/>
        <w:snapToGrid w:val="0"/>
        <w:spacing w:line="360" w:lineRule="auto"/>
        <w:jc w:val="center"/>
        <w:rPr>
          <w:rFonts w:ascii="Times New Roman" w:hAnsi="Times New Roman"/>
          <w:b/>
          <w:szCs w:val="24"/>
        </w:rPr>
      </w:pPr>
    </w:p>
    <w:p w14:paraId="22FCB631" w14:textId="77777777" w:rsidR="00DD79F6" w:rsidRPr="001167C1" w:rsidRDefault="00DD79F6" w:rsidP="001167C1">
      <w:pPr>
        <w:widowControl/>
        <w:adjustRightInd w:val="0"/>
        <w:snapToGrid w:val="0"/>
        <w:spacing w:line="360" w:lineRule="auto"/>
        <w:jc w:val="both"/>
        <w:rPr>
          <w:rFonts w:ascii="Times New Roman" w:hAnsi="Times New Roman"/>
          <w:color w:val="0000CC"/>
          <w:szCs w:val="24"/>
        </w:rPr>
      </w:pPr>
    </w:p>
    <w:p w14:paraId="34A4110C" w14:textId="52D07970" w:rsidR="00074B88" w:rsidRPr="001167C1" w:rsidRDefault="00AE3EC8" w:rsidP="001167C1">
      <w:pPr>
        <w:widowControl/>
        <w:adjustRightInd w:val="0"/>
        <w:snapToGrid w:val="0"/>
        <w:spacing w:line="360" w:lineRule="auto"/>
        <w:jc w:val="both"/>
        <w:rPr>
          <w:rFonts w:ascii="Times New Roman" w:hAnsi="Times New Roman"/>
          <w:b/>
          <w:szCs w:val="24"/>
        </w:rPr>
      </w:pPr>
      <w:r w:rsidRPr="001167C1">
        <w:rPr>
          <w:rFonts w:ascii="Times New Roman" w:hAnsi="Times New Roman"/>
          <w:szCs w:val="24"/>
        </w:rPr>
        <w:t xml:space="preserve">This article reports an empirical study on the trend movement of </w:t>
      </w:r>
      <w:r w:rsidR="00A63F13" w:rsidRPr="001167C1">
        <w:rPr>
          <w:rFonts w:ascii="Times New Roman" w:hAnsi="Times New Roman"/>
          <w:szCs w:val="24"/>
        </w:rPr>
        <w:t>n</w:t>
      </w:r>
      <w:r w:rsidR="00D53F4E" w:rsidRPr="001167C1">
        <w:rPr>
          <w:rFonts w:ascii="Times New Roman" w:hAnsi="Times New Roman"/>
          <w:szCs w:val="24"/>
        </w:rPr>
        <w:t xml:space="preserve">ominal GDP per capita </w:t>
      </w:r>
      <w:r w:rsidRPr="001167C1">
        <w:rPr>
          <w:rFonts w:ascii="Times New Roman" w:hAnsi="Times New Roman"/>
          <w:szCs w:val="24"/>
        </w:rPr>
        <w:t xml:space="preserve">in Hong Kong, </w:t>
      </w:r>
      <w:r w:rsidR="00DB497B" w:rsidRPr="001167C1">
        <w:rPr>
          <w:rFonts w:ascii="Times New Roman" w:hAnsi="Times New Roman"/>
          <w:szCs w:val="24"/>
        </w:rPr>
        <w:t>United Kingdom</w:t>
      </w:r>
      <w:r w:rsidRPr="001167C1">
        <w:rPr>
          <w:rFonts w:ascii="Times New Roman" w:hAnsi="Times New Roman"/>
          <w:szCs w:val="24"/>
        </w:rPr>
        <w:t xml:space="preserve">, </w:t>
      </w:r>
      <w:r w:rsidR="00DB497B" w:rsidRPr="001167C1">
        <w:rPr>
          <w:rFonts w:ascii="Times New Roman" w:hAnsi="Times New Roman"/>
          <w:szCs w:val="24"/>
        </w:rPr>
        <w:t>United States</w:t>
      </w:r>
      <w:r w:rsidRPr="001167C1">
        <w:rPr>
          <w:rFonts w:ascii="Times New Roman" w:hAnsi="Times New Roman"/>
          <w:szCs w:val="24"/>
        </w:rPr>
        <w:t xml:space="preserve">, </w:t>
      </w:r>
      <w:r w:rsidR="00DB497B" w:rsidRPr="001167C1">
        <w:rPr>
          <w:rFonts w:ascii="Times New Roman" w:hAnsi="Times New Roman"/>
          <w:szCs w:val="24"/>
        </w:rPr>
        <w:t>India</w:t>
      </w:r>
      <w:r w:rsidRPr="001167C1">
        <w:rPr>
          <w:rFonts w:ascii="Times New Roman" w:hAnsi="Times New Roman"/>
          <w:szCs w:val="24"/>
        </w:rPr>
        <w:t xml:space="preserve">, and </w:t>
      </w:r>
      <w:r w:rsidR="00DB497B" w:rsidRPr="001167C1">
        <w:rPr>
          <w:rFonts w:ascii="Times New Roman" w:hAnsi="Times New Roman"/>
          <w:szCs w:val="24"/>
        </w:rPr>
        <w:t>China</w:t>
      </w:r>
      <w:r w:rsidRPr="001167C1">
        <w:rPr>
          <w:rFonts w:ascii="Times New Roman" w:hAnsi="Times New Roman"/>
          <w:szCs w:val="24"/>
        </w:rPr>
        <w:t xml:space="preserve"> with a hope to explore investment opportunities for the company to expand its global business. </w:t>
      </w:r>
      <w:r w:rsidR="00A63F13" w:rsidRPr="001167C1">
        <w:rPr>
          <w:rFonts w:ascii="Times New Roman" w:hAnsi="Times New Roman"/>
          <w:szCs w:val="24"/>
        </w:rPr>
        <w:t>B</w:t>
      </w:r>
      <w:r w:rsidR="00FF67B3" w:rsidRPr="001167C1">
        <w:rPr>
          <w:rFonts w:ascii="Times New Roman" w:hAnsi="Times New Roman"/>
          <w:szCs w:val="24"/>
        </w:rPr>
        <w:t xml:space="preserve">ased on </w:t>
      </w:r>
      <w:r w:rsidR="00DB497B" w:rsidRPr="001167C1">
        <w:rPr>
          <w:rFonts w:ascii="Times New Roman" w:hAnsi="Times New Roman"/>
          <w:szCs w:val="24"/>
        </w:rPr>
        <w:t>data</w:t>
      </w:r>
      <w:r w:rsidR="00FF67B3" w:rsidRPr="001167C1">
        <w:rPr>
          <w:rFonts w:ascii="Times New Roman" w:hAnsi="Times New Roman"/>
          <w:szCs w:val="24"/>
        </w:rPr>
        <w:t xml:space="preserve"> extracted</w:t>
      </w:r>
      <w:r w:rsidR="00DB497B" w:rsidRPr="001167C1">
        <w:rPr>
          <w:rFonts w:ascii="Times New Roman" w:hAnsi="Times New Roman"/>
          <w:szCs w:val="24"/>
        </w:rPr>
        <w:t xml:space="preserve"> from the World Bank</w:t>
      </w:r>
      <w:r w:rsidR="00A63F13" w:rsidRPr="001167C1">
        <w:rPr>
          <w:rFonts w:ascii="Times New Roman" w:hAnsi="Times New Roman"/>
          <w:szCs w:val="24"/>
        </w:rPr>
        <w:t xml:space="preserve"> and employs simple descriptive statistical methods,</w:t>
      </w:r>
      <w:r w:rsidR="00FF67B3" w:rsidRPr="001167C1">
        <w:rPr>
          <w:rFonts w:ascii="Times New Roman" w:hAnsi="Times New Roman"/>
          <w:szCs w:val="24"/>
        </w:rPr>
        <w:t xml:space="preserve"> </w:t>
      </w:r>
      <w:r w:rsidR="00A63F13" w:rsidRPr="001167C1">
        <w:rPr>
          <w:rFonts w:ascii="Times New Roman" w:hAnsi="Times New Roman"/>
          <w:szCs w:val="24"/>
        </w:rPr>
        <w:t>r</w:t>
      </w:r>
      <w:r w:rsidR="00FF67B3" w:rsidRPr="001167C1">
        <w:rPr>
          <w:rFonts w:ascii="Times New Roman" w:hAnsi="Times New Roman"/>
          <w:szCs w:val="24"/>
        </w:rPr>
        <w:t xml:space="preserve">esearch findings suggested that </w:t>
      </w:r>
      <w:r w:rsidR="00A63F13" w:rsidRPr="001167C1">
        <w:rPr>
          <w:rFonts w:ascii="Times New Roman" w:hAnsi="Times New Roman"/>
          <w:szCs w:val="24"/>
        </w:rPr>
        <w:t>t</w:t>
      </w:r>
      <w:r w:rsidR="003B2313" w:rsidRPr="001167C1">
        <w:rPr>
          <w:rFonts w:ascii="Times New Roman" w:hAnsi="Times New Roman"/>
          <w:szCs w:val="24"/>
        </w:rPr>
        <w:t xml:space="preserve">he US and China </w:t>
      </w:r>
      <w:r w:rsidR="002B4FC1" w:rsidRPr="001167C1">
        <w:rPr>
          <w:rFonts w:ascii="Times New Roman" w:hAnsi="Times New Roman"/>
          <w:szCs w:val="24"/>
        </w:rPr>
        <w:t xml:space="preserve">should the best investment destinations because of </w:t>
      </w:r>
      <w:r w:rsidR="003B2313" w:rsidRPr="001167C1">
        <w:rPr>
          <w:rFonts w:ascii="Times New Roman" w:hAnsi="Times New Roman"/>
          <w:szCs w:val="24"/>
        </w:rPr>
        <w:t>their stability and growth potential.</w:t>
      </w:r>
    </w:p>
    <w:p w14:paraId="55084938" w14:textId="77777777" w:rsidR="00074B88" w:rsidRPr="001167C1" w:rsidRDefault="00074B88" w:rsidP="001167C1">
      <w:pPr>
        <w:widowControl/>
        <w:adjustRightInd w:val="0"/>
        <w:snapToGrid w:val="0"/>
        <w:spacing w:line="360" w:lineRule="auto"/>
        <w:rPr>
          <w:rFonts w:ascii="Times New Roman" w:hAnsi="Times New Roman"/>
          <w:b/>
          <w:szCs w:val="24"/>
        </w:rPr>
      </w:pPr>
    </w:p>
    <w:p w14:paraId="3DAD0FA0" w14:textId="77777777" w:rsidR="00225FC1" w:rsidRPr="001167C1" w:rsidRDefault="00225FC1" w:rsidP="001167C1">
      <w:pPr>
        <w:widowControl/>
        <w:spacing w:line="360" w:lineRule="auto"/>
        <w:rPr>
          <w:rFonts w:ascii="Times New Roman" w:hAnsi="Times New Roman"/>
          <w:b/>
          <w:szCs w:val="24"/>
        </w:rPr>
      </w:pPr>
      <w:r w:rsidRPr="001167C1">
        <w:rPr>
          <w:rFonts w:ascii="Times New Roman" w:hAnsi="Times New Roman"/>
          <w:b/>
          <w:szCs w:val="24"/>
        </w:rPr>
        <w:br w:type="page"/>
      </w:r>
    </w:p>
    <w:p w14:paraId="207E64B3" w14:textId="764E8764" w:rsidR="004238D8" w:rsidRPr="001167C1" w:rsidRDefault="004238D8" w:rsidP="001167C1">
      <w:pPr>
        <w:adjustRightInd w:val="0"/>
        <w:snapToGrid w:val="0"/>
        <w:spacing w:line="360" w:lineRule="auto"/>
        <w:jc w:val="center"/>
        <w:rPr>
          <w:rFonts w:ascii="Times New Roman" w:hAnsi="Times New Roman"/>
          <w:b/>
          <w:szCs w:val="24"/>
        </w:rPr>
      </w:pPr>
      <w:r w:rsidRPr="001167C1">
        <w:rPr>
          <w:rFonts w:ascii="Times New Roman" w:hAnsi="Times New Roman"/>
          <w:b/>
          <w:szCs w:val="24"/>
        </w:rPr>
        <w:lastRenderedPageBreak/>
        <w:t>Table of Contents</w:t>
      </w:r>
    </w:p>
    <w:p w14:paraId="2BE9DCC1" w14:textId="77777777" w:rsidR="00C04DD8" w:rsidRPr="001167C1" w:rsidRDefault="00C04DD8" w:rsidP="001167C1">
      <w:pPr>
        <w:adjustRightInd w:val="0"/>
        <w:snapToGrid w:val="0"/>
        <w:spacing w:line="360" w:lineRule="auto"/>
        <w:jc w:val="center"/>
        <w:rPr>
          <w:rFonts w:ascii="Times New Roman" w:hAnsi="Times New Roman"/>
          <w:b/>
          <w:szCs w:val="24"/>
        </w:rPr>
      </w:pPr>
    </w:p>
    <w:p w14:paraId="45C694A8" w14:textId="77777777" w:rsidR="00C04DD8" w:rsidRPr="001167C1" w:rsidRDefault="00C04DD8" w:rsidP="001167C1">
      <w:pPr>
        <w:adjustRightInd w:val="0"/>
        <w:snapToGrid w:val="0"/>
        <w:spacing w:line="360" w:lineRule="auto"/>
        <w:jc w:val="center"/>
        <w:rPr>
          <w:rFonts w:ascii="Times New Roman" w:hAnsi="Times New Roman"/>
          <w:b/>
          <w:szCs w:val="24"/>
        </w:rPr>
      </w:pPr>
    </w:p>
    <w:p w14:paraId="6E41C1E0" w14:textId="77777777" w:rsidR="004238D8" w:rsidRPr="001167C1" w:rsidRDefault="004238D8" w:rsidP="001167C1">
      <w:pPr>
        <w:pStyle w:val="af3"/>
        <w:adjustRightInd w:val="0"/>
        <w:snapToGrid w:val="0"/>
        <w:spacing w:line="360" w:lineRule="auto"/>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3"/>
        <w:gridCol w:w="519"/>
        <w:gridCol w:w="35"/>
        <w:gridCol w:w="10"/>
        <w:gridCol w:w="7273"/>
        <w:gridCol w:w="690"/>
      </w:tblGrid>
      <w:tr w:rsidR="004238D8" w:rsidRPr="001167C1" w14:paraId="48C2427A" w14:textId="77777777" w:rsidTr="001A5C97">
        <w:tc>
          <w:tcPr>
            <w:tcW w:w="546" w:type="dxa"/>
          </w:tcPr>
          <w:p w14:paraId="6BB7AE33" w14:textId="77777777" w:rsidR="004238D8" w:rsidRPr="001167C1" w:rsidRDefault="004238D8" w:rsidP="001167C1">
            <w:pPr>
              <w:pStyle w:val="a0"/>
              <w:adjustRightInd w:val="0"/>
              <w:snapToGrid w:val="0"/>
              <w:spacing w:after="0" w:line="360" w:lineRule="auto"/>
              <w:rPr>
                <w:sz w:val="24"/>
                <w:szCs w:val="24"/>
                <w:lang w:eastAsia="zh-TW"/>
              </w:rPr>
            </w:pPr>
          </w:p>
        </w:tc>
        <w:tc>
          <w:tcPr>
            <w:tcW w:w="7888" w:type="dxa"/>
            <w:gridSpan w:val="4"/>
          </w:tcPr>
          <w:p w14:paraId="00A2D63D" w14:textId="77777777" w:rsidR="004238D8" w:rsidRPr="001167C1" w:rsidRDefault="004238D8" w:rsidP="001167C1">
            <w:pPr>
              <w:pStyle w:val="a0"/>
              <w:adjustRightInd w:val="0"/>
              <w:snapToGrid w:val="0"/>
              <w:spacing w:after="0" w:line="360" w:lineRule="auto"/>
              <w:rPr>
                <w:sz w:val="24"/>
                <w:szCs w:val="24"/>
                <w:lang w:eastAsia="zh-TW"/>
              </w:rPr>
            </w:pPr>
          </w:p>
        </w:tc>
        <w:tc>
          <w:tcPr>
            <w:tcW w:w="692" w:type="dxa"/>
          </w:tcPr>
          <w:p w14:paraId="02019172" w14:textId="77777777" w:rsidR="004238D8" w:rsidRPr="001167C1" w:rsidRDefault="004238D8" w:rsidP="001167C1">
            <w:pPr>
              <w:pStyle w:val="a0"/>
              <w:adjustRightInd w:val="0"/>
              <w:snapToGrid w:val="0"/>
              <w:spacing w:after="0" w:line="360" w:lineRule="auto"/>
              <w:jc w:val="center"/>
              <w:rPr>
                <w:sz w:val="24"/>
                <w:szCs w:val="24"/>
                <w:u w:val="single"/>
                <w:lang w:eastAsia="zh-TW"/>
              </w:rPr>
            </w:pPr>
            <w:r w:rsidRPr="001167C1">
              <w:rPr>
                <w:sz w:val="24"/>
                <w:szCs w:val="24"/>
                <w:u w:val="single"/>
                <w:lang w:eastAsia="zh-TW"/>
              </w:rPr>
              <w:t>Page</w:t>
            </w:r>
          </w:p>
          <w:p w14:paraId="11356722" w14:textId="77777777" w:rsidR="00271DC6" w:rsidRPr="001167C1" w:rsidRDefault="00271DC6" w:rsidP="001167C1">
            <w:pPr>
              <w:pStyle w:val="a0"/>
              <w:adjustRightInd w:val="0"/>
              <w:snapToGrid w:val="0"/>
              <w:spacing w:after="0" w:line="360" w:lineRule="auto"/>
              <w:jc w:val="center"/>
              <w:rPr>
                <w:sz w:val="24"/>
                <w:szCs w:val="24"/>
                <w:u w:val="single"/>
                <w:lang w:eastAsia="zh-TW"/>
              </w:rPr>
            </w:pPr>
          </w:p>
        </w:tc>
      </w:tr>
      <w:tr w:rsidR="004238D8" w:rsidRPr="001167C1" w14:paraId="18C4365B" w14:textId="77777777" w:rsidTr="001A5C97">
        <w:tc>
          <w:tcPr>
            <w:tcW w:w="546" w:type="dxa"/>
          </w:tcPr>
          <w:p w14:paraId="5F7D1993" w14:textId="77777777" w:rsidR="004238D8" w:rsidRPr="001167C1" w:rsidRDefault="004238D8" w:rsidP="001167C1">
            <w:pPr>
              <w:pStyle w:val="a0"/>
              <w:adjustRightInd w:val="0"/>
              <w:snapToGrid w:val="0"/>
              <w:spacing w:after="0" w:line="360" w:lineRule="auto"/>
              <w:rPr>
                <w:sz w:val="24"/>
                <w:szCs w:val="24"/>
                <w:lang w:eastAsia="zh-TW"/>
              </w:rPr>
            </w:pPr>
            <w:r w:rsidRPr="001167C1">
              <w:rPr>
                <w:sz w:val="24"/>
                <w:szCs w:val="24"/>
                <w:lang w:eastAsia="zh-TW"/>
              </w:rPr>
              <w:t>1</w:t>
            </w:r>
          </w:p>
        </w:tc>
        <w:tc>
          <w:tcPr>
            <w:tcW w:w="7888" w:type="dxa"/>
            <w:gridSpan w:val="4"/>
          </w:tcPr>
          <w:p w14:paraId="5D4AF710" w14:textId="45A1E8D9" w:rsidR="002433E4" w:rsidRPr="001167C1" w:rsidRDefault="00074B88" w:rsidP="001167C1">
            <w:pPr>
              <w:pStyle w:val="a0"/>
              <w:adjustRightInd w:val="0"/>
              <w:snapToGrid w:val="0"/>
              <w:spacing w:after="0" w:line="360" w:lineRule="auto"/>
              <w:rPr>
                <w:rFonts w:eastAsia="標楷體"/>
                <w:color w:val="0000FF"/>
                <w:sz w:val="24"/>
                <w:szCs w:val="24"/>
              </w:rPr>
            </w:pPr>
            <w:r w:rsidRPr="001167C1">
              <w:rPr>
                <w:sz w:val="24"/>
                <w:szCs w:val="24"/>
                <w:lang w:eastAsia="zh-TW"/>
              </w:rPr>
              <w:t>Introduction</w:t>
            </w:r>
            <w:r w:rsidR="00CA1589" w:rsidRPr="001167C1">
              <w:rPr>
                <w:color w:val="0000CC"/>
                <w:sz w:val="24"/>
                <w:szCs w:val="24"/>
                <w:lang w:eastAsia="zh-TW"/>
              </w:rPr>
              <w:t xml:space="preserve"> </w:t>
            </w:r>
          </w:p>
        </w:tc>
        <w:tc>
          <w:tcPr>
            <w:tcW w:w="692" w:type="dxa"/>
          </w:tcPr>
          <w:p w14:paraId="1FF518C6" w14:textId="77777777" w:rsidR="004238D8" w:rsidRPr="001167C1" w:rsidRDefault="00271DC6" w:rsidP="001167C1">
            <w:pPr>
              <w:pStyle w:val="a0"/>
              <w:adjustRightInd w:val="0"/>
              <w:snapToGrid w:val="0"/>
              <w:spacing w:after="0" w:line="360" w:lineRule="auto"/>
              <w:jc w:val="center"/>
              <w:rPr>
                <w:sz w:val="24"/>
                <w:szCs w:val="24"/>
                <w:lang w:eastAsia="zh-TW"/>
              </w:rPr>
            </w:pPr>
            <w:r w:rsidRPr="001167C1">
              <w:rPr>
                <w:sz w:val="24"/>
                <w:szCs w:val="24"/>
                <w:lang w:eastAsia="zh-TW"/>
              </w:rPr>
              <w:t>1</w:t>
            </w:r>
          </w:p>
        </w:tc>
      </w:tr>
      <w:tr w:rsidR="00A83E23" w:rsidRPr="001167C1" w14:paraId="0293EA49" w14:textId="77777777" w:rsidTr="001A5C97">
        <w:tc>
          <w:tcPr>
            <w:tcW w:w="546" w:type="dxa"/>
          </w:tcPr>
          <w:p w14:paraId="7B5B96F7" w14:textId="77777777" w:rsidR="00A83E23" w:rsidRPr="001167C1" w:rsidRDefault="00A83E23" w:rsidP="001167C1">
            <w:pPr>
              <w:pStyle w:val="a0"/>
              <w:adjustRightInd w:val="0"/>
              <w:snapToGrid w:val="0"/>
              <w:spacing w:after="0" w:line="360" w:lineRule="auto"/>
              <w:rPr>
                <w:sz w:val="24"/>
                <w:szCs w:val="24"/>
                <w:lang w:eastAsia="zh-TW"/>
              </w:rPr>
            </w:pPr>
          </w:p>
        </w:tc>
        <w:tc>
          <w:tcPr>
            <w:tcW w:w="7888" w:type="dxa"/>
            <w:gridSpan w:val="4"/>
          </w:tcPr>
          <w:p w14:paraId="03BB6B03" w14:textId="77777777" w:rsidR="00A83E23" w:rsidRPr="001167C1" w:rsidRDefault="00A83E23" w:rsidP="001167C1">
            <w:pPr>
              <w:pStyle w:val="a0"/>
              <w:adjustRightInd w:val="0"/>
              <w:snapToGrid w:val="0"/>
              <w:spacing w:after="0" w:line="360" w:lineRule="auto"/>
              <w:rPr>
                <w:sz w:val="24"/>
                <w:szCs w:val="24"/>
                <w:lang w:eastAsia="zh-TW"/>
              </w:rPr>
            </w:pPr>
          </w:p>
        </w:tc>
        <w:tc>
          <w:tcPr>
            <w:tcW w:w="692" w:type="dxa"/>
          </w:tcPr>
          <w:p w14:paraId="4804FE13" w14:textId="77777777" w:rsidR="00A83E23" w:rsidRPr="001167C1" w:rsidRDefault="00A83E23" w:rsidP="001167C1">
            <w:pPr>
              <w:pStyle w:val="a0"/>
              <w:adjustRightInd w:val="0"/>
              <w:snapToGrid w:val="0"/>
              <w:spacing w:after="0" w:line="360" w:lineRule="auto"/>
              <w:jc w:val="center"/>
              <w:rPr>
                <w:sz w:val="24"/>
                <w:szCs w:val="24"/>
                <w:lang w:eastAsia="zh-TW"/>
              </w:rPr>
            </w:pPr>
          </w:p>
        </w:tc>
      </w:tr>
      <w:tr w:rsidR="004238D8" w:rsidRPr="001167C1" w14:paraId="0F29CDC5" w14:textId="77777777" w:rsidTr="001A5C97">
        <w:tc>
          <w:tcPr>
            <w:tcW w:w="546" w:type="dxa"/>
          </w:tcPr>
          <w:p w14:paraId="7F8F9BA7" w14:textId="77777777" w:rsidR="004238D8" w:rsidRPr="001167C1" w:rsidRDefault="004238D8" w:rsidP="001167C1">
            <w:pPr>
              <w:pStyle w:val="a0"/>
              <w:adjustRightInd w:val="0"/>
              <w:snapToGrid w:val="0"/>
              <w:spacing w:after="0" w:line="360" w:lineRule="auto"/>
              <w:rPr>
                <w:sz w:val="24"/>
                <w:szCs w:val="24"/>
                <w:lang w:eastAsia="zh-TW"/>
              </w:rPr>
            </w:pPr>
            <w:r w:rsidRPr="001167C1">
              <w:rPr>
                <w:sz w:val="24"/>
                <w:szCs w:val="24"/>
                <w:lang w:eastAsia="zh-TW"/>
              </w:rPr>
              <w:t>2</w:t>
            </w:r>
          </w:p>
        </w:tc>
        <w:tc>
          <w:tcPr>
            <w:tcW w:w="7888" w:type="dxa"/>
            <w:gridSpan w:val="4"/>
          </w:tcPr>
          <w:p w14:paraId="43534B28" w14:textId="768A2DC5" w:rsidR="002433E4" w:rsidRPr="001167C1" w:rsidRDefault="00225FC1" w:rsidP="001167C1">
            <w:pPr>
              <w:pStyle w:val="a0"/>
              <w:adjustRightInd w:val="0"/>
              <w:snapToGrid w:val="0"/>
              <w:spacing w:after="0" w:line="360" w:lineRule="auto"/>
              <w:rPr>
                <w:rFonts w:eastAsia="標楷體"/>
                <w:sz w:val="24"/>
                <w:szCs w:val="24"/>
              </w:rPr>
            </w:pPr>
            <w:r w:rsidRPr="001167C1">
              <w:rPr>
                <w:rFonts w:eastAsia="標楷體"/>
                <w:sz w:val="24"/>
                <w:szCs w:val="24"/>
              </w:rPr>
              <w:t xml:space="preserve">Research </w:t>
            </w:r>
            <w:r w:rsidR="00CA1589" w:rsidRPr="001167C1">
              <w:rPr>
                <w:rFonts w:eastAsia="標楷體"/>
                <w:sz w:val="24"/>
                <w:szCs w:val="24"/>
              </w:rPr>
              <w:t xml:space="preserve">Background </w:t>
            </w:r>
          </w:p>
        </w:tc>
        <w:tc>
          <w:tcPr>
            <w:tcW w:w="692" w:type="dxa"/>
          </w:tcPr>
          <w:p w14:paraId="6D772741" w14:textId="0478999A" w:rsidR="004238D8" w:rsidRPr="001167C1" w:rsidRDefault="00F91BB6" w:rsidP="001167C1">
            <w:pPr>
              <w:pStyle w:val="a0"/>
              <w:adjustRightInd w:val="0"/>
              <w:snapToGrid w:val="0"/>
              <w:spacing w:after="0" w:line="360" w:lineRule="auto"/>
              <w:jc w:val="center"/>
              <w:rPr>
                <w:sz w:val="24"/>
                <w:szCs w:val="24"/>
                <w:lang w:eastAsia="zh-TW"/>
              </w:rPr>
            </w:pPr>
            <w:r>
              <w:rPr>
                <w:rFonts w:hint="eastAsia"/>
                <w:sz w:val="24"/>
                <w:szCs w:val="24"/>
                <w:lang w:eastAsia="zh-TW"/>
              </w:rPr>
              <w:t>3</w:t>
            </w:r>
          </w:p>
        </w:tc>
      </w:tr>
      <w:tr w:rsidR="004238D8" w:rsidRPr="001167C1" w14:paraId="72402FE0" w14:textId="77777777" w:rsidTr="001A5C97">
        <w:tc>
          <w:tcPr>
            <w:tcW w:w="546" w:type="dxa"/>
          </w:tcPr>
          <w:p w14:paraId="51C7BA6F" w14:textId="77777777" w:rsidR="004238D8" w:rsidRPr="001167C1" w:rsidRDefault="004238D8" w:rsidP="001167C1">
            <w:pPr>
              <w:pStyle w:val="a0"/>
              <w:adjustRightInd w:val="0"/>
              <w:snapToGrid w:val="0"/>
              <w:spacing w:after="0" w:line="360" w:lineRule="auto"/>
              <w:rPr>
                <w:sz w:val="24"/>
                <w:szCs w:val="24"/>
                <w:lang w:eastAsia="zh-TW"/>
              </w:rPr>
            </w:pPr>
            <w:bookmarkStart w:id="0" w:name="_Hlk90988571"/>
          </w:p>
        </w:tc>
        <w:tc>
          <w:tcPr>
            <w:tcW w:w="520" w:type="dxa"/>
          </w:tcPr>
          <w:p w14:paraId="382568C4" w14:textId="7553AF68" w:rsidR="003C4774" w:rsidRPr="001167C1" w:rsidRDefault="003C4774" w:rsidP="001167C1">
            <w:pPr>
              <w:pStyle w:val="a0"/>
              <w:adjustRightInd w:val="0"/>
              <w:snapToGrid w:val="0"/>
              <w:spacing w:after="0" w:line="360" w:lineRule="auto"/>
              <w:rPr>
                <w:sz w:val="24"/>
                <w:szCs w:val="24"/>
                <w:lang w:eastAsia="zh-TW"/>
              </w:rPr>
            </w:pPr>
            <w:r w:rsidRPr="001167C1">
              <w:rPr>
                <w:sz w:val="24"/>
                <w:szCs w:val="24"/>
                <w:lang w:eastAsia="zh-TW"/>
              </w:rPr>
              <w:t xml:space="preserve">2.1 </w:t>
            </w:r>
          </w:p>
          <w:p w14:paraId="7648132E" w14:textId="0E2BBB6F" w:rsidR="004238D8" w:rsidRPr="001167C1" w:rsidRDefault="004238D8" w:rsidP="001167C1">
            <w:pPr>
              <w:pStyle w:val="a0"/>
              <w:adjustRightInd w:val="0"/>
              <w:snapToGrid w:val="0"/>
              <w:spacing w:after="0" w:line="360" w:lineRule="auto"/>
              <w:rPr>
                <w:sz w:val="24"/>
                <w:szCs w:val="24"/>
                <w:lang w:eastAsia="zh-TW"/>
              </w:rPr>
            </w:pPr>
            <w:r w:rsidRPr="001167C1">
              <w:rPr>
                <w:sz w:val="24"/>
                <w:szCs w:val="24"/>
                <w:lang w:eastAsia="zh-TW"/>
              </w:rPr>
              <w:t>2.</w:t>
            </w:r>
            <w:r w:rsidR="003C4774" w:rsidRPr="001167C1">
              <w:rPr>
                <w:sz w:val="24"/>
                <w:szCs w:val="24"/>
                <w:lang w:eastAsia="zh-TW"/>
              </w:rPr>
              <w:t>2</w:t>
            </w:r>
          </w:p>
        </w:tc>
        <w:tc>
          <w:tcPr>
            <w:tcW w:w="7368" w:type="dxa"/>
            <w:gridSpan w:val="3"/>
          </w:tcPr>
          <w:p w14:paraId="05489392" w14:textId="41E0F575" w:rsidR="003C4774" w:rsidRPr="001167C1" w:rsidRDefault="003C4774" w:rsidP="001167C1">
            <w:pPr>
              <w:pStyle w:val="a0"/>
              <w:adjustRightInd w:val="0"/>
              <w:snapToGrid w:val="0"/>
              <w:spacing w:after="0" w:line="360" w:lineRule="auto"/>
              <w:rPr>
                <w:sz w:val="24"/>
                <w:szCs w:val="24"/>
                <w:lang w:eastAsia="zh-TW"/>
              </w:rPr>
            </w:pPr>
            <w:r w:rsidRPr="001167C1">
              <w:rPr>
                <w:sz w:val="24"/>
                <w:szCs w:val="24"/>
                <w:lang w:eastAsia="zh-TW"/>
              </w:rPr>
              <w:t>Theoretical background</w:t>
            </w:r>
          </w:p>
          <w:p w14:paraId="4614CA44" w14:textId="00E285CB" w:rsidR="004238D8" w:rsidRPr="001167C1" w:rsidRDefault="003C4774" w:rsidP="001167C1">
            <w:pPr>
              <w:pStyle w:val="a0"/>
              <w:adjustRightInd w:val="0"/>
              <w:snapToGrid w:val="0"/>
              <w:spacing w:after="0" w:line="360" w:lineRule="auto"/>
              <w:rPr>
                <w:sz w:val="24"/>
                <w:szCs w:val="24"/>
                <w:lang w:eastAsia="zh-TW"/>
              </w:rPr>
            </w:pPr>
            <w:r w:rsidRPr="001167C1">
              <w:rPr>
                <w:sz w:val="24"/>
                <w:szCs w:val="24"/>
                <w:lang w:eastAsia="zh-TW"/>
              </w:rPr>
              <w:t>Data definition and sources</w:t>
            </w:r>
          </w:p>
        </w:tc>
        <w:tc>
          <w:tcPr>
            <w:tcW w:w="692" w:type="dxa"/>
          </w:tcPr>
          <w:p w14:paraId="3CDD346F" w14:textId="77777777" w:rsidR="004238D8" w:rsidRPr="001167C1" w:rsidRDefault="004238D8" w:rsidP="001167C1">
            <w:pPr>
              <w:pStyle w:val="a0"/>
              <w:adjustRightInd w:val="0"/>
              <w:snapToGrid w:val="0"/>
              <w:spacing w:after="0" w:line="360" w:lineRule="auto"/>
              <w:jc w:val="center"/>
              <w:rPr>
                <w:sz w:val="24"/>
                <w:szCs w:val="24"/>
                <w:lang w:eastAsia="zh-TW"/>
              </w:rPr>
            </w:pPr>
          </w:p>
          <w:p w14:paraId="26A0649A" w14:textId="77777777" w:rsidR="00341BA6" w:rsidRPr="001167C1" w:rsidRDefault="00341BA6" w:rsidP="001167C1">
            <w:pPr>
              <w:pStyle w:val="a0"/>
              <w:adjustRightInd w:val="0"/>
              <w:snapToGrid w:val="0"/>
              <w:spacing w:after="0" w:line="360" w:lineRule="auto"/>
              <w:jc w:val="center"/>
              <w:rPr>
                <w:sz w:val="24"/>
                <w:szCs w:val="24"/>
                <w:lang w:eastAsia="zh-TW"/>
              </w:rPr>
            </w:pPr>
          </w:p>
        </w:tc>
      </w:tr>
      <w:tr w:rsidR="004238D8" w:rsidRPr="001167C1" w14:paraId="7E9A51A6" w14:textId="77777777" w:rsidTr="001A5C97">
        <w:tc>
          <w:tcPr>
            <w:tcW w:w="546" w:type="dxa"/>
          </w:tcPr>
          <w:p w14:paraId="23798C9A" w14:textId="77777777" w:rsidR="004238D8" w:rsidRPr="001167C1" w:rsidRDefault="004238D8" w:rsidP="001167C1">
            <w:pPr>
              <w:pStyle w:val="a0"/>
              <w:adjustRightInd w:val="0"/>
              <w:snapToGrid w:val="0"/>
              <w:spacing w:after="0" w:line="360" w:lineRule="auto"/>
              <w:rPr>
                <w:sz w:val="24"/>
                <w:szCs w:val="24"/>
                <w:lang w:eastAsia="zh-TW"/>
              </w:rPr>
            </w:pPr>
          </w:p>
        </w:tc>
        <w:tc>
          <w:tcPr>
            <w:tcW w:w="520" w:type="dxa"/>
          </w:tcPr>
          <w:p w14:paraId="0913BCE6" w14:textId="3D2F85A5" w:rsidR="004238D8" w:rsidRPr="001167C1" w:rsidRDefault="004238D8" w:rsidP="001167C1">
            <w:pPr>
              <w:pStyle w:val="a0"/>
              <w:adjustRightInd w:val="0"/>
              <w:snapToGrid w:val="0"/>
              <w:spacing w:after="0" w:line="360" w:lineRule="auto"/>
              <w:rPr>
                <w:sz w:val="24"/>
                <w:szCs w:val="24"/>
                <w:lang w:eastAsia="zh-TW"/>
              </w:rPr>
            </w:pPr>
            <w:r w:rsidRPr="001167C1">
              <w:rPr>
                <w:sz w:val="24"/>
                <w:szCs w:val="24"/>
                <w:lang w:eastAsia="zh-TW"/>
              </w:rPr>
              <w:t>2.</w:t>
            </w:r>
            <w:r w:rsidR="003C4774" w:rsidRPr="001167C1">
              <w:rPr>
                <w:sz w:val="24"/>
                <w:szCs w:val="24"/>
                <w:lang w:eastAsia="zh-TW"/>
              </w:rPr>
              <w:t>3</w:t>
            </w:r>
          </w:p>
        </w:tc>
        <w:tc>
          <w:tcPr>
            <w:tcW w:w="7368" w:type="dxa"/>
            <w:gridSpan w:val="3"/>
          </w:tcPr>
          <w:p w14:paraId="55428BEF" w14:textId="55FB613E" w:rsidR="004238D8" w:rsidRPr="001167C1" w:rsidRDefault="00E6133C" w:rsidP="001167C1">
            <w:pPr>
              <w:pStyle w:val="a0"/>
              <w:adjustRightInd w:val="0"/>
              <w:snapToGrid w:val="0"/>
              <w:spacing w:after="0" w:line="360" w:lineRule="auto"/>
              <w:rPr>
                <w:sz w:val="24"/>
                <w:szCs w:val="24"/>
                <w:lang w:eastAsia="zh-TW"/>
              </w:rPr>
            </w:pPr>
            <w:r w:rsidRPr="001167C1">
              <w:rPr>
                <w:sz w:val="24"/>
                <w:szCs w:val="24"/>
                <w:lang w:eastAsia="zh-TW"/>
              </w:rPr>
              <w:t>Current performance of</w:t>
            </w:r>
            <w:r w:rsidR="00D53F4E" w:rsidRPr="001167C1">
              <w:rPr>
                <w:sz w:val="24"/>
                <w:szCs w:val="24"/>
                <w:lang w:eastAsia="zh-TW"/>
              </w:rPr>
              <w:t xml:space="preserve"> Nominal GDP per </w:t>
            </w:r>
            <w:r w:rsidR="00AC30CD" w:rsidRPr="001167C1">
              <w:rPr>
                <w:sz w:val="24"/>
                <w:szCs w:val="24"/>
                <w:lang w:eastAsia="zh-TW"/>
              </w:rPr>
              <w:t xml:space="preserve">capita </w:t>
            </w:r>
            <w:r w:rsidRPr="001167C1">
              <w:rPr>
                <w:sz w:val="24"/>
                <w:szCs w:val="24"/>
                <w:lang w:eastAsia="zh-TW"/>
              </w:rPr>
              <w:t>in the selected countries</w:t>
            </w:r>
          </w:p>
        </w:tc>
        <w:tc>
          <w:tcPr>
            <w:tcW w:w="692" w:type="dxa"/>
          </w:tcPr>
          <w:p w14:paraId="74FF3B7E" w14:textId="77777777" w:rsidR="004238D8" w:rsidRPr="001167C1" w:rsidRDefault="004238D8" w:rsidP="001167C1">
            <w:pPr>
              <w:pStyle w:val="a0"/>
              <w:adjustRightInd w:val="0"/>
              <w:snapToGrid w:val="0"/>
              <w:spacing w:after="0" w:line="360" w:lineRule="auto"/>
              <w:jc w:val="center"/>
              <w:rPr>
                <w:sz w:val="24"/>
                <w:szCs w:val="24"/>
                <w:lang w:eastAsia="zh-TW"/>
              </w:rPr>
            </w:pPr>
          </w:p>
        </w:tc>
      </w:tr>
      <w:tr w:rsidR="006508F5" w:rsidRPr="001167C1" w14:paraId="7A38FB2C" w14:textId="77777777" w:rsidTr="001A5C97">
        <w:tc>
          <w:tcPr>
            <w:tcW w:w="546" w:type="dxa"/>
          </w:tcPr>
          <w:p w14:paraId="013B3755" w14:textId="77777777" w:rsidR="006508F5" w:rsidRPr="001167C1" w:rsidRDefault="006508F5" w:rsidP="001167C1">
            <w:pPr>
              <w:pStyle w:val="a0"/>
              <w:adjustRightInd w:val="0"/>
              <w:snapToGrid w:val="0"/>
              <w:spacing w:after="0" w:line="360" w:lineRule="auto"/>
              <w:rPr>
                <w:sz w:val="24"/>
                <w:szCs w:val="24"/>
                <w:lang w:eastAsia="zh-TW"/>
              </w:rPr>
            </w:pPr>
          </w:p>
        </w:tc>
        <w:tc>
          <w:tcPr>
            <w:tcW w:w="520" w:type="dxa"/>
          </w:tcPr>
          <w:p w14:paraId="57C66C41" w14:textId="67658FD7" w:rsidR="006508F5" w:rsidRPr="001167C1" w:rsidRDefault="006508F5" w:rsidP="001167C1">
            <w:pPr>
              <w:pStyle w:val="a0"/>
              <w:adjustRightInd w:val="0"/>
              <w:snapToGrid w:val="0"/>
              <w:spacing w:after="0" w:line="360" w:lineRule="auto"/>
              <w:rPr>
                <w:sz w:val="24"/>
                <w:szCs w:val="24"/>
                <w:lang w:eastAsia="zh-TW"/>
              </w:rPr>
            </w:pPr>
            <w:r w:rsidRPr="001167C1">
              <w:rPr>
                <w:sz w:val="24"/>
                <w:szCs w:val="24"/>
                <w:lang w:eastAsia="zh-TW"/>
              </w:rPr>
              <w:t>2.</w:t>
            </w:r>
            <w:r w:rsidR="003C4774" w:rsidRPr="001167C1">
              <w:rPr>
                <w:sz w:val="24"/>
                <w:szCs w:val="24"/>
                <w:lang w:eastAsia="zh-TW"/>
              </w:rPr>
              <w:t>4</w:t>
            </w:r>
          </w:p>
        </w:tc>
        <w:tc>
          <w:tcPr>
            <w:tcW w:w="7368" w:type="dxa"/>
            <w:gridSpan w:val="3"/>
          </w:tcPr>
          <w:p w14:paraId="7233D22D" w14:textId="16772760" w:rsidR="006508F5" w:rsidRPr="001167C1" w:rsidRDefault="00A664EE" w:rsidP="001167C1">
            <w:pPr>
              <w:pStyle w:val="a0"/>
              <w:adjustRightInd w:val="0"/>
              <w:snapToGrid w:val="0"/>
              <w:spacing w:after="0" w:line="360" w:lineRule="auto"/>
              <w:rPr>
                <w:sz w:val="24"/>
                <w:szCs w:val="24"/>
                <w:lang w:eastAsia="zh-TW"/>
              </w:rPr>
            </w:pPr>
            <w:r w:rsidRPr="001167C1">
              <w:rPr>
                <w:sz w:val="24"/>
                <w:szCs w:val="24"/>
                <w:lang w:eastAsia="zh-TW"/>
              </w:rPr>
              <w:t>The dataset</w:t>
            </w:r>
          </w:p>
        </w:tc>
        <w:tc>
          <w:tcPr>
            <w:tcW w:w="692" w:type="dxa"/>
          </w:tcPr>
          <w:p w14:paraId="4913087A" w14:textId="77777777" w:rsidR="006508F5" w:rsidRPr="001167C1" w:rsidRDefault="006508F5" w:rsidP="001167C1">
            <w:pPr>
              <w:pStyle w:val="a0"/>
              <w:adjustRightInd w:val="0"/>
              <w:snapToGrid w:val="0"/>
              <w:spacing w:after="0" w:line="360" w:lineRule="auto"/>
              <w:jc w:val="center"/>
              <w:rPr>
                <w:sz w:val="24"/>
                <w:szCs w:val="24"/>
                <w:lang w:eastAsia="zh-TW"/>
              </w:rPr>
            </w:pPr>
          </w:p>
        </w:tc>
      </w:tr>
      <w:bookmarkEnd w:id="0"/>
      <w:tr w:rsidR="00CA1589" w:rsidRPr="001167C1" w14:paraId="5E5DA4C8" w14:textId="77777777" w:rsidTr="001A5C97">
        <w:tc>
          <w:tcPr>
            <w:tcW w:w="546" w:type="dxa"/>
          </w:tcPr>
          <w:p w14:paraId="70239ECA" w14:textId="77777777" w:rsidR="00CA1589" w:rsidRPr="001167C1" w:rsidRDefault="00CA1589" w:rsidP="001167C1">
            <w:pPr>
              <w:pStyle w:val="a0"/>
              <w:adjustRightInd w:val="0"/>
              <w:snapToGrid w:val="0"/>
              <w:spacing w:after="0" w:line="360" w:lineRule="auto"/>
              <w:rPr>
                <w:sz w:val="24"/>
                <w:szCs w:val="24"/>
                <w:lang w:eastAsia="zh-TW"/>
              </w:rPr>
            </w:pPr>
          </w:p>
        </w:tc>
        <w:tc>
          <w:tcPr>
            <w:tcW w:w="7888" w:type="dxa"/>
            <w:gridSpan w:val="4"/>
          </w:tcPr>
          <w:p w14:paraId="218F8C91" w14:textId="6AE7720E" w:rsidR="00CA1589" w:rsidRPr="001167C1" w:rsidRDefault="00CA1589" w:rsidP="001167C1">
            <w:pPr>
              <w:pStyle w:val="a0"/>
              <w:adjustRightInd w:val="0"/>
              <w:snapToGrid w:val="0"/>
              <w:spacing w:after="0" w:line="360" w:lineRule="auto"/>
              <w:rPr>
                <w:sz w:val="24"/>
                <w:szCs w:val="24"/>
                <w:lang w:eastAsia="zh-TW"/>
              </w:rPr>
            </w:pPr>
          </w:p>
        </w:tc>
        <w:tc>
          <w:tcPr>
            <w:tcW w:w="692" w:type="dxa"/>
          </w:tcPr>
          <w:p w14:paraId="1B1060C8" w14:textId="77777777" w:rsidR="00CA1589" w:rsidRPr="001167C1" w:rsidRDefault="00CA1589" w:rsidP="001167C1">
            <w:pPr>
              <w:pStyle w:val="a0"/>
              <w:adjustRightInd w:val="0"/>
              <w:snapToGrid w:val="0"/>
              <w:spacing w:after="0" w:line="360" w:lineRule="auto"/>
              <w:jc w:val="center"/>
              <w:rPr>
                <w:sz w:val="24"/>
                <w:szCs w:val="24"/>
                <w:lang w:eastAsia="zh-TW"/>
              </w:rPr>
            </w:pPr>
          </w:p>
        </w:tc>
      </w:tr>
      <w:tr w:rsidR="00CA1589" w:rsidRPr="001167C1" w14:paraId="180A2CEF" w14:textId="77777777" w:rsidTr="001A5C97">
        <w:tc>
          <w:tcPr>
            <w:tcW w:w="546" w:type="dxa"/>
          </w:tcPr>
          <w:p w14:paraId="49877B7A" w14:textId="6FA4193F" w:rsidR="00CA1589" w:rsidRPr="001167C1" w:rsidRDefault="00225FC1" w:rsidP="001167C1">
            <w:pPr>
              <w:pStyle w:val="a0"/>
              <w:adjustRightInd w:val="0"/>
              <w:snapToGrid w:val="0"/>
              <w:spacing w:after="0" w:line="360" w:lineRule="auto"/>
              <w:rPr>
                <w:sz w:val="24"/>
                <w:szCs w:val="24"/>
                <w:lang w:eastAsia="zh-TW"/>
              </w:rPr>
            </w:pPr>
            <w:bookmarkStart w:id="1" w:name="_Hlk90989745"/>
            <w:r w:rsidRPr="001167C1">
              <w:rPr>
                <w:sz w:val="24"/>
                <w:szCs w:val="24"/>
                <w:lang w:eastAsia="zh-TW"/>
              </w:rPr>
              <w:t>3</w:t>
            </w:r>
          </w:p>
        </w:tc>
        <w:tc>
          <w:tcPr>
            <w:tcW w:w="7888" w:type="dxa"/>
            <w:gridSpan w:val="4"/>
          </w:tcPr>
          <w:p w14:paraId="6D98C398" w14:textId="76DF3580" w:rsidR="00CA1589" w:rsidRPr="001167C1" w:rsidRDefault="00CA1589" w:rsidP="001167C1">
            <w:pPr>
              <w:pStyle w:val="a0"/>
              <w:adjustRightInd w:val="0"/>
              <w:snapToGrid w:val="0"/>
              <w:spacing w:after="0" w:line="360" w:lineRule="auto"/>
              <w:rPr>
                <w:sz w:val="24"/>
                <w:szCs w:val="24"/>
                <w:lang w:eastAsia="zh-TW"/>
              </w:rPr>
            </w:pPr>
            <w:r w:rsidRPr="001167C1">
              <w:rPr>
                <w:sz w:val="24"/>
                <w:szCs w:val="24"/>
                <w:lang w:eastAsia="zh-TW"/>
              </w:rPr>
              <w:t xml:space="preserve">Analysis and </w:t>
            </w:r>
            <w:r w:rsidR="00A664EE" w:rsidRPr="001167C1">
              <w:rPr>
                <w:sz w:val="24"/>
                <w:szCs w:val="24"/>
                <w:lang w:eastAsia="zh-TW"/>
              </w:rPr>
              <w:t>D</w:t>
            </w:r>
            <w:r w:rsidRPr="001167C1">
              <w:rPr>
                <w:sz w:val="24"/>
                <w:szCs w:val="24"/>
                <w:lang w:eastAsia="zh-TW"/>
              </w:rPr>
              <w:t xml:space="preserve">iscussion </w:t>
            </w:r>
          </w:p>
        </w:tc>
        <w:tc>
          <w:tcPr>
            <w:tcW w:w="692" w:type="dxa"/>
          </w:tcPr>
          <w:p w14:paraId="18949AFA" w14:textId="2047E5F2" w:rsidR="00CA1589" w:rsidRPr="001167C1" w:rsidRDefault="00995CC2" w:rsidP="001167C1">
            <w:pPr>
              <w:pStyle w:val="a0"/>
              <w:adjustRightInd w:val="0"/>
              <w:snapToGrid w:val="0"/>
              <w:spacing w:after="0" w:line="360" w:lineRule="auto"/>
              <w:jc w:val="center"/>
              <w:rPr>
                <w:sz w:val="24"/>
                <w:szCs w:val="24"/>
                <w:lang w:eastAsia="zh-TW"/>
              </w:rPr>
            </w:pPr>
            <w:r w:rsidRPr="001167C1">
              <w:rPr>
                <w:sz w:val="24"/>
                <w:szCs w:val="24"/>
                <w:lang w:eastAsia="zh-TW"/>
              </w:rPr>
              <w:t>10</w:t>
            </w:r>
          </w:p>
        </w:tc>
      </w:tr>
      <w:tr w:rsidR="00CA1589" w:rsidRPr="001167C1" w14:paraId="5BD5FCAB" w14:textId="77777777" w:rsidTr="001A5C97">
        <w:tc>
          <w:tcPr>
            <w:tcW w:w="546" w:type="dxa"/>
          </w:tcPr>
          <w:p w14:paraId="596A8492" w14:textId="77777777" w:rsidR="00CA1589" w:rsidRPr="001167C1" w:rsidRDefault="00CA1589" w:rsidP="001167C1">
            <w:pPr>
              <w:pStyle w:val="a0"/>
              <w:adjustRightInd w:val="0"/>
              <w:snapToGrid w:val="0"/>
              <w:spacing w:after="0" w:line="360" w:lineRule="auto"/>
              <w:rPr>
                <w:sz w:val="24"/>
                <w:szCs w:val="24"/>
                <w:lang w:eastAsia="zh-TW"/>
              </w:rPr>
            </w:pPr>
          </w:p>
        </w:tc>
        <w:tc>
          <w:tcPr>
            <w:tcW w:w="565" w:type="dxa"/>
            <w:gridSpan w:val="3"/>
          </w:tcPr>
          <w:p w14:paraId="666CB445" w14:textId="34D014BE" w:rsidR="00CA1589" w:rsidRPr="001167C1" w:rsidRDefault="00225FC1" w:rsidP="001167C1">
            <w:pPr>
              <w:pStyle w:val="a0"/>
              <w:adjustRightInd w:val="0"/>
              <w:snapToGrid w:val="0"/>
              <w:spacing w:after="0" w:line="360" w:lineRule="auto"/>
              <w:rPr>
                <w:sz w:val="24"/>
                <w:szCs w:val="24"/>
                <w:lang w:eastAsia="zh-TW"/>
              </w:rPr>
            </w:pPr>
            <w:r w:rsidRPr="001167C1">
              <w:rPr>
                <w:sz w:val="24"/>
                <w:szCs w:val="24"/>
                <w:lang w:eastAsia="zh-TW"/>
              </w:rPr>
              <w:t>3</w:t>
            </w:r>
            <w:r w:rsidR="00CA1589" w:rsidRPr="001167C1">
              <w:rPr>
                <w:sz w:val="24"/>
                <w:szCs w:val="24"/>
                <w:lang w:eastAsia="zh-TW"/>
              </w:rPr>
              <w:t>.1</w:t>
            </w:r>
          </w:p>
        </w:tc>
        <w:tc>
          <w:tcPr>
            <w:tcW w:w="7323" w:type="dxa"/>
          </w:tcPr>
          <w:p w14:paraId="734CB619" w14:textId="55659526" w:rsidR="00CA1589" w:rsidRPr="001167C1" w:rsidRDefault="00617F7E"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Pattern of the global trend movement</w:t>
            </w:r>
          </w:p>
        </w:tc>
        <w:tc>
          <w:tcPr>
            <w:tcW w:w="692" w:type="dxa"/>
          </w:tcPr>
          <w:p w14:paraId="60F2C0A9" w14:textId="77777777" w:rsidR="00CA1589" w:rsidRPr="001167C1" w:rsidRDefault="00CA1589" w:rsidP="001167C1">
            <w:pPr>
              <w:pStyle w:val="a0"/>
              <w:adjustRightInd w:val="0"/>
              <w:snapToGrid w:val="0"/>
              <w:spacing w:after="0" w:line="360" w:lineRule="auto"/>
              <w:jc w:val="center"/>
              <w:rPr>
                <w:sz w:val="24"/>
                <w:szCs w:val="24"/>
                <w:lang w:eastAsia="zh-TW"/>
              </w:rPr>
            </w:pPr>
          </w:p>
        </w:tc>
      </w:tr>
      <w:tr w:rsidR="00372343" w:rsidRPr="001167C1" w14:paraId="62D66AFF" w14:textId="77777777" w:rsidTr="001A5C97">
        <w:tc>
          <w:tcPr>
            <w:tcW w:w="546" w:type="dxa"/>
          </w:tcPr>
          <w:p w14:paraId="6F1A3828" w14:textId="77777777" w:rsidR="00372343" w:rsidRPr="001167C1" w:rsidRDefault="00372343" w:rsidP="001167C1">
            <w:pPr>
              <w:pStyle w:val="a0"/>
              <w:adjustRightInd w:val="0"/>
              <w:snapToGrid w:val="0"/>
              <w:spacing w:after="0" w:line="360" w:lineRule="auto"/>
              <w:rPr>
                <w:sz w:val="24"/>
                <w:szCs w:val="24"/>
                <w:lang w:eastAsia="zh-TW"/>
              </w:rPr>
            </w:pPr>
          </w:p>
        </w:tc>
        <w:tc>
          <w:tcPr>
            <w:tcW w:w="565" w:type="dxa"/>
            <w:gridSpan w:val="3"/>
          </w:tcPr>
          <w:p w14:paraId="5BE9523D" w14:textId="46DEF4D8" w:rsidR="00372343" w:rsidRPr="001167C1" w:rsidRDefault="00225FC1" w:rsidP="001167C1">
            <w:pPr>
              <w:pStyle w:val="a0"/>
              <w:adjustRightInd w:val="0"/>
              <w:snapToGrid w:val="0"/>
              <w:spacing w:after="0" w:line="360" w:lineRule="auto"/>
              <w:rPr>
                <w:sz w:val="24"/>
                <w:szCs w:val="24"/>
                <w:lang w:eastAsia="zh-TW"/>
              </w:rPr>
            </w:pPr>
            <w:r w:rsidRPr="001167C1">
              <w:rPr>
                <w:sz w:val="24"/>
                <w:szCs w:val="24"/>
                <w:lang w:eastAsia="zh-TW"/>
              </w:rPr>
              <w:t>3</w:t>
            </w:r>
            <w:r w:rsidR="00372343" w:rsidRPr="001167C1">
              <w:rPr>
                <w:sz w:val="24"/>
                <w:szCs w:val="24"/>
                <w:lang w:eastAsia="zh-TW"/>
              </w:rPr>
              <w:t>.2</w:t>
            </w:r>
          </w:p>
        </w:tc>
        <w:tc>
          <w:tcPr>
            <w:tcW w:w="7323" w:type="dxa"/>
          </w:tcPr>
          <w:p w14:paraId="2104C3CE" w14:textId="3201F7AD" w:rsidR="00372343" w:rsidRPr="001167C1" w:rsidRDefault="00617F7E" w:rsidP="001167C1">
            <w:pPr>
              <w:pStyle w:val="a0"/>
              <w:adjustRightInd w:val="0"/>
              <w:snapToGrid w:val="0"/>
              <w:spacing w:after="0" w:line="360" w:lineRule="auto"/>
              <w:rPr>
                <w:sz w:val="24"/>
                <w:szCs w:val="24"/>
                <w:lang w:eastAsia="zh-TW"/>
              </w:rPr>
            </w:pPr>
            <w:r w:rsidRPr="001167C1">
              <w:rPr>
                <w:sz w:val="24"/>
                <w:szCs w:val="24"/>
                <w:lang w:eastAsia="zh-TW"/>
              </w:rPr>
              <w:t>Pattern of the local trend movement</w:t>
            </w:r>
          </w:p>
        </w:tc>
        <w:tc>
          <w:tcPr>
            <w:tcW w:w="692" w:type="dxa"/>
          </w:tcPr>
          <w:p w14:paraId="4ED880EA" w14:textId="77777777" w:rsidR="00372343" w:rsidRPr="001167C1" w:rsidRDefault="00372343" w:rsidP="001167C1">
            <w:pPr>
              <w:pStyle w:val="a0"/>
              <w:adjustRightInd w:val="0"/>
              <w:snapToGrid w:val="0"/>
              <w:spacing w:after="0" w:line="360" w:lineRule="auto"/>
              <w:jc w:val="center"/>
              <w:rPr>
                <w:sz w:val="24"/>
                <w:szCs w:val="24"/>
                <w:lang w:eastAsia="zh-TW"/>
              </w:rPr>
            </w:pPr>
          </w:p>
        </w:tc>
      </w:tr>
      <w:tr w:rsidR="00A664EE" w:rsidRPr="001167C1" w14:paraId="3593DFDA" w14:textId="77777777" w:rsidTr="001A5C97">
        <w:tc>
          <w:tcPr>
            <w:tcW w:w="546" w:type="dxa"/>
          </w:tcPr>
          <w:p w14:paraId="33B09391" w14:textId="77777777" w:rsidR="00A664EE" w:rsidRPr="001167C1" w:rsidRDefault="00A664EE" w:rsidP="001167C1">
            <w:pPr>
              <w:pStyle w:val="a0"/>
              <w:adjustRightInd w:val="0"/>
              <w:snapToGrid w:val="0"/>
              <w:spacing w:after="0" w:line="360" w:lineRule="auto"/>
              <w:rPr>
                <w:sz w:val="24"/>
                <w:szCs w:val="24"/>
                <w:lang w:eastAsia="zh-TW"/>
              </w:rPr>
            </w:pPr>
          </w:p>
        </w:tc>
        <w:tc>
          <w:tcPr>
            <w:tcW w:w="565" w:type="dxa"/>
            <w:gridSpan w:val="3"/>
          </w:tcPr>
          <w:p w14:paraId="1819E7D0" w14:textId="0BFA6F84" w:rsidR="00A664EE" w:rsidRPr="001167C1" w:rsidRDefault="00A664EE" w:rsidP="001167C1">
            <w:pPr>
              <w:pStyle w:val="a0"/>
              <w:adjustRightInd w:val="0"/>
              <w:snapToGrid w:val="0"/>
              <w:spacing w:after="0" w:line="360" w:lineRule="auto"/>
              <w:rPr>
                <w:sz w:val="24"/>
                <w:szCs w:val="24"/>
                <w:lang w:eastAsia="zh-TW"/>
              </w:rPr>
            </w:pPr>
            <w:r w:rsidRPr="001167C1">
              <w:rPr>
                <w:sz w:val="24"/>
                <w:szCs w:val="24"/>
                <w:lang w:eastAsia="zh-TW"/>
              </w:rPr>
              <w:t>3.3</w:t>
            </w:r>
          </w:p>
        </w:tc>
        <w:tc>
          <w:tcPr>
            <w:tcW w:w="7323" w:type="dxa"/>
          </w:tcPr>
          <w:p w14:paraId="34DECAA4" w14:textId="6B5E1EB0" w:rsidR="00A664EE" w:rsidRPr="001167C1" w:rsidRDefault="00617F7E" w:rsidP="001167C1">
            <w:pPr>
              <w:pStyle w:val="a0"/>
              <w:adjustRightInd w:val="0"/>
              <w:snapToGrid w:val="0"/>
              <w:spacing w:after="0" w:line="360" w:lineRule="auto"/>
              <w:rPr>
                <w:sz w:val="24"/>
                <w:szCs w:val="24"/>
                <w:lang w:eastAsia="zh-TW"/>
              </w:rPr>
            </w:pPr>
            <w:r w:rsidRPr="001167C1">
              <w:rPr>
                <w:sz w:val="24"/>
                <w:szCs w:val="24"/>
                <w:lang w:eastAsia="zh-TW"/>
              </w:rPr>
              <w:t>Summary</w:t>
            </w:r>
            <w:r w:rsidR="00995CC2" w:rsidRPr="001167C1">
              <w:rPr>
                <w:sz w:val="24"/>
                <w:szCs w:val="24"/>
                <w:lang w:eastAsia="zh-TW"/>
              </w:rPr>
              <w:t xml:space="preserve"> of findings</w:t>
            </w:r>
            <w:r w:rsidR="00995CC2" w:rsidRPr="001167C1">
              <w:rPr>
                <w:sz w:val="24"/>
                <w:szCs w:val="24"/>
                <w:lang w:eastAsia="zh-TW"/>
              </w:rPr>
              <w:br/>
              <w:t>3.3.1 From Data set</w:t>
            </w:r>
            <w:r w:rsidR="00995CC2" w:rsidRPr="001167C1">
              <w:rPr>
                <w:sz w:val="24"/>
                <w:szCs w:val="24"/>
                <w:lang w:eastAsia="zh-TW"/>
              </w:rPr>
              <w:br/>
              <w:t>3.3.2 From Empirical research</w:t>
            </w:r>
          </w:p>
        </w:tc>
        <w:tc>
          <w:tcPr>
            <w:tcW w:w="692" w:type="dxa"/>
          </w:tcPr>
          <w:p w14:paraId="6593E018" w14:textId="77777777" w:rsidR="00A664EE" w:rsidRPr="001167C1" w:rsidRDefault="00A664EE" w:rsidP="001167C1">
            <w:pPr>
              <w:pStyle w:val="a0"/>
              <w:adjustRightInd w:val="0"/>
              <w:snapToGrid w:val="0"/>
              <w:spacing w:after="0" w:line="360" w:lineRule="auto"/>
              <w:jc w:val="center"/>
              <w:rPr>
                <w:sz w:val="24"/>
                <w:szCs w:val="24"/>
                <w:lang w:eastAsia="zh-TW"/>
              </w:rPr>
            </w:pPr>
          </w:p>
          <w:p w14:paraId="73D22C72" w14:textId="77777777" w:rsidR="00995CC2" w:rsidRPr="001167C1" w:rsidRDefault="00995CC2" w:rsidP="001167C1">
            <w:pPr>
              <w:pStyle w:val="a0"/>
              <w:adjustRightInd w:val="0"/>
              <w:snapToGrid w:val="0"/>
              <w:spacing w:after="0" w:line="360" w:lineRule="auto"/>
              <w:jc w:val="center"/>
              <w:rPr>
                <w:sz w:val="24"/>
                <w:szCs w:val="24"/>
                <w:lang w:eastAsia="zh-TW"/>
              </w:rPr>
            </w:pPr>
          </w:p>
          <w:p w14:paraId="6210B245" w14:textId="77777777" w:rsidR="00995CC2" w:rsidRPr="001167C1" w:rsidRDefault="00995CC2" w:rsidP="001167C1">
            <w:pPr>
              <w:pStyle w:val="a0"/>
              <w:adjustRightInd w:val="0"/>
              <w:snapToGrid w:val="0"/>
              <w:spacing w:after="0" w:line="360" w:lineRule="auto"/>
              <w:jc w:val="center"/>
              <w:rPr>
                <w:sz w:val="24"/>
                <w:szCs w:val="24"/>
                <w:lang w:eastAsia="zh-TW"/>
              </w:rPr>
            </w:pPr>
          </w:p>
        </w:tc>
      </w:tr>
      <w:bookmarkEnd w:id="1"/>
      <w:tr w:rsidR="00372343" w:rsidRPr="001167C1" w14:paraId="001B4A2A" w14:textId="77777777" w:rsidTr="001A5C97">
        <w:tc>
          <w:tcPr>
            <w:tcW w:w="546" w:type="dxa"/>
          </w:tcPr>
          <w:p w14:paraId="38AF4849" w14:textId="77777777" w:rsidR="00372343" w:rsidRPr="001167C1" w:rsidRDefault="00372343" w:rsidP="001167C1">
            <w:pPr>
              <w:pStyle w:val="a0"/>
              <w:adjustRightInd w:val="0"/>
              <w:snapToGrid w:val="0"/>
              <w:spacing w:after="0" w:line="360" w:lineRule="auto"/>
              <w:rPr>
                <w:sz w:val="24"/>
                <w:szCs w:val="24"/>
                <w:lang w:eastAsia="zh-TW"/>
              </w:rPr>
            </w:pPr>
          </w:p>
        </w:tc>
        <w:tc>
          <w:tcPr>
            <w:tcW w:w="7888" w:type="dxa"/>
            <w:gridSpan w:val="4"/>
          </w:tcPr>
          <w:p w14:paraId="3774DD14" w14:textId="77777777" w:rsidR="00372343" w:rsidRPr="001167C1" w:rsidRDefault="00372343" w:rsidP="001167C1">
            <w:pPr>
              <w:pStyle w:val="a0"/>
              <w:adjustRightInd w:val="0"/>
              <w:snapToGrid w:val="0"/>
              <w:spacing w:after="0" w:line="360" w:lineRule="auto"/>
              <w:rPr>
                <w:rFonts w:eastAsia="標楷體"/>
                <w:sz w:val="24"/>
                <w:szCs w:val="24"/>
              </w:rPr>
            </w:pPr>
          </w:p>
        </w:tc>
        <w:tc>
          <w:tcPr>
            <w:tcW w:w="692" w:type="dxa"/>
          </w:tcPr>
          <w:p w14:paraId="195229D3" w14:textId="77777777" w:rsidR="00372343" w:rsidRPr="001167C1" w:rsidRDefault="00372343" w:rsidP="001167C1">
            <w:pPr>
              <w:pStyle w:val="a0"/>
              <w:adjustRightInd w:val="0"/>
              <w:snapToGrid w:val="0"/>
              <w:spacing w:after="0" w:line="360" w:lineRule="auto"/>
              <w:jc w:val="center"/>
              <w:rPr>
                <w:sz w:val="24"/>
                <w:szCs w:val="24"/>
                <w:lang w:eastAsia="zh-TW"/>
              </w:rPr>
            </w:pPr>
          </w:p>
        </w:tc>
      </w:tr>
      <w:tr w:rsidR="00372343" w:rsidRPr="001167C1" w14:paraId="4C182E88" w14:textId="77777777" w:rsidTr="001A5C97">
        <w:tc>
          <w:tcPr>
            <w:tcW w:w="546" w:type="dxa"/>
          </w:tcPr>
          <w:p w14:paraId="31F8DDD0" w14:textId="38AF3BB1" w:rsidR="00372343" w:rsidRPr="001167C1" w:rsidRDefault="00225FC1" w:rsidP="001167C1">
            <w:pPr>
              <w:pStyle w:val="a0"/>
              <w:adjustRightInd w:val="0"/>
              <w:snapToGrid w:val="0"/>
              <w:spacing w:after="0" w:line="360" w:lineRule="auto"/>
              <w:rPr>
                <w:sz w:val="24"/>
                <w:szCs w:val="24"/>
                <w:lang w:eastAsia="zh-TW"/>
              </w:rPr>
            </w:pPr>
            <w:r w:rsidRPr="001167C1">
              <w:rPr>
                <w:sz w:val="24"/>
                <w:szCs w:val="24"/>
                <w:lang w:eastAsia="zh-TW"/>
              </w:rPr>
              <w:t>4</w:t>
            </w:r>
          </w:p>
        </w:tc>
        <w:tc>
          <w:tcPr>
            <w:tcW w:w="7888" w:type="dxa"/>
            <w:gridSpan w:val="4"/>
          </w:tcPr>
          <w:p w14:paraId="33624304" w14:textId="67AC3719" w:rsidR="00372343" w:rsidRPr="001167C1" w:rsidRDefault="00372343" w:rsidP="001167C1">
            <w:pPr>
              <w:pStyle w:val="a0"/>
              <w:adjustRightInd w:val="0"/>
              <w:snapToGrid w:val="0"/>
              <w:spacing w:after="0" w:line="360" w:lineRule="auto"/>
              <w:rPr>
                <w:rFonts w:eastAsia="標楷體"/>
                <w:sz w:val="24"/>
                <w:szCs w:val="24"/>
              </w:rPr>
            </w:pPr>
            <w:r w:rsidRPr="001167C1">
              <w:rPr>
                <w:rFonts w:eastAsia="標楷體"/>
                <w:sz w:val="24"/>
                <w:szCs w:val="24"/>
              </w:rPr>
              <w:t xml:space="preserve">Conclusion and </w:t>
            </w:r>
            <w:r w:rsidR="00A664EE" w:rsidRPr="001167C1">
              <w:rPr>
                <w:rFonts w:eastAsia="標楷體"/>
                <w:sz w:val="24"/>
                <w:szCs w:val="24"/>
              </w:rPr>
              <w:t>R</w:t>
            </w:r>
            <w:r w:rsidRPr="001167C1">
              <w:rPr>
                <w:rFonts w:eastAsia="標楷體"/>
                <w:sz w:val="24"/>
                <w:szCs w:val="24"/>
              </w:rPr>
              <w:t>ecommendation</w:t>
            </w:r>
            <w:r w:rsidR="00BC74F5" w:rsidRPr="001167C1">
              <w:rPr>
                <w:rFonts w:eastAsia="標楷體"/>
                <w:sz w:val="24"/>
                <w:szCs w:val="24"/>
              </w:rPr>
              <w:t>s</w:t>
            </w:r>
          </w:p>
        </w:tc>
        <w:tc>
          <w:tcPr>
            <w:tcW w:w="692" w:type="dxa"/>
          </w:tcPr>
          <w:p w14:paraId="5BB1B922" w14:textId="40FA9183" w:rsidR="00372343" w:rsidRPr="001167C1" w:rsidRDefault="00995CC2" w:rsidP="001167C1">
            <w:pPr>
              <w:pStyle w:val="a0"/>
              <w:adjustRightInd w:val="0"/>
              <w:snapToGrid w:val="0"/>
              <w:spacing w:after="0" w:line="360" w:lineRule="auto"/>
              <w:jc w:val="center"/>
              <w:rPr>
                <w:sz w:val="24"/>
                <w:szCs w:val="24"/>
                <w:lang w:eastAsia="zh-TW"/>
              </w:rPr>
            </w:pPr>
            <w:r w:rsidRPr="001167C1">
              <w:rPr>
                <w:sz w:val="24"/>
                <w:szCs w:val="24"/>
                <w:lang w:eastAsia="zh-TW"/>
              </w:rPr>
              <w:t>26</w:t>
            </w:r>
          </w:p>
        </w:tc>
      </w:tr>
      <w:tr w:rsidR="00372343" w:rsidRPr="001167C1" w14:paraId="57F3D633" w14:textId="77777777" w:rsidTr="001A5C97">
        <w:tc>
          <w:tcPr>
            <w:tcW w:w="546" w:type="dxa"/>
          </w:tcPr>
          <w:p w14:paraId="56BE07CC" w14:textId="77777777" w:rsidR="00372343" w:rsidRPr="001167C1" w:rsidRDefault="00372343" w:rsidP="001167C1">
            <w:pPr>
              <w:pStyle w:val="a0"/>
              <w:adjustRightInd w:val="0"/>
              <w:snapToGrid w:val="0"/>
              <w:spacing w:after="0" w:line="360" w:lineRule="auto"/>
              <w:rPr>
                <w:sz w:val="24"/>
                <w:szCs w:val="24"/>
                <w:lang w:eastAsia="zh-TW"/>
              </w:rPr>
            </w:pPr>
          </w:p>
        </w:tc>
        <w:tc>
          <w:tcPr>
            <w:tcW w:w="555" w:type="dxa"/>
            <w:gridSpan w:val="2"/>
          </w:tcPr>
          <w:p w14:paraId="533E08A1" w14:textId="7D3A39D1" w:rsidR="00372343" w:rsidRPr="001167C1" w:rsidRDefault="009D3135" w:rsidP="001167C1">
            <w:pPr>
              <w:pStyle w:val="a0"/>
              <w:adjustRightInd w:val="0"/>
              <w:snapToGrid w:val="0"/>
              <w:spacing w:after="0" w:line="360" w:lineRule="auto"/>
              <w:rPr>
                <w:sz w:val="24"/>
                <w:szCs w:val="24"/>
                <w:lang w:eastAsia="zh-TW"/>
              </w:rPr>
            </w:pPr>
            <w:r>
              <w:rPr>
                <w:rFonts w:hint="eastAsia"/>
                <w:sz w:val="24"/>
                <w:szCs w:val="24"/>
                <w:lang w:eastAsia="zh-TW"/>
              </w:rPr>
              <w:t>4</w:t>
            </w:r>
            <w:r>
              <w:rPr>
                <w:sz w:val="24"/>
                <w:szCs w:val="24"/>
                <w:lang w:eastAsia="zh-TW"/>
              </w:rPr>
              <w:t xml:space="preserve">.1 </w:t>
            </w:r>
          </w:p>
        </w:tc>
        <w:tc>
          <w:tcPr>
            <w:tcW w:w="7333" w:type="dxa"/>
            <w:gridSpan w:val="2"/>
          </w:tcPr>
          <w:p w14:paraId="0DDDFB6F" w14:textId="1AD6FD3C" w:rsidR="00372343" w:rsidRPr="001167C1" w:rsidRDefault="009D3135" w:rsidP="001167C1">
            <w:pPr>
              <w:pStyle w:val="a0"/>
              <w:adjustRightInd w:val="0"/>
              <w:snapToGrid w:val="0"/>
              <w:spacing w:after="0" w:line="360" w:lineRule="auto"/>
              <w:rPr>
                <w:sz w:val="24"/>
                <w:szCs w:val="24"/>
                <w:lang w:eastAsia="zh-TW"/>
              </w:rPr>
            </w:pPr>
            <w:r>
              <w:rPr>
                <w:rFonts w:hint="eastAsia"/>
                <w:sz w:val="24"/>
                <w:szCs w:val="24"/>
                <w:lang w:eastAsia="zh-TW"/>
              </w:rPr>
              <w:t>R</w:t>
            </w:r>
            <w:r>
              <w:rPr>
                <w:sz w:val="24"/>
                <w:szCs w:val="24"/>
                <w:lang w:eastAsia="zh-TW"/>
              </w:rPr>
              <w:t>ecommendations</w:t>
            </w:r>
          </w:p>
        </w:tc>
        <w:tc>
          <w:tcPr>
            <w:tcW w:w="692" w:type="dxa"/>
          </w:tcPr>
          <w:p w14:paraId="180376DE" w14:textId="77777777" w:rsidR="00372343" w:rsidRPr="001167C1" w:rsidRDefault="00372343" w:rsidP="001167C1">
            <w:pPr>
              <w:pStyle w:val="a0"/>
              <w:adjustRightInd w:val="0"/>
              <w:snapToGrid w:val="0"/>
              <w:spacing w:after="0" w:line="360" w:lineRule="auto"/>
              <w:jc w:val="center"/>
              <w:rPr>
                <w:sz w:val="24"/>
                <w:szCs w:val="24"/>
                <w:lang w:eastAsia="zh-TW"/>
              </w:rPr>
            </w:pPr>
          </w:p>
        </w:tc>
      </w:tr>
      <w:tr w:rsidR="00372343" w:rsidRPr="001167C1" w14:paraId="4D7EF389" w14:textId="77777777" w:rsidTr="001A5C97">
        <w:tc>
          <w:tcPr>
            <w:tcW w:w="546" w:type="dxa"/>
          </w:tcPr>
          <w:p w14:paraId="406D3B2B" w14:textId="77777777" w:rsidR="00372343" w:rsidRPr="001167C1" w:rsidRDefault="00372343" w:rsidP="001167C1">
            <w:pPr>
              <w:pStyle w:val="a0"/>
              <w:adjustRightInd w:val="0"/>
              <w:snapToGrid w:val="0"/>
              <w:spacing w:after="0" w:line="360" w:lineRule="auto"/>
              <w:rPr>
                <w:sz w:val="24"/>
                <w:szCs w:val="24"/>
                <w:lang w:eastAsia="zh-TW"/>
              </w:rPr>
            </w:pPr>
          </w:p>
        </w:tc>
        <w:tc>
          <w:tcPr>
            <w:tcW w:w="555" w:type="dxa"/>
            <w:gridSpan w:val="2"/>
          </w:tcPr>
          <w:p w14:paraId="3983B5E4" w14:textId="2D965021" w:rsidR="00372343" w:rsidRPr="001167C1" w:rsidRDefault="009D3135" w:rsidP="001167C1">
            <w:pPr>
              <w:pStyle w:val="a0"/>
              <w:adjustRightInd w:val="0"/>
              <w:snapToGrid w:val="0"/>
              <w:spacing w:after="0" w:line="360" w:lineRule="auto"/>
              <w:rPr>
                <w:sz w:val="24"/>
                <w:szCs w:val="24"/>
                <w:lang w:eastAsia="zh-TW"/>
              </w:rPr>
            </w:pPr>
            <w:r>
              <w:rPr>
                <w:rFonts w:hint="eastAsia"/>
                <w:sz w:val="24"/>
                <w:szCs w:val="24"/>
                <w:lang w:eastAsia="zh-TW"/>
              </w:rPr>
              <w:t>4</w:t>
            </w:r>
            <w:r>
              <w:rPr>
                <w:sz w:val="24"/>
                <w:szCs w:val="24"/>
                <w:lang w:eastAsia="zh-TW"/>
              </w:rPr>
              <w:t>.2</w:t>
            </w:r>
          </w:p>
        </w:tc>
        <w:tc>
          <w:tcPr>
            <w:tcW w:w="7333" w:type="dxa"/>
            <w:gridSpan w:val="2"/>
          </w:tcPr>
          <w:p w14:paraId="0CE5BA6E" w14:textId="35ABB98B" w:rsidR="00372343" w:rsidRPr="001167C1" w:rsidRDefault="009D3135" w:rsidP="001167C1">
            <w:pPr>
              <w:pStyle w:val="a0"/>
              <w:adjustRightInd w:val="0"/>
              <w:snapToGrid w:val="0"/>
              <w:spacing w:after="0" w:line="360" w:lineRule="auto"/>
              <w:rPr>
                <w:sz w:val="24"/>
                <w:szCs w:val="24"/>
                <w:lang w:eastAsia="zh-TW"/>
              </w:rPr>
            </w:pPr>
            <w:r>
              <w:rPr>
                <w:rFonts w:hint="eastAsia"/>
                <w:sz w:val="24"/>
                <w:szCs w:val="24"/>
                <w:lang w:eastAsia="zh-TW"/>
              </w:rPr>
              <w:t>L</w:t>
            </w:r>
            <w:r>
              <w:rPr>
                <w:sz w:val="24"/>
                <w:szCs w:val="24"/>
                <w:lang w:eastAsia="zh-TW"/>
              </w:rPr>
              <w:t>imitation</w:t>
            </w:r>
          </w:p>
        </w:tc>
        <w:tc>
          <w:tcPr>
            <w:tcW w:w="692" w:type="dxa"/>
          </w:tcPr>
          <w:p w14:paraId="642DD631" w14:textId="77777777" w:rsidR="00372343" w:rsidRPr="001167C1" w:rsidRDefault="00372343" w:rsidP="001167C1">
            <w:pPr>
              <w:pStyle w:val="a0"/>
              <w:adjustRightInd w:val="0"/>
              <w:snapToGrid w:val="0"/>
              <w:spacing w:after="0" w:line="360" w:lineRule="auto"/>
              <w:jc w:val="center"/>
              <w:rPr>
                <w:sz w:val="24"/>
                <w:szCs w:val="24"/>
                <w:lang w:eastAsia="zh-TW"/>
              </w:rPr>
            </w:pPr>
          </w:p>
        </w:tc>
      </w:tr>
      <w:tr w:rsidR="00372343" w:rsidRPr="001167C1" w14:paraId="768CAEC6" w14:textId="77777777" w:rsidTr="001A5C97">
        <w:tc>
          <w:tcPr>
            <w:tcW w:w="546" w:type="dxa"/>
          </w:tcPr>
          <w:p w14:paraId="1A51B187" w14:textId="77777777" w:rsidR="00372343" w:rsidRPr="001167C1" w:rsidRDefault="00372343" w:rsidP="001167C1">
            <w:pPr>
              <w:pStyle w:val="a0"/>
              <w:adjustRightInd w:val="0"/>
              <w:snapToGrid w:val="0"/>
              <w:spacing w:after="0" w:line="360" w:lineRule="auto"/>
              <w:rPr>
                <w:sz w:val="24"/>
                <w:szCs w:val="24"/>
                <w:lang w:eastAsia="zh-TW"/>
              </w:rPr>
            </w:pPr>
          </w:p>
        </w:tc>
        <w:tc>
          <w:tcPr>
            <w:tcW w:w="7888" w:type="dxa"/>
            <w:gridSpan w:val="4"/>
          </w:tcPr>
          <w:p w14:paraId="4B144AF4" w14:textId="54045003" w:rsidR="00372343" w:rsidRPr="001167C1" w:rsidRDefault="00372343" w:rsidP="001167C1">
            <w:pPr>
              <w:pStyle w:val="a0"/>
              <w:adjustRightInd w:val="0"/>
              <w:snapToGrid w:val="0"/>
              <w:spacing w:after="0" w:line="360" w:lineRule="auto"/>
              <w:rPr>
                <w:sz w:val="24"/>
                <w:szCs w:val="24"/>
                <w:lang w:eastAsia="zh-TW"/>
              </w:rPr>
            </w:pPr>
          </w:p>
        </w:tc>
        <w:tc>
          <w:tcPr>
            <w:tcW w:w="692" w:type="dxa"/>
          </w:tcPr>
          <w:p w14:paraId="648C5458" w14:textId="77777777" w:rsidR="00372343" w:rsidRPr="001167C1" w:rsidRDefault="00372343" w:rsidP="001167C1">
            <w:pPr>
              <w:pStyle w:val="a0"/>
              <w:adjustRightInd w:val="0"/>
              <w:snapToGrid w:val="0"/>
              <w:spacing w:after="0" w:line="360" w:lineRule="auto"/>
              <w:jc w:val="center"/>
              <w:rPr>
                <w:sz w:val="24"/>
                <w:szCs w:val="24"/>
                <w:lang w:eastAsia="zh-TW"/>
              </w:rPr>
            </w:pPr>
          </w:p>
        </w:tc>
      </w:tr>
      <w:tr w:rsidR="00372343" w:rsidRPr="001167C1" w14:paraId="3682519A" w14:textId="77777777" w:rsidTr="001A5C97">
        <w:tc>
          <w:tcPr>
            <w:tcW w:w="8434" w:type="dxa"/>
            <w:gridSpan w:val="5"/>
          </w:tcPr>
          <w:p w14:paraId="0E19D6F9" w14:textId="77777777" w:rsidR="00372343" w:rsidRPr="001167C1" w:rsidRDefault="00372343" w:rsidP="001167C1">
            <w:pPr>
              <w:pStyle w:val="a0"/>
              <w:adjustRightInd w:val="0"/>
              <w:snapToGrid w:val="0"/>
              <w:spacing w:after="0" w:line="360" w:lineRule="auto"/>
              <w:rPr>
                <w:sz w:val="24"/>
                <w:szCs w:val="24"/>
                <w:lang w:eastAsia="zh-TW"/>
              </w:rPr>
            </w:pPr>
            <w:r w:rsidRPr="001167C1">
              <w:rPr>
                <w:sz w:val="24"/>
                <w:szCs w:val="24"/>
                <w:lang w:eastAsia="zh-TW"/>
              </w:rPr>
              <w:t>References</w:t>
            </w:r>
          </w:p>
        </w:tc>
        <w:tc>
          <w:tcPr>
            <w:tcW w:w="692" w:type="dxa"/>
          </w:tcPr>
          <w:p w14:paraId="1058B772" w14:textId="50825CE0" w:rsidR="00372343" w:rsidRPr="001167C1" w:rsidRDefault="00995CC2" w:rsidP="001167C1">
            <w:pPr>
              <w:pStyle w:val="a0"/>
              <w:adjustRightInd w:val="0"/>
              <w:snapToGrid w:val="0"/>
              <w:spacing w:after="0" w:line="360" w:lineRule="auto"/>
              <w:jc w:val="center"/>
              <w:rPr>
                <w:sz w:val="24"/>
                <w:szCs w:val="24"/>
                <w:lang w:eastAsia="zh-TW"/>
              </w:rPr>
            </w:pPr>
            <w:r w:rsidRPr="001167C1">
              <w:rPr>
                <w:sz w:val="24"/>
                <w:szCs w:val="24"/>
                <w:lang w:eastAsia="zh-TW"/>
              </w:rPr>
              <w:t>28</w:t>
            </w:r>
          </w:p>
        </w:tc>
      </w:tr>
      <w:tr w:rsidR="00372343" w:rsidRPr="001167C1" w14:paraId="2C3C0429" w14:textId="77777777" w:rsidTr="001A5C97">
        <w:tc>
          <w:tcPr>
            <w:tcW w:w="8434" w:type="dxa"/>
            <w:gridSpan w:val="5"/>
          </w:tcPr>
          <w:p w14:paraId="40815BD5" w14:textId="77777777" w:rsidR="00372343" w:rsidRPr="001167C1" w:rsidRDefault="00372343" w:rsidP="001167C1">
            <w:pPr>
              <w:pStyle w:val="a0"/>
              <w:adjustRightInd w:val="0"/>
              <w:snapToGrid w:val="0"/>
              <w:spacing w:after="0" w:line="360" w:lineRule="auto"/>
              <w:rPr>
                <w:color w:val="0000FF"/>
                <w:sz w:val="24"/>
                <w:szCs w:val="24"/>
                <w:lang w:eastAsia="zh-TW"/>
              </w:rPr>
            </w:pPr>
          </w:p>
        </w:tc>
        <w:tc>
          <w:tcPr>
            <w:tcW w:w="692" w:type="dxa"/>
          </w:tcPr>
          <w:p w14:paraId="3DACE0E2" w14:textId="77777777" w:rsidR="00372343" w:rsidRPr="001167C1" w:rsidRDefault="00372343" w:rsidP="001167C1">
            <w:pPr>
              <w:pStyle w:val="a0"/>
              <w:adjustRightInd w:val="0"/>
              <w:snapToGrid w:val="0"/>
              <w:spacing w:after="0" w:line="360" w:lineRule="auto"/>
              <w:jc w:val="center"/>
              <w:rPr>
                <w:sz w:val="24"/>
                <w:szCs w:val="24"/>
                <w:lang w:eastAsia="zh-TW"/>
              </w:rPr>
            </w:pPr>
          </w:p>
        </w:tc>
      </w:tr>
      <w:tr w:rsidR="00372343" w:rsidRPr="001167C1" w14:paraId="46FE45C7" w14:textId="77777777" w:rsidTr="001A5C97">
        <w:tc>
          <w:tcPr>
            <w:tcW w:w="8434" w:type="dxa"/>
            <w:gridSpan w:val="5"/>
          </w:tcPr>
          <w:p w14:paraId="15786C5E" w14:textId="22CFA876" w:rsidR="00372343" w:rsidRPr="001167C1" w:rsidRDefault="00372343" w:rsidP="001167C1">
            <w:pPr>
              <w:pStyle w:val="a0"/>
              <w:adjustRightInd w:val="0"/>
              <w:snapToGrid w:val="0"/>
              <w:spacing w:after="0" w:line="360" w:lineRule="auto"/>
              <w:rPr>
                <w:sz w:val="24"/>
                <w:szCs w:val="24"/>
                <w:lang w:eastAsia="zh-TW"/>
              </w:rPr>
            </w:pPr>
          </w:p>
        </w:tc>
        <w:tc>
          <w:tcPr>
            <w:tcW w:w="692" w:type="dxa"/>
          </w:tcPr>
          <w:p w14:paraId="47E212F6" w14:textId="137E8A7D" w:rsidR="00372343" w:rsidRPr="001167C1" w:rsidRDefault="00372343" w:rsidP="001167C1">
            <w:pPr>
              <w:pStyle w:val="a0"/>
              <w:adjustRightInd w:val="0"/>
              <w:snapToGrid w:val="0"/>
              <w:spacing w:after="0" w:line="360" w:lineRule="auto"/>
              <w:jc w:val="center"/>
              <w:rPr>
                <w:sz w:val="24"/>
                <w:szCs w:val="24"/>
                <w:lang w:eastAsia="zh-TW"/>
              </w:rPr>
            </w:pPr>
          </w:p>
        </w:tc>
      </w:tr>
    </w:tbl>
    <w:p w14:paraId="23C7B80A" w14:textId="77777777" w:rsidR="004238D8" w:rsidRPr="001167C1" w:rsidRDefault="004238D8" w:rsidP="001167C1">
      <w:pPr>
        <w:widowControl/>
        <w:adjustRightInd w:val="0"/>
        <w:snapToGrid w:val="0"/>
        <w:spacing w:line="360" w:lineRule="auto"/>
        <w:jc w:val="both"/>
        <w:rPr>
          <w:rFonts w:ascii="Times New Roman" w:hAnsi="Times New Roman"/>
          <w:b/>
          <w:bCs/>
          <w:szCs w:val="24"/>
          <w:lang w:val="en-GB"/>
        </w:rPr>
      </w:pPr>
    </w:p>
    <w:p w14:paraId="3FEC1BD1" w14:textId="77777777" w:rsidR="004238D8" w:rsidRPr="001167C1" w:rsidRDefault="004238D8" w:rsidP="001167C1">
      <w:pPr>
        <w:widowControl/>
        <w:adjustRightInd w:val="0"/>
        <w:snapToGrid w:val="0"/>
        <w:spacing w:line="360" w:lineRule="auto"/>
        <w:jc w:val="both"/>
        <w:rPr>
          <w:rFonts w:ascii="Times New Roman" w:hAnsi="Times New Roman"/>
          <w:szCs w:val="24"/>
        </w:rPr>
      </w:pPr>
    </w:p>
    <w:p w14:paraId="5FF40601" w14:textId="77777777" w:rsidR="006841F6" w:rsidRPr="001167C1" w:rsidRDefault="006841F6" w:rsidP="001167C1">
      <w:pPr>
        <w:widowControl/>
        <w:adjustRightInd w:val="0"/>
        <w:snapToGrid w:val="0"/>
        <w:spacing w:line="360" w:lineRule="auto"/>
        <w:jc w:val="both"/>
        <w:rPr>
          <w:rFonts w:ascii="Times New Roman" w:hAnsi="Times New Roman"/>
          <w:szCs w:val="24"/>
        </w:rPr>
      </w:pPr>
    </w:p>
    <w:p w14:paraId="2F972F7A" w14:textId="77777777" w:rsidR="00074B88" w:rsidRPr="001167C1" w:rsidRDefault="00074B88" w:rsidP="001167C1">
      <w:pPr>
        <w:widowControl/>
        <w:adjustRightInd w:val="0"/>
        <w:snapToGrid w:val="0"/>
        <w:spacing w:line="360" w:lineRule="auto"/>
        <w:jc w:val="both"/>
        <w:rPr>
          <w:rFonts w:ascii="Times New Roman" w:hAnsi="Times New Roman"/>
          <w:szCs w:val="24"/>
        </w:rPr>
      </w:pPr>
    </w:p>
    <w:p w14:paraId="5605305D" w14:textId="77777777" w:rsidR="00074B88" w:rsidRPr="001167C1" w:rsidRDefault="00074B88" w:rsidP="001167C1">
      <w:pPr>
        <w:widowControl/>
        <w:adjustRightInd w:val="0"/>
        <w:snapToGrid w:val="0"/>
        <w:spacing w:line="360" w:lineRule="auto"/>
        <w:jc w:val="both"/>
        <w:rPr>
          <w:rFonts w:ascii="Times New Roman" w:hAnsi="Times New Roman"/>
          <w:szCs w:val="24"/>
        </w:rPr>
      </w:pPr>
    </w:p>
    <w:p w14:paraId="201D3FD8" w14:textId="77777777" w:rsidR="00074B88" w:rsidRPr="001167C1" w:rsidRDefault="00074B88" w:rsidP="001167C1">
      <w:pPr>
        <w:widowControl/>
        <w:adjustRightInd w:val="0"/>
        <w:snapToGrid w:val="0"/>
        <w:spacing w:line="360" w:lineRule="auto"/>
        <w:jc w:val="both"/>
        <w:rPr>
          <w:rFonts w:ascii="Times New Roman" w:hAnsi="Times New Roman"/>
          <w:szCs w:val="24"/>
        </w:rPr>
        <w:sectPr w:rsidR="00074B88" w:rsidRPr="001167C1" w:rsidSect="00A27B5B">
          <w:pgSz w:w="11906" w:h="16838"/>
          <w:pgMar w:top="1134" w:right="1418" w:bottom="1134" w:left="1418" w:header="851" w:footer="992" w:gutter="0"/>
          <w:pgNumType w:fmt="lowerRoman" w:start="1"/>
          <w:cols w:space="425"/>
          <w:docGrid w:type="linesAndChars" w:linePitch="360"/>
        </w:sectPr>
      </w:pPr>
    </w:p>
    <w:p w14:paraId="4197DF12" w14:textId="5690B8D3" w:rsidR="00DD79F6" w:rsidRPr="001167C1" w:rsidRDefault="001B1DF5" w:rsidP="001167C1">
      <w:pPr>
        <w:widowControl/>
        <w:adjustRightInd w:val="0"/>
        <w:snapToGrid w:val="0"/>
        <w:spacing w:line="360" w:lineRule="auto"/>
        <w:jc w:val="both"/>
        <w:rPr>
          <w:rFonts w:ascii="Times New Roman" w:hAnsi="Times New Roman"/>
          <w:b/>
          <w:bCs/>
          <w:color w:val="0000CC"/>
          <w:szCs w:val="24"/>
        </w:rPr>
      </w:pPr>
      <w:r w:rsidRPr="001167C1">
        <w:rPr>
          <w:rFonts w:ascii="Times New Roman" w:hAnsi="Times New Roman"/>
          <w:b/>
          <w:bCs/>
          <w:szCs w:val="24"/>
        </w:rPr>
        <w:lastRenderedPageBreak/>
        <w:t xml:space="preserve">1   Introduction </w:t>
      </w:r>
    </w:p>
    <w:p w14:paraId="07C39D97" w14:textId="13FAFB3F" w:rsidR="00293F31" w:rsidRPr="001167C1" w:rsidRDefault="00293F31" w:rsidP="001167C1">
      <w:pPr>
        <w:adjustRightInd w:val="0"/>
        <w:snapToGrid w:val="0"/>
        <w:spacing w:line="360" w:lineRule="auto"/>
        <w:jc w:val="both"/>
        <w:rPr>
          <w:rFonts w:ascii="Times New Roman" w:hAnsi="Times New Roman"/>
          <w:color w:val="0000CC"/>
          <w:szCs w:val="24"/>
        </w:rPr>
      </w:pPr>
    </w:p>
    <w:p w14:paraId="5DF518CF" w14:textId="6115BB42" w:rsidR="00997987" w:rsidRPr="001167C1" w:rsidRDefault="00F76E50"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 xml:space="preserve">This </w:t>
      </w:r>
      <w:r w:rsidR="00C4782A" w:rsidRPr="001167C1">
        <w:rPr>
          <w:rFonts w:ascii="Times New Roman" w:hAnsi="Times New Roman"/>
          <w:szCs w:val="24"/>
        </w:rPr>
        <w:t xml:space="preserve">report </w:t>
      </w:r>
      <w:r w:rsidRPr="001167C1">
        <w:rPr>
          <w:rFonts w:ascii="Times New Roman" w:hAnsi="Times New Roman"/>
          <w:szCs w:val="24"/>
        </w:rPr>
        <w:t>presents an empirical study on the trend movement of nominal GDP per capita in Hong Kong, the United Kingdom, the United States, India, and China. The objective is to explore investment opportunities for the company to expand its global business and achieve higher returns on its investments.</w:t>
      </w:r>
    </w:p>
    <w:p w14:paraId="167E491D" w14:textId="77777777" w:rsidR="00F76E50" w:rsidRPr="001167C1" w:rsidRDefault="00F76E50" w:rsidP="001167C1">
      <w:pPr>
        <w:adjustRightInd w:val="0"/>
        <w:snapToGrid w:val="0"/>
        <w:spacing w:line="360" w:lineRule="auto"/>
        <w:jc w:val="both"/>
        <w:rPr>
          <w:rFonts w:ascii="Times New Roman" w:hAnsi="Times New Roman"/>
          <w:bCs/>
          <w:color w:val="0000CC"/>
          <w:szCs w:val="24"/>
        </w:rPr>
      </w:pPr>
    </w:p>
    <w:p w14:paraId="2A54B291" w14:textId="77777777" w:rsidR="00610DBD" w:rsidRPr="001167C1" w:rsidRDefault="00610DBD" w:rsidP="001167C1">
      <w:pPr>
        <w:widowControl/>
        <w:spacing w:line="360" w:lineRule="auto"/>
        <w:rPr>
          <w:rFonts w:ascii="Times New Roman" w:eastAsia="Times New Roman" w:hAnsi="Times New Roman"/>
          <w:kern w:val="0"/>
          <w:szCs w:val="24"/>
        </w:rPr>
      </w:pPr>
      <w:r w:rsidRPr="001167C1">
        <w:rPr>
          <w:rFonts w:ascii="Times New Roman" w:hAnsi="Times New Roman"/>
          <w:bCs/>
          <w:szCs w:val="24"/>
        </w:rPr>
        <w:t xml:space="preserve">The Hong Kong economy experienced a consecutive decline for the second year in a row, characterized by a significant downturn attributed to the COVID-19 pandemic in 2020 (Hong Kong Monetary Authority, 2020). Consequently, adopting a strategy of diversifying investments to other countries emerges as a viable approach to capitalize on economic growth. For instance, China presents an attractive destination for foreign investments due to various factors, such as its expansive market, the growth of its middle class, and substantial government support for crucial industries. China's commitment to sustainable growth and integration into the global economy is evident in its continuous efforts to enhance reforms and promote greater openness, as emphasized by Joseph </w:t>
      </w:r>
      <w:proofErr w:type="spellStart"/>
      <w:r w:rsidRPr="001167C1">
        <w:rPr>
          <w:rFonts w:ascii="Times New Roman" w:hAnsi="Times New Roman"/>
          <w:bCs/>
          <w:szCs w:val="24"/>
        </w:rPr>
        <w:t>Mutaboba</w:t>
      </w:r>
      <w:proofErr w:type="spellEnd"/>
      <w:r w:rsidRPr="001167C1">
        <w:rPr>
          <w:rFonts w:ascii="Times New Roman" w:hAnsi="Times New Roman"/>
          <w:bCs/>
          <w:szCs w:val="24"/>
        </w:rPr>
        <w:t xml:space="preserve">, a distinguished expert in international relations and diplomatic affairs from Rwanda </w:t>
      </w:r>
      <w:r w:rsidRPr="001167C1">
        <w:rPr>
          <w:rFonts w:ascii="Times New Roman" w:eastAsia="Times New Roman" w:hAnsi="Times New Roman"/>
          <w:kern w:val="0"/>
          <w:szCs w:val="24"/>
        </w:rPr>
        <w:t>(Xin, 2024)</w:t>
      </w:r>
    </w:p>
    <w:p w14:paraId="4A937A4E" w14:textId="77777777" w:rsidR="00610DBD" w:rsidRPr="001167C1" w:rsidRDefault="00610DBD" w:rsidP="001167C1">
      <w:pPr>
        <w:adjustRightInd w:val="0"/>
        <w:snapToGrid w:val="0"/>
        <w:spacing w:line="360" w:lineRule="auto"/>
        <w:ind w:firstLine="397"/>
        <w:jc w:val="both"/>
        <w:rPr>
          <w:rFonts w:ascii="Times New Roman" w:hAnsi="Times New Roman"/>
          <w:bCs/>
          <w:color w:val="0000CC"/>
          <w:szCs w:val="24"/>
        </w:rPr>
      </w:pPr>
    </w:p>
    <w:p w14:paraId="0184F703" w14:textId="65392C86" w:rsidR="00696E9C" w:rsidRPr="001167C1" w:rsidRDefault="008C52C4"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This research employs a comprehensive approach that integrates data from the World Bank, statistical calculations, and insights from scholarly journals and government reports. The methodology involves collecting relevant data from the World Bank database, including nominal GDP, population, and GDP per capita. Academic journals are utilized to gain deeper insights and incorporate expert perspectives. Government reports are also reviewed to access official information and understand the economic contexts being investigated. By utilizing this multifaceted methodology, the research aims to enhance the validity and robustness of the findings, thereby contributing to a more comprehensive understanding of the topic.</w:t>
      </w:r>
    </w:p>
    <w:p w14:paraId="6017DBF7" w14:textId="77777777" w:rsidR="008C52C4" w:rsidRPr="001167C1" w:rsidRDefault="008C52C4" w:rsidP="001167C1">
      <w:pPr>
        <w:adjustRightInd w:val="0"/>
        <w:snapToGrid w:val="0"/>
        <w:spacing w:line="360" w:lineRule="auto"/>
        <w:jc w:val="both"/>
        <w:rPr>
          <w:rFonts w:ascii="Times New Roman" w:hAnsi="Times New Roman"/>
          <w:bCs/>
          <w:szCs w:val="24"/>
        </w:rPr>
      </w:pPr>
    </w:p>
    <w:p w14:paraId="16C031FD" w14:textId="77777777" w:rsidR="008C52C4" w:rsidRPr="001167C1" w:rsidRDefault="008C52C4"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This study focuses on analyzing the nominal GDP per capita in selected countries. It is divided into three main sections. The Research Background section provides an overview of the data sources used and presents the current performance of nominal GDP per capita in the selected countries. The </w:t>
      </w:r>
      <w:r w:rsidRPr="001167C1">
        <w:rPr>
          <w:rFonts w:ascii="Times New Roman" w:hAnsi="Times New Roman"/>
          <w:bCs/>
          <w:szCs w:val="24"/>
        </w:rPr>
        <w:lastRenderedPageBreak/>
        <w:t>Analysis and Discussion section explores both the global trend movement and local trend movement of nominal GDP per capita. Lastly, the Conclusion and Recommendations section summarizes the key findings and provides recommendations based on the research outcomes.</w:t>
      </w:r>
    </w:p>
    <w:p w14:paraId="50BD7FAE" w14:textId="3CBB0A1D" w:rsidR="00F91BB6" w:rsidRDefault="00F91BB6">
      <w:pPr>
        <w:widowControl/>
        <w:rPr>
          <w:rFonts w:ascii="Times New Roman" w:hAnsi="Times New Roman"/>
          <w:bCs/>
          <w:szCs w:val="24"/>
        </w:rPr>
      </w:pPr>
      <w:r>
        <w:rPr>
          <w:rFonts w:ascii="Times New Roman" w:hAnsi="Times New Roman"/>
          <w:bCs/>
          <w:szCs w:val="24"/>
        </w:rPr>
        <w:br w:type="page"/>
      </w:r>
    </w:p>
    <w:p w14:paraId="4EC49A52" w14:textId="664A7027" w:rsidR="001E46DB" w:rsidRPr="001167C1" w:rsidRDefault="001B1DF5" w:rsidP="001167C1">
      <w:pPr>
        <w:widowControl/>
        <w:adjustRightInd w:val="0"/>
        <w:snapToGrid w:val="0"/>
        <w:spacing w:line="360" w:lineRule="auto"/>
        <w:jc w:val="both"/>
        <w:rPr>
          <w:rFonts w:ascii="Times New Roman" w:hAnsi="Times New Roman"/>
          <w:b/>
          <w:szCs w:val="24"/>
        </w:rPr>
      </w:pPr>
      <w:r w:rsidRPr="001167C1">
        <w:rPr>
          <w:rFonts w:ascii="Times New Roman" w:hAnsi="Times New Roman"/>
          <w:b/>
          <w:bCs/>
          <w:szCs w:val="24"/>
        </w:rPr>
        <w:lastRenderedPageBreak/>
        <w:t xml:space="preserve">2   </w:t>
      </w:r>
      <w:r w:rsidR="001E46DB" w:rsidRPr="001167C1">
        <w:rPr>
          <w:rFonts w:ascii="Times New Roman" w:hAnsi="Times New Roman"/>
          <w:b/>
          <w:szCs w:val="24"/>
        </w:rPr>
        <w:t xml:space="preserve">Research </w:t>
      </w:r>
      <w:r w:rsidR="00A664EE" w:rsidRPr="001167C1">
        <w:rPr>
          <w:rFonts w:ascii="Times New Roman" w:hAnsi="Times New Roman"/>
          <w:b/>
          <w:szCs w:val="24"/>
        </w:rPr>
        <w:t>B</w:t>
      </w:r>
      <w:r w:rsidR="001E46DB" w:rsidRPr="001167C1">
        <w:rPr>
          <w:rFonts w:ascii="Times New Roman" w:hAnsi="Times New Roman"/>
          <w:b/>
          <w:szCs w:val="24"/>
        </w:rPr>
        <w:t>ackground</w:t>
      </w:r>
      <w:r w:rsidR="00E6133C" w:rsidRPr="001167C1">
        <w:rPr>
          <w:rFonts w:ascii="Times New Roman" w:hAnsi="Times New Roman"/>
          <w:b/>
          <w:szCs w:val="24"/>
        </w:rPr>
        <w:t xml:space="preserve"> </w:t>
      </w:r>
    </w:p>
    <w:p w14:paraId="2494F879" w14:textId="77777777" w:rsidR="007342AD" w:rsidRPr="001167C1" w:rsidRDefault="007342AD" w:rsidP="001167C1">
      <w:pPr>
        <w:widowControl/>
        <w:adjustRightInd w:val="0"/>
        <w:snapToGrid w:val="0"/>
        <w:spacing w:line="360" w:lineRule="auto"/>
        <w:jc w:val="both"/>
        <w:rPr>
          <w:rFonts w:ascii="Times New Roman" w:hAnsi="Times New Roman"/>
          <w:bCs/>
          <w:color w:val="0000CC"/>
          <w:szCs w:val="24"/>
        </w:rPr>
      </w:pPr>
    </w:p>
    <w:p w14:paraId="6EC9FE1E" w14:textId="10D80530" w:rsidR="006F169F" w:rsidRPr="001167C1" w:rsidRDefault="006F169F"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Nominal GDP</w:t>
      </w:r>
      <w:r w:rsidR="008C52C4" w:rsidRPr="001167C1">
        <w:rPr>
          <w:rFonts w:ascii="Times New Roman" w:hAnsi="Times New Roman"/>
          <w:bCs/>
          <w:szCs w:val="24"/>
        </w:rPr>
        <w:t xml:space="preserve"> </w:t>
      </w:r>
      <w:r w:rsidRPr="001167C1">
        <w:rPr>
          <w:rFonts w:ascii="Times New Roman" w:hAnsi="Times New Roman"/>
          <w:bCs/>
          <w:szCs w:val="24"/>
        </w:rPr>
        <w:t xml:space="preserve">per capita, a fundamental economic metric obtained by dividing a country's GDP by its population, serves as an important gauge of a nation's economic well-being and progress </w:t>
      </w:r>
      <w:r w:rsidRPr="001167C1">
        <w:rPr>
          <w:rFonts w:ascii="Times New Roman" w:hAnsi="Times New Roman"/>
          <w:szCs w:val="24"/>
        </w:rPr>
        <w:t>(Brock, 2020)</w:t>
      </w:r>
      <w:r w:rsidRPr="001167C1">
        <w:rPr>
          <w:rFonts w:ascii="Times New Roman" w:hAnsi="Times New Roman"/>
          <w:bCs/>
          <w:szCs w:val="24"/>
        </w:rPr>
        <w:t xml:space="preserve">. Gross Domestic Product (GDP) can be broken down into four components: consumer spending (C), government spending (G), investments (I), and net exports (NX). Consumer spending represents personal and household expenditures on goods and services. Government spending includes purchases made by the government, excluding transfer payments. Investments encompass non-residential investments, residential investments (such as construction of new housing), and changes in private inventories. Net exports are calculated by subtracting total imports from total exports. High consumer spending indicates a strong economy as it reflects confidence in the economy and the willingness to spend money </w:t>
      </w:r>
      <w:r w:rsidRPr="001167C1">
        <w:rPr>
          <w:rFonts w:ascii="Times New Roman" w:hAnsi="Times New Roman"/>
          <w:szCs w:val="24"/>
        </w:rPr>
        <w:t xml:space="preserve">(Eimer, 2021). </w:t>
      </w:r>
      <w:r w:rsidRPr="001167C1">
        <w:rPr>
          <w:rFonts w:ascii="Times New Roman" w:hAnsi="Times New Roman"/>
          <w:bCs/>
          <w:szCs w:val="24"/>
        </w:rPr>
        <w:t>A higher nominal GDP per capita typically signifies a larger consumer market and greater potential for investment</w:t>
      </w:r>
      <w:r w:rsidRPr="001167C1">
        <w:rPr>
          <w:rFonts w:ascii="Times New Roman" w:hAnsi="Times New Roman"/>
          <w:szCs w:val="24"/>
        </w:rPr>
        <w:t xml:space="preserve"> (FOCUSECONOMICS, 2024</w:t>
      </w:r>
      <w:r w:rsidR="000C1CE2" w:rsidRPr="001167C1">
        <w:rPr>
          <w:rFonts w:ascii="Times New Roman" w:hAnsi="Times New Roman"/>
          <w:szCs w:val="24"/>
        </w:rPr>
        <w:t>a</w:t>
      </w:r>
      <w:r w:rsidRPr="001167C1">
        <w:rPr>
          <w:rFonts w:ascii="Times New Roman" w:hAnsi="Times New Roman"/>
          <w:szCs w:val="24"/>
        </w:rPr>
        <w:t xml:space="preserve">). </w:t>
      </w:r>
      <w:r w:rsidRPr="001167C1">
        <w:rPr>
          <w:rFonts w:ascii="Times New Roman" w:hAnsi="Times New Roman"/>
          <w:bCs/>
          <w:szCs w:val="24"/>
        </w:rPr>
        <w:t>GDP per capita is gross domestic product divided by midyear population. GDP is the sum of gross value added by all resident producers in the economy plus any product taxes and minus any subsidies not included in the value of the products. It is calculated without making deductions for depreciation of fabricated assets or for depletion and degradation of natural resources. Data in this research are in current U.S. dollars.</w:t>
      </w:r>
    </w:p>
    <w:p w14:paraId="6E69ADFC" w14:textId="77777777" w:rsidR="00AD5BFE" w:rsidRPr="001167C1" w:rsidRDefault="00AD5BFE" w:rsidP="001167C1">
      <w:pPr>
        <w:widowControl/>
        <w:adjustRightInd w:val="0"/>
        <w:snapToGrid w:val="0"/>
        <w:spacing w:line="360" w:lineRule="auto"/>
        <w:jc w:val="both"/>
        <w:rPr>
          <w:rFonts w:ascii="Times New Roman" w:hAnsi="Times New Roman"/>
          <w:bCs/>
          <w:szCs w:val="24"/>
        </w:rPr>
      </w:pPr>
    </w:p>
    <w:p w14:paraId="6F57A61D" w14:textId="64820424" w:rsidR="00AD5BFE" w:rsidRPr="001167C1" w:rsidRDefault="003C4774" w:rsidP="001167C1">
      <w:pPr>
        <w:widowControl/>
        <w:adjustRightInd w:val="0"/>
        <w:snapToGrid w:val="0"/>
        <w:spacing w:line="360" w:lineRule="auto"/>
        <w:jc w:val="both"/>
        <w:rPr>
          <w:rFonts w:ascii="Times New Roman" w:hAnsi="Times New Roman"/>
          <w:b/>
          <w:szCs w:val="24"/>
        </w:rPr>
      </w:pPr>
      <w:r w:rsidRPr="001167C1">
        <w:rPr>
          <w:rFonts w:ascii="Times New Roman" w:hAnsi="Times New Roman"/>
          <w:b/>
          <w:szCs w:val="24"/>
        </w:rPr>
        <w:t xml:space="preserve">2.1 </w:t>
      </w:r>
      <w:r w:rsidR="00AD5BFE" w:rsidRPr="001167C1">
        <w:rPr>
          <w:rFonts w:ascii="Times New Roman" w:hAnsi="Times New Roman"/>
          <w:b/>
          <w:szCs w:val="24"/>
        </w:rPr>
        <w:t>Theoretical background</w:t>
      </w:r>
    </w:p>
    <w:p w14:paraId="20E95516" w14:textId="77777777" w:rsidR="006F169F" w:rsidRPr="001167C1" w:rsidRDefault="006F169F" w:rsidP="001167C1">
      <w:pPr>
        <w:widowControl/>
        <w:adjustRightInd w:val="0"/>
        <w:snapToGrid w:val="0"/>
        <w:spacing w:line="360" w:lineRule="auto"/>
        <w:jc w:val="both"/>
        <w:rPr>
          <w:rFonts w:ascii="Times New Roman" w:hAnsi="Times New Roman"/>
          <w:b/>
          <w:szCs w:val="24"/>
        </w:rPr>
      </w:pPr>
    </w:p>
    <w:p w14:paraId="68BA908A" w14:textId="77777777" w:rsidR="00357888" w:rsidRPr="001167C1" w:rsidRDefault="00357888"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The choice of nominal GDP per capita as a key indicator in this study is motivated by its fundamental importance in evaluating a nation's economic well-being, standard of living, and progress, while also allowing for cross-country comparisons. Since the population remained relatively stable from 2000 to 2022, nominal GDP per capita accurately reflects the economic contribution of the GDP.</w:t>
      </w:r>
    </w:p>
    <w:p w14:paraId="5847E3E2" w14:textId="77777777" w:rsidR="00357888" w:rsidRPr="001167C1" w:rsidRDefault="00357888" w:rsidP="001167C1">
      <w:pPr>
        <w:adjustRightInd w:val="0"/>
        <w:snapToGrid w:val="0"/>
        <w:spacing w:line="360" w:lineRule="auto"/>
        <w:jc w:val="both"/>
        <w:rPr>
          <w:rFonts w:ascii="Times New Roman" w:hAnsi="Times New Roman"/>
          <w:bCs/>
          <w:szCs w:val="24"/>
        </w:rPr>
      </w:pPr>
    </w:p>
    <w:p w14:paraId="58FE4891" w14:textId="77777777" w:rsidR="00357888" w:rsidRPr="001167C1" w:rsidRDefault="00357888"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The rationale behind selecting nominal GDP per capita lies in its ability to provide a more representative measure of economic affluence and quality of life within a nation. By considering population size and income distribution, nominal GDP per capita offers insights into the average economic output per individual, enabling researchers to assess the relative well-being and disparities in economic development and living standards across countries. Therefore, incorporating nominal GDP per capita, this research aims to provide a comprehensive understanding of countries' economic performance and prosperity, contributing to a nuanced analysis of global economic trends and </w:t>
      </w:r>
      <w:r w:rsidRPr="001167C1">
        <w:rPr>
          <w:rFonts w:ascii="Times New Roman" w:hAnsi="Times New Roman"/>
          <w:bCs/>
          <w:szCs w:val="24"/>
        </w:rPr>
        <w:lastRenderedPageBreak/>
        <w:t>facilitating informed decision-making.</w:t>
      </w:r>
    </w:p>
    <w:p w14:paraId="2E32B8FF" w14:textId="77777777" w:rsidR="00357888" w:rsidRPr="001167C1" w:rsidRDefault="00357888" w:rsidP="001167C1">
      <w:pPr>
        <w:adjustRightInd w:val="0"/>
        <w:snapToGrid w:val="0"/>
        <w:spacing w:line="360" w:lineRule="auto"/>
        <w:jc w:val="both"/>
        <w:rPr>
          <w:rFonts w:ascii="Times New Roman" w:hAnsi="Times New Roman"/>
          <w:bCs/>
          <w:szCs w:val="24"/>
        </w:rPr>
      </w:pPr>
    </w:p>
    <w:p w14:paraId="6AEFCBB3" w14:textId="77777777" w:rsidR="00357888" w:rsidRPr="001167C1" w:rsidRDefault="00357888"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From an investment analysis perspective, nominal GDP per capita offers significant advantages. It allows for the evaluation of a country's purchasing power and economic advancement, providing a more informed assessment of investment prospects. Countries with higher nominal GDP per capita usually present more favorable investment conditions due to their stable economic environments, higher disposable incomes, and increased consumer spending power.</w:t>
      </w:r>
    </w:p>
    <w:p w14:paraId="0C6693A8" w14:textId="77777777" w:rsidR="00357888" w:rsidRPr="001167C1" w:rsidRDefault="00357888" w:rsidP="001167C1">
      <w:pPr>
        <w:adjustRightInd w:val="0"/>
        <w:snapToGrid w:val="0"/>
        <w:spacing w:line="360" w:lineRule="auto"/>
        <w:jc w:val="both"/>
        <w:rPr>
          <w:rFonts w:ascii="Times New Roman" w:hAnsi="Times New Roman"/>
          <w:bCs/>
          <w:szCs w:val="24"/>
        </w:rPr>
      </w:pPr>
    </w:p>
    <w:p w14:paraId="6DF345B2" w14:textId="68A508D4" w:rsidR="00FC5CC8" w:rsidRPr="001167C1" w:rsidRDefault="00357888"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Nominal GDP per capita serves as a crucial determinant of investment potential, attracting both domestic and foreign investors. A higher nominal GDP per capita indicates a larger consumer market and greater investment opportunities. Strong consumer spending associated with higher nominal GDP per capita stimulates economic growth and positively influences financial market performance (FOCUSECONOMICS, 2024b). Therefore, incorporating nominal GDP per capita as a key indicator enables a comprehensive analysis of economic and financial market dimensions, with a particular emphasis on investment prospects.</w:t>
      </w:r>
    </w:p>
    <w:p w14:paraId="1C43F664" w14:textId="77777777" w:rsidR="00357888" w:rsidRPr="001167C1" w:rsidRDefault="00357888" w:rsidP="001167C1">
      <w:pPr>
        <w:adjustRightInd w:val="0"/>
        <w:snapToGrid w:val="0"/>
        <w:spacing w:line="360" w:lineRule="auto"/>
        <w:jc w:val="both"/>
        <w:rPr>
          <w:rFonts w:ascii="Times New Roman" w:hAnsi="Times New Roman"/>
          <w:bCs/>
          <w:szCs w:val="24"/>
        </w:rPr>
      </w:pPr>
    </w:p>
    <w:p w14:paraId="27100C13" w14:textId="411EFCBC" w:rsidR="00F47481" w:rsidRPr="001167C1" w:rsidRDefault="00F47481" w:rsidP="001167C1">
      <w:pPr>
        <w:widowControl/>
        <w:adjustRightInd w:val="0"/>
        <w:snapToGrid w:val="0"/>
        <w:spacing w:line="360" w:lineRule="auto"/>
        <w:jc w:val="both"/>
        <w:rPr>
          <w:rFonts w:ascii="Times New Roman" w:hAnsi="Times New Roman"/>
          <w:szCs w:val="24"/>
        </w:rPr>
      </w:pPr>
      <w:r w:rsidRPr="001167C1">
        <w:rPr>
          <w:rFonts w:ascii="Times New Roman" w:hAnsi="Times New Roman"/>
          <w:szCs w:val="24"/>
        </w:rPr>
        <w:t xml:space="preserve">Graph </w:t>
      </w:r>
      <w:r w:rsidR="00CE4ED3" w:rsidRPr="001167C1">
        <w:rPr>
          <w:rFonts w:ascii="Times New Roman" w:hAnsi="Times New Roman"/>
          <w:szCs w:val="24"/>
        </w:rPr>
        <w:t>1</w:t>
      </w:r>
      <w:r w:rsidRPr="001167C1">
        <w:rPr>
          <w:rFonts w:ascii="Times New Roman" w:hAnsi="Times New Roman"/>
          <w:szCs w:val="24"/>
        </w:rPr>
        <w:t>: Total Population of 5 selected countries (,000)</w:t>
      </w:r>
    </w:p>
    <w:p w14:paraId="51962213" w14:textId="0771D024" w:rsidR="0026101B" w:rsidRPr="001167C1" w:rsidRDefault="0026101B"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noProof/>
          <w:szCs w:val="24"/>
        </w:rPr>
        <w:drawing>
          <wp:inline distT="0" distB="0" distL="0" distR="0" wp14:anchorId="344AA209" wp14:editId="5D6DE9D2">
            <wp:extent cx="4813300" cy="2832100"/>
            <wp:effectExtent l="0" t="0" r="6350" b="6350"/>
            <wp:docPr id="33391648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76784B4" w14:textId="36AC65BE" w:rsidR="00DA158D"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There were no statistically significant changes observed in the population, as there were no notable increases or decreases of significance. </w:t>
      </w:r>
    </w:p>
    <w:p w14:paraId="14BF354D" w14:textId="066C7636" w:rsidR="00847EFA" w:rsidRPr="001167C1" w:rsidRDefault="00357888" w:rsidP="001167C1">
      <w:pPr>
        <w:widowControl/>
        <w:spacing w:line="360" w:lineRule="auto"/>
        <w:rPr>
          <w:rFonts w:ascii="Times New Roman" w:hAnsi="Times New Roman"/>
          <w:bCs/>
          <w:szCs w:val="24"/>
        </w:rPr>
      </w:pPr>
      <w:r w:rsidRPr="001167C1">
        <w:rPr>
          <w:rFonts w:ascii="Times New Roman" w:hAnsi="Times New Roman"/>
          <w:bCs/>
          <w:szCs w:val="24"/>
        </w:rPr>
        <w:br w:type="page"/>
      </w:r>
    </w:p>
    <w:p w14:paraId="699616EA" w14:textId="2285EF0E" w:rsidR="0026101B"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lastRenderedPageBreak/>
        <w:t>Table</w:t>
      </w:r>
      <w:r w:rsidR="00FF67B3" w:rsidRPr="001167C1">
        <w:rPr>
          <w:rFonts w:ascii="Times New Roman" w:hAnsi="Times New Roman"/>
          <w:bCs/>
          <w:szCs w:val="24"/>
        </w:rPr>
        <w:t xml:space="preserve"> 1</w:t>
      </w:r>
      <w:r w:rsidR="003C4774" w:rsidRPr="001167C1">
        <w:rPr>
          <w:rFonts w:ascii="Times New Roman" w:hAnsi="Times New Roman"/>
          <w:bCs/>
          <w:szCs w:val="24"/>
        </w:rPr>
        <w:t xml:space="preserve">: </w:t>
      </w:r>
      <w:r w:rsidRPr="001167C1">
        <w:rPr>
          <w:rFonts w:ascii="Times New Roman" w:hAnsi="Times New Roman"/>
          <w:bCs/>
          <w:szCs w:val="24"/>
        </w:rPr>
        <w:t>Correlation Analysis of Nominal GDP and Nominal GDP per Capita</w:t>
      </w:r>
    </w:p>
    <w:tbl>
      <w:tblPr>
        <w:tblStyle w:val="af6"/>
        <w:tblW w:w="9318" w:type="dxa"/>
        <w:tblLook w:val="04A0" w:firstRow="1" w:lastRow="0" w:firstColumn="1" w:lastColumn="0" w:noHBand="0" w:noVBand="1"/>
      </w:tblPr>
      <w:tblGrid>
        <w:gridCol w:w="3044"/>
        <w:gridCol w:w="6274"/>
      </w:tblGrid>
      <w:tr w:rsidR="00F47481" w:rsidRPr="001167C1" w14:paraId="246912A7" w14:textId="77777777" w:rsidTr="00847EFA">
        <w:trPr>
          <w:trHeight w:val="380"/>
        </w:trPr>
        <w:tc>
          <w:tcPr>
            <w:tcW w:w="3044" w:type="dxa"/>
          </w:tcPr>
          <w:p w14:paraId="5C5D2411" w14:textId="77777777" w:rsidR="00F47481" w:rsidRPr="001167C1" w:rsidRDefault="00F47481" w:rsidP="001167C1">
            <w:pPr>
              <w:widowControl/>
              <w:adjustRightInd w:val="0"/>
              <w:snapToGrid w:val="0"/>
              <w:spacing w:line="360" w:lineRule="auto"/>
              <w:jc w:val="both"/>
              <w:rPr>
                <w:rFonts w:ascii="Times New Roman" w:hAnsi="Times New Roman"/>
                <w:bCs/>
                <w:szCs w:val="24"/>
              </w:rPr>
            </w:pPr>
          </w:p>
        </w:tc>
        <w:tc>
          <w:tcPr>
            <w:tcW w:w="6274" w:type="dxa"/>
          </w:tcPr>
          <w:p w14:paraId="7C3D9669" w14:textId="4AC510C3" w:rsidR="00F47481"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Correlation of Nominal GDP and Nominal GDP per Capita</w:t>
            </w:r>
          </w:p>
        </w:tc>
      </w:tr>
      <w:tr w:rsidR="00F47481" w:rsidRPr="001167C1" w14:paraId="1367646B" w14:textId="77777777" w:rsidTr="00847EFA">
        <w:trPr>
          <w:trHeight w:val="396"/>
        </w:trPr>
        <w:tc>
          <w:tcPr>
            <w:tcW w:w="3044" w:type="dxa"/>
          </w:tcPr>
          <w:p w14:paraId="6DFD5A65" w14:textId="3E1940B2" w:rsidR="00F47481"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Hong Kong</w:t>
            </w:r>
          </w:p>
        </w:tc>
        <w:tc>
          <w:tcPr>
            <w:tcW w:w="6274" w:type="dxa"/>
          </w:tcPr>
          <w:p w14:paraId="2B81CAB4" w14:textId="5337A5F4" w:rsidR="00F47481"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0.999624787</w:t>
            </w:r>
          </w:p>
        </w:tc>
      </w:tr>
      <w:tr w:rsidR="00F47481" w:rsidRPr="001167C1" w14:paraId="64D41BF9" w14:textId="77777777" w:rsidTr="00847EFA">
        <w:trPr>
          <w:trHeight w:val="380"/>
        </w:trPr>
        <w:tc>
          <w:tcPr>
            <w:tcW w:w="3044" w:type="dxa"/>
          </w:tcPr>
          <w:p w14:paraId="00841A64" w14:textId="1F5BFCD9" w:rsidR="00F47481"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United Kingdom</w:t>
            </w:r>
          </w:p>
        </w:tc>
        <w:tc>
          <w:tcPr>
            <w:tcW w:w="6274" w:type="dxa"/>
          </w:tcPr>
          <w:p w14:paraId="66F526AC" w14:textId="0265D214" w:rsidR="00F47481" w:rsidRPr="001167C1" w:rsidRDefault="00F47481" w:rsidP="001167C1">
            <w:pPr>
              <w:widowControl/>
              <w:spacing w:line="360" w:lineRule="auto"/>
              <w:jc w:val="both"/>
              <w:rPr>
                <w:rFonts w:ascii="Times New Roman" w:hAnsi="Times New Roman"/>
                <w:color w:val="000000"/>
                <w:kern w:val="0"/>
                <w:szCs w:val="24"/>
              </w:rPr>
            </w:pPr>
            <w:r w:rsidRPr="001167C1">
              <w:rPr>
                <w:rFonts w:ascii="Times New Roman" w:hAnsi="Times New Roman"/>
                <w:color w:val="000000"/>
                <w:szCs w:val="24"/>
              </w:rPr>
              <w:t>0.973602871</w:t>
            </w:r>
          </w:p>
        </w:tc>
      </w:tr>
      <w:tr w:rsidR="00F47481" w:rsidRPr="001167C1" w14:paraId="53A636DC" w14:textId="77777777" w:rsidTr="00847EFA">
        <w:trPr>
          <w:trHeight w:val="380"/>
        </w:trPr>
        <w:tc>
          <w:tcPr>
            <w:tcW w:w="3044" w:type="dxa"/>
          </w:tcPr>
          <w:p w14:paraId="3841FE04" w14:textId="4647DECF" w:rsidR="00F47481"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United States</w:t>
            </w:r>
          </w:p>
        </w:tc>
        <w:tc>
          <w:tcPr>
            <w:tcW w:w="6274" w:type="dxa"/>
          </w:tcPr>
          <w:p w14:paraId="56BAC222" w14:textId="0F65FC7B" w:rsidR="00F47481"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0.999392958</w:t>
            </w:r>
          </w:p>
        </w:tc>
      </w:tr>
      <w:tr w:rsidR="00F47481" w:rsidRPr="001167C1" w14:paraId="1E23A2CC" w14:textId="77777777" w:rsidTr="00847EFA">
        <w:trPr>
          <w:trHeight w:val="396"/>
        </w:trPr>
        <w:tc>
          <w:tcPr>
            <w:tcW w:w="3044" w:type="dxa"/>
          </w:tcPr>
          <w:p w14:paraId="2A9369FE" w14:textId="50A6B42A" w:rsidR="00F47481"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India</w:t>
            </w:r>
          </w:p>
        </w:tc>
        <w:tc>
          <w:tcPr>
            <w:tcW w:w="6274" w:type="dxa"/>
          </w:tcPr>
          <w:p w14:paraId="74560778" w14:textId="1389FD59" w:rsidR="00F47481" w:rsidRPr="001167C1" w:rsidRDefault="00F47481" w:rsidP="001167C1">
            <w:pPr>
              <w:widowControl/>
              <w:spacing w:line="360" w:lineRule="auto"/>
              <w:jc w:val="both"/>
              <w:rPr>
                <w:rFonts w:ascii="Times New Roman" w:hAnsi="Times New Roman"/>
                <w:color w:val="000000"/>
                <w:kern w:val="0"/>
                <w:szCs w:val="24"/>
              </w:rPr>
            </w:pPr>
            <w:r w:rsidRPr="001167C1">
              <w:rPr>
                <w:rFonts w:ascii="Times New Roman" w:hAnsi="Times New Roman"/>
                <w:color w:val="000000"/>
                <w:szCs w:val="24"/>
              </w:rPr>
              <w:t>0.998399743</w:t>
            </w:r>
          </w:p>
        </w:tc>
      </w:tr>
      <w:tr w:rsidR="00F47481" w:rsidRPr="001167C1" w14:paraId="0BA39ED7" w14:textId="77777777" w:rsidTr="00847EFA">
        <w:trPr>
          <w:trHeight w:val="380"/>
        </w:trPr>
        <w:tc>
          <w:tcPr>
            <w:tcW w:w="3044" w:type="dxa"/>
          </w:tcPr>
          <w:p w14:paraId="4F3F2F65" w14:textId="0DA1F50D" w:rsidR="00F47481"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China</w:t>
            </w:r>
          </w:p>
        </w:tc>
        <w:tc>
          <w:tcPr>
            <w:tcW w:w="6274" w:type="dxa"/>
          </w:tcPr>
          <w:p w14:paraId="460A13BA" w14:textId="1999989F" w:rsidR="00F47481" w:rsidRPr="001167C1" w:rsidRDefault="00F47481" w:rsidP="001167C1">
            <w:pPr>
              <w:widowControl/>
              <w:spacing w:line="360" w:lineRule="auto"/>
              <w:jc w:val="both"/>
              <w:rPr>
                <w:rFonts w:ascii="Times New Roman" w:hAnsi="Times New Roman"/>
                <w:color w:val="000000"/>
                <w:kern w:val="0"/>
                <w:szCs w:val="24"/>
              </w:rPr>
            </w:pPr>
            <w:r w:rsidRPr="001167C1">
              <w:rPr>
                <w:rFonts w:ascii="Times New Roman" w:hAnsi="Times New Roman"/>
                <w:color w:val="000000"/>
                <w:szCs w:val="24"/>
              </w:rPr>
              <w:t>0.999812113</w:t>
            </w:r>
          </w:p>
        </w:tc>
      </w:tr>
    </w:tbl>
    <w:p w14:paraId="3946A8E8" w14:textId="0730C1E2" w:rsidR="0026101B" w:rsidRPr="001167C1" w:rsidRDefault="00F47481"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The relationship between nominal GDP and nominal GDP per capita was examined to determine their correlation. A correlation coefficient of 0.97 to 0.99 between nominal GDP and nominal GDP per capita indicates a very strong positive relationship between the two indicators. This high correlation suggests that as the overall nominal GDP of a country increases, the nominal GDP per capita also tends to increase in a nearly one-to-one fashion.</w:t>
      </w:r>
      <w:r w:rsidR="00FF67B3" w:rsidRPr="001167C1">
        <w:rPr>
          <w:rFonts w:ascii="Times New Roman" w:hAnsi="Times New Roman"/>
          <w:bCs/>
          <w:szCs w:val="24"/>
        </w:rPr>
        <w:t xml:space="preserve"> </w:t>
      </w:r>
    </w:p>
    <w:p w14:paraId="749B8FC1" w14:textId="77777777" w:rsidR="00CE4ED3" w:rsidRPr="001167C1" w:rsidRDefault="00CE4ED3" w:rsidP="001167C1">
      <w:pPr>
        <w:widowControl/>
        <w:adjustRightInd w:val="0"/>
        <w:snapToGrid w:val="0"/>
        <w:spacing w:line="360" w:lineRule="auto"/>
        <w:jc w:val="both"/>
        <w:rPr>
          <w:rFonts w:ascii="Times New Roman" w:hAnsi="Times New Roman"/>
          <w:bCs/>
          <w:szCs w:val="24"/>
        </w:rPr>
      </w:pPr>
    </w:p>
    <w:p w14:paraId="47F2BE54" w14:textId="0DC5EA31" w:rsidR="00CE4ED3" w:rsidRPr="001167C1" w:rsidRDefault="00CE4ED3" w:rsidP="001167C1">
      <w:pPr>
        <w:widowControl/>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Based on the </w:t>
      </w:r>
      <w:proofErr w:type="gramStart"/>
      <w:r w:rsidRPr="001167C1">
        <w:rPr>
          <w:rFonts w:ascii="Times New Roman" w:hAnsi="Times New Roman"/>
          <w:bCs/>
          <w:szCs w:val="24"/>
        </w:rPr>
        <w:t>aforementioned assumptions</w:t>
      </w:r>
      <w:proofErr w:type="gramEnd"/>
      <w:r w:rsidRPr="001167C1">
        <w:rPr>
          <w:rFonts w:ascii="Times New Roman" w:hAnsi="Times New Roman"/>
          <w:bCs/>
          <w:szCs w:val="24"/>
        </w:rPr>
        <w:t>, it can be inferred that the fluctuations in GDP per capita are primarily attributed to the fluctuations in nominal GDP.</w:t>
      </w:r>
      <w:r w:rsidR="00A47603" w:rsidRPr="001167C1">
        <w:rPr>
          <w:rFonts w:ascii="Times New Roman" w:hAnsi="Times New Roman"/>
          <w:bCs/>
          <w:szCs w:val="24"/>
        </w:rPr>
        <w:t xml:space="preserve"> </w:t>
      </w:r>
    </w:p>
    <w:p w14:paraId="16C95F6F" w14:textId="77777777" w:rsidR="00DA158D" w:rsidRPr="001167C1" w:rsidRDefault="00DA158D" w:rsidP="001167C1">
      <w:pPr>
        <w:widowControl/>
        <w:adjustRightInd w:val="0"/>
        <w:snapToGrid w:val="0"/>
        <w:spacing w:line="360" w:lineRule="auto"/>
        <w:jc w:val="both"/>
        <w:rPr>
          <w:rFonts w:ascii="Times New Roman" w:hAnsi="Times New Roman"/>
          <w:bCs/>
          <w:szCs w:val="24"/>
        </w:rPr>
      </w:pPr>
    </w:p>
    <w:p w14:paraId="0EB42323" w14:textId="0BAFE292" w:rsidR="00B953FD" w:rsidRPr="001167C1" w:rsidRDefault="00626B77"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The rationale for selecting two advanced countries and two emerging markets for investment lies in the trade-off between </w:t>
      </w:r>
      <w:r w:rsidR="008305E2" w:rsidRPr="001167C1">
        <w:rPr>
          <w:rFonts w:ascii="Times New Roman" w:hAnsi="Times New Roman"/>
          <w:bCs/>
          <w:szCs w:val="24"/>
        </w:rPr>
        <w:t>expected investment risk</w:t>
      </w:r>
      <w:r w:rsidRPr="001167C1">
        <w:rPr>
          <w:rFonts w:ascii="Times New Roman" w:hAnsi="Times New Roman"/>
          <w:bCs/>
          <w:szCs w:val="24"/>
        </w:rPr>
        <w:t xml:space="preserve"> and </w:t>
      </w:r>
      <w:r w:rsidR="008305E2" w:rsidRPr="001167C1">
        <w:rPr>
          <w:rFonts w:ascii="Times New Roman" w:hAnsi="Times New Roman"/>
          <w:bCs/>
          <w:szCs w:val="24"/>
        </w:rPr>
        <w:t>expected return</w:t>
      </w:r>
      <w:r w:rsidRPr="001167C1">
        <w:rPr>
          <w:rFonts w:ascii="Times New Roman" w:hAnsi="Times New Roman"/>
          <w:bCs/>
          <w:szCs w:val="24"/>
        </w:rPr>
        <w:t>. Advanced countries offer greater stability but often exhibit lower growth rates. On the other hand, emerging markets present higher growth rates due to the catch-up effect, but they also entail greater fluctuations and risks. Therefore, it is essential to examine how investments should be strategically allocated considering these factors.</w:t>
      </w:r>
      <w:r w:rsidR="008305E2" w:rsidRPr="001167C1">
        <w:rPr>
          <w:rFonts w:ascii="Times New Roman" w:hAnsi="Times New Roman"/>
          <w:bCs/>
          <w:szCs w:val="24"/>
        </w:rPr>
        <w:t xml:space="preserve"> </w:t>
      </w:r>
    </w:p>
    <w:p w14:paraId="380DC571" w14:textId="77777777" w:rsidR="00165D27" w:rsidRPr="001167C1" w:rsidRDefault="00165D27" w:rsidP="001167C1">
      <w:pPr>
        <w:adjustRightInd w:val="0"/>
        <w:snapToGrid w:val="0"/>
        <w:spacing w:line="360" w:lineRule="auto"/>
        <w:jc w:val="both"/>
        <w:rPr>
          <w:rFonts w:ascii="Times New Roman" w:hAnsi="Times New Roman"/>
          <w:b/>
          <w:bCs/>
          <w:szCs w:val="24"/>
        </w:rPr>
      </w:pPr>
    </w:p>
    <w:p w14:paraId="02805800" w14:textId="77777777" w:rsidR="00995CC2" w:rsidRPr="001167C1" w:rsidRDefault="00A664EE" w:rsidP="001167C1">
      <w:pPr>
        <w:adjustRightInd w:val="0"/>
        <w:snapToGrid w:val="0"/>
        <w:spacing w:line="360" w:lineRule="auto"/>
        <w:jc w:val="both"/>
        <w:rPr>
          <w:rFonts w:ascii="Times New Roman" w:hAnsi="Times New Roman"/>
          <w:b/>
          <w:bCs/>
          <w:szCs w:val="24"/>
        </w:rPr>
      </w:pPr>
      <w:r w:rsidRPr="001167C1">
        <w:rPr>
          <w:rFonts w:ascii="Times New Roman" w:hAnsi="Times New Roman"/>
          <w:b/>
          <w:bCs/>
          <w:szCs w:val="24"/>
        </w:rPr>
        <w:t>2.2 Dat</w:t>
      </w:r>
      <w:r w:rsidR="003C4774" w:rsidRPr="001167C1">
        <w:rPr>
          <w:rFonts w:ascii="Times New Roman" w:hAnsi="Times New Roman"/>
          <w:b/>
          <w:bCs/>
          <w:szCs w:val="24"/>
        </w:rPr>
        <w:t xml:space="preserve">a </w:t>
      </w:r>
      <w:r w:rsidRPr="001167C1">
        <w:rPr>
          <w:rFonts w:ascii="Times New Roman" w:hAnsi="Times New Roman"/>
          <w:b/>
          <w:bCs/>
          <w:szCs w:val="24"/>
        </w:rPr>
        <w:t>definition and sources</w:t>
      </w:r>
    </w:p>
    <w:p w14:paraId="6991FE5F" w14:textId="58FD24F9" w:rsidR="00A664EE" w:rsidRPr="001167C1" w:rsidRDefault="00AD5BFE" w:rsidP="001167C1">
      <w:pPr>
        <w:adjustRightInd w:val="0"/>
        <w:snapToGrid w:val="0"/>
        <w:spacing w:line="360" w:lineRule="auto"/>
        <w:jc w:val="both"/>
        <w:rPr>
          <w:rFonts w:ascii="Times New Roman" w:hAnsi="Times New Roman"/>
          <w:b/>
          <w:bCs/>
          <w:szCs w:val="24"/>
        </w:rPr>
      </w:pPr>
      <w:r w:rsidRPr="001167C1">
        <w:rPr>
          <w:rFonts w:ascii="Times New Roman" w:hAnsi="Times New Roman"/>
          <w:b/>
          <w:bCs/>
          <w:szCs w:val="24"/>
        </w:rPr>
        <w:t xml:space="preserve">  </w:t>
      </w:r>
    </w:p>
    <w:p w14:paraId="3EFCF078" w14:textId="5601743C" w:rsidR="003C4774" w:rsidRPr="001167C1" w:rsidRDefault="003C4774"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As per the World Bank, GDP per capita is the quotient obtained by dividing the gross domestic product (GDP) by the population at the midpoint of the year. GDP encompasses the aggregate value added by all resident producers within the economy, including product taxes and excluding subsidies not accounted for in the product value. This calculation does not consider deductions for the depreciation of constructed assets or the depletion and degradation of natural resources. The data presented in this report in current U.S. dollars </w:t>
      </w:r>
      <w:r w:rsidRPr="001167C1">
        <w:rPr>
          <w:rFonts w:ascii="Times New Roman" w:hAnsi="Times New Roman"/>
          <w:szCs w:val="24"/>
        </w:rPr>
        <w:t>(World Bank, 2022)</w:t>
      </w:r>
      <w:r w:rsidRPr="001167C1">
        <w:rPr>
          <w:rFonts w:ascii="Times New Roman" w:hAnsi="Times New Roman"/>
          <w:bCs/>
          <w:szCs w:val="24"/>
        </w:rPr>
        <w:t xml:space="preserve">. </w:t>
      </w:r>
    </w:p>
    <w:p w14:paraId="257B0AD8" w14:textId="5C224CC4" w:rsidR="003B43B0" w:rsidRPr="001167C1" w:rsidRDefault="003B43B0" w:rsidP="001167C1">
      <w:pPr>
        <w:adjustRightInd w:val="0"/>
        <w:snapToGrid w:val="0"/>
        <w:spacing w:line="360" w:lineRule="auto"/>
        <w:jc w:val="both"/>
        <w:rPr>
          <w:rFonts w:ascii="Times New Roman" w:hAnsi="Times New Roman"/>
          <w:bCs/>
          <w:color w:val="0000CC"/>
          <w:szCs w:val="24"/>
        </w:rPr>
      </w:pPr>
    </w:p>
    <w:p w14:paraId="18336DD4" w14:textId="0A95877A" w:rsidR="00E6133C" w:rsidRPr="001167C1" w:rsidRDefault="003B43B0"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The data utilized in this research is sourced from the World Bank, a reputable international </w:t>
      </w:r>
      <w:r w:rsidRPr="001167C1">
        <w:rPr>
          <w:rFonts w:ascii="Times New Roman" w:hAnsi="Times New Roman"/>
          <w:bCs/>
          <w:szCs w:val="24"/>
        </w:rPr>
        <w:lastRenderedPageBreak/>
        <w:t>organization known for its comprehensive and reliable collection of economic data. The World Bank provides a wide range of indicators, including nominal GDP per capita, which enables robust and informed analysis for this study. By relying on data from the World Bank, this research ensures the use of high-quality and globally recognized information to support the findings and conclusions.</w:t>
      </w:r>
    </w:p>
    <w:p w14:paraId="162CF30B" w14:textId="09FFA1AE" w:rsidR="00847EFA" w:rsidRPr="001167C1" w:rsidRDefault="00847EFA" w:rsidP="001167C1">
      <w:pPr>
        <w:widowControl/>
        <w:spacing w:line="360" w:lineRule="auto"/>
        <w:rPr>
          <w:rFonts w:ascii="Times New Roman" w:hAnsi="Times New Roman"/>
          <w:b/>
          <w:bCs/>
          <w:szCs w:val="24"/>
        </w:rPr>
      </w:pPr>
    </w:p>
    <w:p w14:paraId="7C1C7122" w14:textId="08EC51D1" w:rsidR="00E6133C" w:rsidRPr="001167C1" w:rsidRDefault="00E6133C" w:rsidP="001167C1">
      <w:pPr>
        <w:adjustRightInd w:val="0"/>
        <w:snapToGrid w:val="0"/>
        <w:spacing w:line="360" w:lineRule="auto"/>
        <w:jc w:val="both"/>
        <w:rPr>
          <w:rFonts w:ascii="Times New Roman" w:hAnsi="Times New Roman"/>
          <w:b/>
          <w:bCs/>
          <w:szCs w:val="24"/>
        </w:rPr>
      </w:pPr>
      <w:r w:rsidRPr="001167C1">
        <w:rPr>
          <w:rFonts w:ascii="Times New Roman" w:hAnsi="Times New Roman"/>
          <w:b/>
          <w:bCs/>
          <w:szCs w:val="24"/>
        </w:rPr>
        <w:t>2.</w:t>
      </w:r>
      <w:r w:rsidR="003C4774" w:rsidRPr="001167C1">
        <w:rPr>
          <w:rFonts w:ascii="Times New Roman" w:hAnsi="Times New Roman"/>
          <w:b/>
          <w:bCs/>
          <w:szCs w:val="24"/>
        </w:rPr>
        <w:t>3</w:t>
      </w:r>
      <w:r w:rsidRPr="001167C1">
        <w:rPr>
          <w:rFonts w:ascii="Times New Roman" w:hAnsi="Times New Roman"/>
          <w:b/>
          <w:bCs/>
          <w:szCs w:val="24"/>
        </w:rPr>
        <w:t xml:space="preserve"> </w:t>
      </w:r>
      <w:bookmarkStart w:id="2" w:name="_Hlk155988336"/>
      <w:r w:rsidRPr="001167C1">
        <w:rPr>
          <w:rFonts w:ascii="Times New Roman" w:hAnsi="Times New Roman"/>
          <w:b/>
          <w:bCs/>
          <w:szCs w:val="24"/>
        </w:rPr>
        <w:t xml:space="preserve">Current performance of </w:t>
      </w:r>
      <w:r w:rsidR="00F30608" w:rsidRPr="001167C1">
        <w:rPr>
          <w:rFonts w:ascii="Times New Roman" w:hAnsi="Times New Roman"/>
          <w:b/>
          <w:bCs/>
          <w:szCs w:val="24"/>
        </w:rPr>
        <w:t>nominal</w:t>
      </w:r>
      <w:r w:rsidR="00A83096" w:rsidRPr="001167C1">
        <w:rPr>
          <w:rFonts w:ascii="Times New Roman" w:hAnsi="Times New Roman"/>
          <w:b/>
          <w:bCs/>
          <w:szCs w:val="24"/>
        </w:rPr>
        <w:t xml:space="preserve"> GDP </w:t>
      </w:r>
      <w:r w:rsidR="00F30608" w:rsidRPr="001167C1">
        <w:rPr>
          <w:rFonts w:ascii="Times New Roman" w:hAnsi="Times New Roman"/>
          <w:b/>
          <w:bCs/>
          <w:szCs w:val="24"/>
        </w:rPr>
        <w:t>per</w:t>
      </w:r>
      <w:r w:rsidR="00A83096" w:rsidRPr="001167C1">
        <w:rPr>
          <w:rFonts w:ascii="Times New Roman" w:hAnsi="Times New Roman"/>
          <w:b/>
          <w:bCs/>
          <w:szCs w:val="24"/>
        </w:rPr>
        <w:t xml:space="preserve"> </w:t>
      </w:r>
      <w:r w:rsidR="00F30608" w:rsidRPr="001167C1">
        <w:rPr>
          <w:rFonts w:ascii="Times New Roman" w:hAnsi="Times New Roman"/>
          <w:b/>
          <w:bCs/>
          <w:szCs w:val="24"/>
        </w:rPr>
        <w:t>capita</w:t>
      </w:r>
      <w:r w:rsidRPr="001167C1">
        <w:rPr>
          <w:rFonts w:ascii="Times New Roman" w:hAnsi="Times New Roman"/>
          <w:b/>
          <w:bCs/>
          <w:szCs w:val="24"/>
        </w:rPr>
        <w:t xml:space="preserve"> in the selected countries</w:t>
      </w:r>
      <w:bookmarkEnd w:id="2"/>
    </w:p>
    <w:p w14:paraId="5B5C3D50" w14:textId="77777777" w:rsidR="009455A4" w:rsidRPr="001167C1" w:rsidRDefault="009455A4" w:rsidP="001167C1">
      <w:pPr>
        <w:adjustRightInd w:val="0"/>
        <w:snapToGrid w:val="0"/>
        <w:spacing w:line="360" w:lineRule="auto"/>
        <w:jc w:val="both"/>
        <w:rPr>
          <w:rFonts w:ascii="Times New Roman" w:hAnsi="Times New Roman"/>
          <w:szCs w:val="24"/>
        </w:rPr>
      </w:pPr>
    </w:p>
    <w:p w14:paraId="6A2D18D0" w14:textId="1ED3A85F" w:rsidR="00E6133C" w:rsidRPr="001167C1" w:rsidRDefault="009455A4" w:rsidP="001167C1">
      <w:pPr>
        <w:adjustRightInd w:val="0"/>
        <w:snapToGrid w:val="0"/>
        <w:spacing w:line="360" w:lineRule="auto"/>
        <w:jc w:val="both"/>
        <w:rPr>
          <w:rFonts w:ascii="Times New Roman" w:hAnsi="Times New Roman"/>
          <w:color w:val="0000CC"/>
          <w:szCs w:val="24"/>
        </w:rPr>
      </w:pPr>
      <w:r w:rsidRPr="001167C1">
        <w:rPr>
          <w:rFonts w:ascii="Times New Roman" w:hAnsi="Times New Roman"/>
          <w:szCs w:val="24"/>
        </w:rPr>
        <w:t xml:space="preserve">The current analysis of nominal GDP per capita for selected countries in 2024 reveals notable variations. The United States exhibits the highest level of nominal GDP per capita, while India demonstrates the lowest. Concurrently, Hong Kong and the United Kingdom experience a declining trend, while the United States, India, and China show an increasing trajectory. In light of these findings, the research problem </w:t>
      </w:r>
      <w:proofErr w:type="gramStart"/>
      <w:r w:rsidRPr="001167C1">
        <w:rPr>
          <w:rFonts w:ascii="Times New Roman" w:hAnsi="Times New Roman"/>
          <w:szCs w:val="24"/>
        </w:rPr>
        <w:t>arises:</w:t>
      </w:r>
      <w:proofErr w:type="gramEnd"/>
      <w:r w:rsidRPr="001167C1">
        <w:rPr>
          <w:rFonts w:ascii="Times New Roman" w:hAnsi="Times New Roman"/>
          <w:szCs w:val="24"/>
        </w:rPr>
        <w:t xml:space="preserve"> considering the concentration of all investments in Hong Kong, it becomes necessary to explore alternative investment opportunities in other countries that offer potentially higher returns with comparable levels of risk.</w:t>
      </w:r>
      <w:r w:rsidR="00DD37E0" w:rsidRPr="001167C1">
        <w:rPr>
          <w:rFonts w:ascii="Times New Roman" w:hAnsi="Times New Roman"/>
          <w:color w:val="0000CC"/>
          <w:szCs w:val="24"/>
        </w:rPr>
        <w:t xml:space="preserve"> </w:t>
      </w:r>
    </w:p>
    <w:p w14:paraId="1BFD4330" w14:textId="77777777" w:rsidR="007342AD" w:rsidRPr="001167C1" w:rsidRDefault="007342AD" w:rsidP="001167C1">
      <w:pPr>
        <w:adjustRightInd w:val="0"/>
        <w:snapToGrid w:val="0"/>
        <w:spacing w:line="360" w:lineRule="auto"/>
        <w:jc w:val="both"/>
        <w:rPr>
          <w:rFonts w:ascii="Times New Roman" w:hAnsi="Times New Roman"/>
          <w:color w:val="0000CC"/>
          <w:szCs w:val="24"/>
        </w:rPr>
      </w:pPr>
    </w:p>
    <w:p w14:paraId="341F3906" w14:textId="619F8D8F" w:rsidR="00A47603" w:rsidRPr="001167C1" w:rsidRDefault="00A47603" w:rsidP="001167C1">
      <w:pPr>
        <w:adjustRightInd w:val="0"/>
        <w:snapToGrid w:val="0"/>
        <w:spacing w:line="360" w:lineRule="auto"/>
        <w:jc w:val="both"/>
        <w:rPr>
          <w:rFonts w:ascii="Times New Roman" w:hAnsi="Times New Roman"/>
          <w:color w:val="0000CC"/>
          <w:szCs w:val="24"/>
        </w:rPr>
      </w:pPr>
      <w:r w:rsidRPr="001167C1">
        <w:rPr>
          <w:rFonts w:ascii="Times New Roman" w:hAnsi="Times New Roman"/>
          <w:bCs/>
          <w:szCs w:val="24"/>
        </w:rPr>
        <w:t>Table</w:t>
      </w:r>
      <w:r w:rsidR="00DD37E0" w:rsidRPr="001167C1">
        <w:rPr>
          <w:rFonts w:ascii="Times New Roman" w:hAnsi="Times New Roman"/>
          <w:bCs/>
          <w:szCs w:val="24"/>
        </w:rPr>
        <w:t xml:space="preserve"> </w:t>
      </w:r>
      <w:r w:rsidR="009768AD" w:rsidRPr="001167C1">
        <w:rPr>
          <w:rFonts w:ascii="Times New Roman" w:hAnsi="Times New Roman"/>
          <w:bCs/>
          <w:szCs w:val="24"/>
        </w:rPr>
        <w:t>2</w:t>
      </w:r>
      <w:r w:rsidRPr="001167C1">
        <w:rPr>
          <w:rFonts w:ascii="Times New Roman" w:hAnsi="Times New Roman"/>
          <w:bCs/>
          <w:szCs w:val="24"/>
        </w:rPr>
        <w:t xml:space="preserve"> Current performance of nominal GDP per capita in the selected countries (US$,000)</w:t>
      </w:r>
    </w:p>
    <w:tbl>
      <w:tblPr>
        <w:tblStyle w:val="af6"/>
        <w:tblW w:w="0" w:type="auto"/>
        <w:tblLook w:val="04A0" w:firstRow="1" w:lastRow="0" w:firstColumn="1" w:lastColumn="0" w:noHBand="0" w:noVBand="1"/>
      </w:tblPr>
      <w:tblGrid>
        <w:gridCol w:w="846"/>
        <w:gridCol w:w="1756"/>
        <w:gridCol w:w="1756"/>
        <w:gridCol w:w="1757"/>
        <w:gridCol w:w="1756"/>
        <w:gridCol w:w="1757"/>
      </w:tblGrid>
      <w:tr w:rsidR="00A47603" w:rsidRPr="001167C1" w14:paraId="2BD9C4C6" w14:textId="77777777" w:rsidTr="00A47603">
        <w:tc>
          <w:tcPr>
            <w:tcW w:w="846" w:type="dxa"/>
          </w:tcPr>
          <w:p w14:paraId="1E7BA6F1" w14:textId="77777777" w:rsidR="00A47603" w:rsidRPr="001167C1" w:rsidRDefault="00A47603" w:rsidP="001167C1">
            <w:pPr>
              <w:adjustRightInd w:val="0"/>
              <w:snapToGrid w:val="0"/>
              <w:spacing w:line="360" w:lineRule="auto"/>
              <w:jc w:val="both"/>
              <w:rPr>
                <w:rFonts w:ascii="Times New Roman" w:hAnsi="Times New Roman"/>
                <w:szCs w:val="24"/>
              </w:rPr>
            </w:pPr>
          </w:p>
        </w:tc>
        <w:tc>
          <w:tcPr>
            <w:tcW w:w="1756" w:type="dxa"/>
          </w:tcPr>
          <w:p w14:paraId="6AF7C7F9" w14:textId="7DCC378A" w:rsidR="00A47603" w:rsidRPr="001167C1" w:rsidRDefault="00A47603" w:rsidP="001167C1">
            <w:pPr>
              <w:adjustRightInd w:val="0"/>
              <w:snapToGrid w:val="0"/>
              <w:spacing w:line="360" w:lineRule="auto"/>
              <w:jc w:val="center"/>
              <w:rPr>
                <w:rFonts w:ascii="Times New Roman" w:hAnsi="Times New Roman"/>
                <w:szCs w:val="24"/>
              </w:rPr>
            </w:pPr>
            <w:r w:rsidRPr="001167C1">
              <w:rPr>
                <w:rFonts w:ascii="Times New Roman" w:hAnsi="Times New Roman"/>
                <w:szCs w:val="24"/>
              </w:rPr>
              <w:t>Hong Kong</w:t>
            </w:r>
          </w:p>
        </w:tc>
        <w:tc>
          <w:tcPr>
            <w:tcW w:w="1756" w:type="dxa"/>
          </w:tcPr>
          <w:p w14:paraId="3EBF81CF" w14:textId="53CBFEE5" w:rsidR="00A47603" w:rsidRPr="001167C1" w:rsidRDefault="00A47603" w:rsidP="001167C1">
            <w:pPr>
              <w:adjustRightInd w:val="0"/>
              <w:snapToGrid w:val="0"/>
              <w:spacing w:line="360" w:lineRule="auto"/>
              <w:jc w:val="center"/>
              <w:rPr>
                <w:rFonts w:ascii="Times New Roman" w:hAnsi="Times New Roman"/>
                <w:szCs w:val="24"/>
              </w:rPr>
            </w:pPr>
            <w:r w:rsidRPr="001167C1">
              <w:rPr>
                <w:rFonts w:ascii="Times New Roman" w:hAnsi="Times New Roman"/>
                <w:szCs w:val="24"/>
              </w:rPr>
              <w:t>United Kingdom</w:t>
            </w:r>
          </w:p>
        </w:tc>
        <w:tc>
          <w:tcPr>
            <w:tcW w:w="1757" w:type="dxa"/>
          </w:tcPr>
          <w:p w14:paraId="53E3C0D5" w14:textId="53FE6FC1" w:rsidR="00A47603" w:rsidRPr="001167C1" w:rsidRDefault="00A47603" w:rsidP="001167C1">
            <w:pPr>
              <w:adjustRightInd w:val="0"/>
              <w:snapToGrid w:val="0"/>
              <w:spacing w:line="360" w:lineRule="auto"/>
              <w:jc w:val="center"/>
              <w:rPr>
                <w:rFonts w:ascii="Times New Roman" w:hAnsi="Times New Roman"/>
                <w:szCs w:val="24"/>
              </w:rPr>
            </w:pPr>
            <w:r w:rsidRPr="001167C1">
              <w:rPr>
                <w:rFonts w:ascii="Times New Roman" w:hAnsi="Times New Roman"/>
                <w:szCs w:val="24"/>
              </w:rPr>
              <w:t>United States</w:t>
            </w:r>
          </w:p>
        </w:tc>
        <w:tc>
          <w:tcPr>
            <w:tcW w:w="1756" w:type="dxa"/>
          </w:tcPr>
          <w:p w14:paraId="63699507" w14:textId="631233C6" w:rsidR="00A47603" w:rsidRPr="001167C1" w:rsidRDefault="00A47603" w:rsidP="001167C1">
            <w:pPr>
              <w:adjustRightInd w:val="0"/>
              <w:snapToGrid w:val="0"/>
              <w:spacing w:line="360" w:lineRule="auto"/>
              <w:jc w:val="center"/>
              <w:rPr>
                <w:rFonts w:ascii="Times New Roman" w:hAnsi="Times New Roman"/>
                <w:szCs w:val="24"/>
              </w:rPr>
            </w:pPr>
            <w:r w:rsidRPr="001167C1">
              <w:rPr>
                <w:rFonts w:ascii="Times New Roman" w:hAnsi="Times New Roman"/>
                <w:szCs w:val="24"/>
              </w:rPr>
              <w:t>India</w:t>
            </w:r>
          </w:p>
        </w:tc>
        <w:tc>
          <w:tcPr>
            <w:tcW w:w="1757" w:type="dxa"/>
          </w:tcPr>
          <w:p w14:paraId="64870BBA" w14:textId="4C592C03" w:rsidR="00A47603" w:rsidRPr="001167C1" w:rsidRDefault="00A47603" w:rsidP="001167C1">
            <w:pPr>
              <w:adjustRightInd w:val="0"/>
              <w:snapToGrid w:val="0"/>
              <w:spacing w:line="360" w:lineRule="auto"/>
              <w:jc w:val="center"/>
              <w:rPr>
                <w:rFonts w:ascii="Times New Roman" w:hAnsi="Times New Roman"/>
                <w:szCs w:val="24"/>
              </w:rPr>
            </w:pPr>
            <w:r w:rsidRPr="001167C1">
              <w:rPr>
                <w:rFonts w:ascii="Times New Roman" w:hAnsi="Times New Roman"/>
                <w:szCs w:val="24"/>
              </w:rPr>
              <w:t>China</w:t>
            </w:r>
          </w:p>
        </w:tc>
      </w:tr>
      <w:tr w:rsidR="00A47603" w:rsidRPr="001167C1" w14:paraId="4FFA4BD9" w14:textId="77777777" w:rsidTr="002311AB">
        <w:tc>
          <w:tcPr>
            <w:tcW w:w="846" w:type="dxa"/>
          </w:tcPr>
          <w:p w14:paraId="4D50A2C4" w14:textId="5D94FF29"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2020</w:t>
            </w:r>
          </w:p>
        </w:tc>
        <w:tc>
          <w:tcPr>
            <w:tcW w:w="1756" w:type="dxa"/>
            <w:vAlign w:val="bottom"/>
          </w:tcPr>
          <w:p w14:paraId="51CC70F9" w14:textId="02FDC8E9"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46109.23</w:t>
            </w:r>
          </w:p>
        </w:tc>
        <w:tc>
          <w:tcPr>
            <w:tcW w:w="1756" w:type="dxa"/>
            <w:vAlign w:val="bottom"/>
          </w:tcPr>
          <w:p w14:paraId="2B16E0D1" w14:textId="5D114CF0"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40217.01</w:t>
            </w:r>
          </w:p>
        </w:tc>
        <w:tc>
          <w:tcPr>
            <w:tcW w:w="1757" w:type="dxa"/>
            <w:vAlign w:val="bottom"/>
          </w:tcPr>
          <w:p w14:paraId="27BB7C08" w14:textId="7BC1792A"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63528.63</w:t>
            </w:r>
          </w:p>
        </w:tc>
        <w:tc>
          <w:tcPr>
            <w:tcW w:w="1756" w:type="dxa"/>
            <w:vAlign w:val="bottom"/>
          </w:tcPr>
          <w:p w14:paraId="5E920B08" w14:textId="48523944"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1913.22</w:t>
            </w:r>
          </w:p>
        </w:tc>
        <w:tc>
          <w:tcPr>
            <w:tcW w:w="1757" w:type="dxa"/>
            <w:vAlign w:val="bottom"/>
          </w:tcPr>
          <w:p w14:paraId="23BE20BA" w14:textId="156BCD08"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10408.72</w:t>
            </w:r>
          </w:p>
        </w:tc>
      </w:tr>
      <w:tr w:rsidR="00A47603" w:rsidRPr="001167C1" w14:paraId="048F4437" w14:textId="77777777" w:rsidTr="002311AB">
        <w:tc>
          <w:tcPr>
            <w:tcW w:w="846" w:type="dxa"/>
          </w:tcPr>
          <w:p w14:paraId="595C8C4D" w14:textId="0BF559D1"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2021</w:t>
            </w:r>
          </w:p>
        </w:tc>
        <w:tc>
          <w:tcPr>
            <w:tcW w:w="1756" w:type="dxa"/>
            <w:vAlign w:val="bottom"/>
          </w:tcPr>
          <w:p w14:paraId="3E387A1A" w14:textId="63A571E3"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49764.79</w:t>
            </w:r>
          </w:p>
        </w:tc>
        <w:tc>
          <w:tcPr>
            <w:tcW w:w="1756" w:type="dxa"/>
            <w:vAlign w:val="bottom"/>
          </w:tcPr>
          <w:p w14:paraId="17B11EC6" w14:textId="5D0F0454"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46869.76</w:t>
            </w:r>
          </w:p>
        </w:tc>
        <w:tc>
          <w:tcPr>
            <w:tcW w:w="1757" w:type="dxa"/>
            <w:vAlign w:val="bottom"/>
          </w:tcPr>
          <w:p w14:paraId="00F657EB" w14:textId="2425F5D1"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70219.47</w:t>
            </w:r>
          </w:p>
        </w:tc>
        <w:tc>
          <w:tcPr>
            <w:tcW w:w="1756" w:type="dxa"/>
            <w:vAlign w:val="bottom"/>
          </w:tcPr>
          <w:p w14:paraId="05977883" w14:textId="5F540A99"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2238.13</w:t>
            </w:r>
          </w:p>
        </w:tc>
        <w:tc>
          <w:tcPr>
            <w:tcW w:w="1757" w:type="dxa"/>
            <w:vAlign w:val="bottom"/>
          </w:tcPr>
          <w:p w14:paraId="1EF6FE87" w14:textId="362767D9"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12617.51</w:t>
            </w:r>
          </w:p>
        </w:tc>
      </w:tr>
      <w:tr w:rsidR="00A47603" w:rsidRPr="001167C1" w14:paraId="28D833FD" w14:textId="77777777" w:rsidTr="002311AB">
        <w:tc>
          <w:tcPr>
            <w:tcW w:w="846" w:type="dxa"/>
          </w:tcPr>
          <w:p w14:paraId="06F8AF9D" w14:textId="5E836D48"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2022</w:t>
            </w:r>
          </w:p>
        </w:tc>
        <w:tc>
          <w:tcPr>
            <w:tcW w:w="1756" w:type="dxa"/>
            <w:vAlign w:val="bottom"/>
          </w:tcPr>
          <w:p w14:paraId="5C5EB07A" w14:textId="20C7C8A0"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48983.62</w:t>
            </w:r>
          </w:p>
        </w:tc>
        <w:tc>
          <w:tcPr>
            <w:tcW w:w="1756" w:type="dxa"/>
            <w:vAlign w:val="bottom"/>
          </w:tcPr>
          <w:p w14:paraId="37A51C47" w14:textId="2B685EF8"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46125.26</w:t>
            </w:r>
          </w:p>
        </w:tc>
        <w:tc>
          <w:tcPr>
            <w:tcW w:w="1757" w:type="dxa"/>
            <w:vAlign w:val="bottom"/>
          </w:tcPr>
          <w:p w14:paraId="543A8F1B" w14:textId="5E101673"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76329.58</w:t>
            </w:r>
          </w:p>
        </w:tc>
        <w:tc>
          <w:tcPr>
            <w:tcW w:w="1756" w:type="dxa"/>
            <w:vAlign w:val="bottom"/>
          </w:tcPr>
          <w:p w14:paraId="6590EB4E" w14:textId="2A3A291F"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2410.89</w:t>
            </w:r>
          </w:p>
        </w:tc>
        <w:tc>
          <w:tcPr>
            <w:tcW w:w="1757" w:type="dxa"/>
            <w:vAlign w:val="bottom"/>
          </w:tcPr>
          <w:p w14:paraId="039FE9C7" w14:textId="144860F5" w:rsidR="00A47603" w:rsidRPr="001167C1" w:rsidRDefault="00A4760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12720.22</w:t>
            </w:r>
          </w:p>
        </w:tc>
      </w:tr>
    </w:tbl>
    <w:p w14:paraId="1074841E" w14:textId="77777777" w:rsidR="00A47603" w:rsidRPr="001167C1" w:rsidRDefault="00A47603" w:rsidP="001167C1">
      <w:pPr>
        <w:adjustRightInd w:val="0"/>
        <w:snapToGrid w:val="0"/>
        <w:spacing w:line="360" w:lineRule="auto"/>
        <w:jc w:val="both"/>
        <w:rPr>
          <w:rFonts w:ascii="Times New Roman" w:hAnsi="Times New Roman"/>
          <w:szCs w:val="24"/>
        </w:rPr>
      </w:pPr>
    </w:p>
    <w:p w14:paraId="74D01DBB" w14:textId="77777777" w:rsidR="009455A4" w:rsidRPr="001167C1" w:rsidRDefault="009455A4" w:rsidP="001167C1">
      <w:pPr>
        <w:widowControl/>
        <w:spacing w:line="360" w:lineRule="auto"/>
        <w:rPr>
          <w:rFonts w:ascii="Times New Roman" w:hAnsi="Times New Roman"/>
          <w:szCs w:val="24"/>
        </w:rPr>
      </w:pPr>
      <w:r w:rsidRPr="001167C1">
        <w:rPr>
          <w:rFonts w:ascii="Times New Roman" w:hAnsi="Times New Roman"/>
          <w:szCs w:val="24"/>
        </w:rPr>
        <w:t>In Hong Kong, the rebound in nominal GDP per capita in 2021 following the COVID-19 pandemic was short-lived, as the indicator declined again in 2022. The city's asset and stock markets are currently facing significant challenges, and its position as a leading financial hub is uncertain due to a combination of cyclical and structural factors (Yuen, 2024).</w:t>
      </w:r>
    </w:p>
    <w:p w14:paraId="6F11876A" w14:textId="77777777" w:rsidR="009455A4" w:rsidRPr="001167C1" w:rsidRDefault="009455A4" w:rsidP="001167C1">
      <w:pPr>
        <w:widowControl/>
        <w:spacing w:line="360" w:lineRule="auto"/>
        <w:rPr>
          <w:rFonts w:ascii="Times New Roman" w:hAnsi="Times New Roman"/>
          <w:szCs w:val="24"/>
        </w:rPr>
      </w:pPr>
    </w:p>
    <w:p w14:paraId="0E84F0B6" w14:textId="77777777" w:rsidR="009455A4" w:rsidRPr="001167C1" w:rsidRDefault="009455A4" w:rsidP="001167C1">
      <w:pPr>
        <w:widowControl/>
        <w:spacing w:line="360" w:lineRule="auto"/>
        <w:rPr>
          <w:rFonts w:ascii="Times New Roman" w:hAnsi="Times New Roman"/>
          <w:szCs w:val="24"/>
        </w:rPr>
      </w:pPr>
      <w:r w:rsidRPr="001167C1">
        <w:rPr>
          <w:rFonts w:ascii="Times New Roman" w:hAnsi="Times New Roman"/>
          <w:szCs w:val="24"/>
        </w:rPr>
        <w:t xml:space="preserve">The United Kingdom's economy has shown signs of improvement, with various institutions upgrading their growth outlook. Despite challenges related to Brexit, higher interest rates, and labor </w:t>
      </w:r>
      <w:r w:rsidRPr="001167C1">
        <w:rPr>
          <w:rFonts w:ascii="Times New Roman" w:hAnsi="Times New Roman"/>
          <w:szCs w:val="24"/>
        </w:rPr>
        <w:lastRenderedPageBreak/>
        <w:t>market issues, the government's efforts and improved confidence contribute to a more positive economic outlook (Robertson, 2023).</w:t>
      </w:r>
    </w:p>
    <w:p w14:paraId="1D132BB2" w14:textId="77777777" w:rsidR="009455A4" w:rsidRPr="001167C1" w:rsidRDefault="009455A4" w:rsidP="001167C1">
      <w:pPr>
        <w:widowControl/>
        <w:spacing w:line="360" w:lineRule="auto"/>
        <w:rPr>
          <w:rFonts w:ascii="Times New Roman" w:hAnsi="Times New Roman"/>
          <w:szCs w:val="24"/>
        </w:rPr>
      </w:pPr>
    </w:p>
    <w:p w14:paraId="037FFA46" w14:textId="77777777" w:rsidR="009455A4" w:rsidRPr="001167C1" w:rsidRDefault="009455A4" w:rsidP="001167C1">
      <w:pPr>
        <w:widowControl/>
        <w:spacing w:line="360" w:lineRule="auto"/>
        <w:rPr>
          <w:rFonts w:ascii="Times New Roman" w:hAnsi="Times New Roman"/>
          <w:szCs w:val="24"/>
        </w:rPr>
      </w:pPr>
      <w:r w:rsidRPr="001167C1">
        <w:rPr>
          <w:rFonts w:ascii="Times New Roman" w:hAnsi="Times New Roman"/>
          <w:szCs w:val="24"/>
        </w:rPr>
        <w:t>The US economy has demonstrated resilience and maintained its strength after the COVID-19 pandemic. Economic growth remained strong, with robust consumer spending and government expenditures as key drivers. Despite concerns about inflation, the Federal Reserve's approach of managing inflation without severely impacting the economy has been successful (Richter, 2023).</w:t>
      </w:r>
    </w:p>
    <w:p w14:paraId="5FB10228" w14:textId="77777777" w:rsidR="009455A4" w:rsidRPr="001167C1" w:rsidRDefault="009455A4" w:rsidP="001167C1">
      <w:pPr>
        <w:widowControl/>
        <w:spacing w:line="360" w:lineRule="auto"/>
        <w:rPr>
          <w:rFonts w:ascii="Times New Roman" w:hAnsi="Times New Roman"/>
          <w:szCs w:val="24"/>
        </w:rPr>
      </w:pPr>
    </w:p>
    <w:p w14:paraId="24AC9140" w14:textId="77777777" w:rsidR="009455A4" w:rsidRPr="001167C1" w:rsidRDefault="009455A4" w:rsidP="001167C1">
      <w:pPr>
        <w:widowControl/>
        <w:spacing w:line="360" w:lineRule="auto"/>
        <w:rPr>
          <w:rFonts w:ascii="Times New Roman" w:hAnsi="Times New Roman"/>
          <w:szCs w:val="24"/>
        </w:rPr>
      </w:pPr>
      <w:r w:rsidRPr="001167C1">
        <w:rPr>
          <w:rFonts w:ascii="Times New Roman" w:hAnsi="Times New Roman"/>
          <w:szCs w:val="24"/>
        </w:rPr>
        <w:t>The Indian economy has shown resilience and rebounded strongly after the COVID-19 pandemic. GDP growth has been impressive, reaching 7.7% in the fiscal year 2021-2022. Government stimulus measures, revived consumer demand, and increased industrial production contributed to this growth. Ongoing efforts are needed to address unemployment, strengthen the banking sector, reduce inequalities, and invest in infrastructure (Thangam, 2023).</w:t>
      </w:r>
    </w:p>
    <w:p w14:paraId="0B4CFA21" w14:textId="77777777" w:rsidR="009455A4" w:rsidRPr="001167C1" w:rsidRDefault="009455A4" w:rsidP="001167C1">
      <w:pPr>
        <w:widowControl/>
        <w:spacing w:line="360" w:lineRule="auto"/>
        <w:rPr>
          <w:rFonts w:ascii="Times New Roman" w:hAnsi="Times New Roman"/>
          <w:szCs w:val="24"/>
        </w:rPr>
      </w:pPr>
    </w:p>
    <w:p w14:paraId="6EF2A196" w14:textId="2324681B" w:rsidR="00727C07" w:rsidRPr="001167C1" w:rsidRDefault="009455A4" w:rsidP="001167C1">
      <w:pPr>
        <w:widowControl/>
        <w:spacing w:line="360" w:lineRule="auto"/>
        <w:rPr>
          <w:rFonts w:ascii="Times New Roman" w:hAnsi="Times New Roman"/>
          <w:szCs w:val="24"/>
        </w:rPr>
      </w:pPr>
      <w:r w:rsidRPr="001167C1">
        <w:rPr>
          <w:rFonts w:ascii="Times New Roman" w:hAnsi="Times New Roman"/>
          <w:szCs w:val="24"/>
        </w:rPr>
        <w:t>China's GDP has shown sustained growth despite the COVID-19 pandemic, contributing approximately one-third to global GDP growth. The global economy is still struggling with the aftermath of the pandemic, particularly affecting low-income developing nations. However, China's situation aligns with the global average in terms of the scarring effect. Unlike many countries facing high inflation rates, China has maintained a stable inflationary environment. The director of the People's Bank of China Financial Research Institute expressed cautious optimism about China's macroeconomy, highlighting the opportunities in the real estate market driven by demand for housing improvement and urbanization (Times, 2023).</w:t>
      </w:r>
    </w:p>
    <w:p w14:paraId="637E6153" w14:textId="5BAB9D10" w:rsidR="00C64BA4" w:rsidRPr="001167C1" w:rsidRDefault="00C64BA4" w:rsidP="001167C1">
      <w:pPr>
        <w:widowControl/>
        <w:spacing w:line="360" w:lineRule="auto"/>
        <w:rPr>
          <w:rFonts w:ascii="Times New Roman" w:hAnsi="Times New Roman"/>
          <w:b/>
          <w:bCs/>
          <w:szCs w:val="24"/>
        </w:rPr>
      </w:pPr>
      <w:r w:rsidRPr="001167C1">
        <w:rPr>
          <w:rFonts w:ascii="Times New Roman" w:hAnsi="Times New Roman"/>
          <w:b/>
          <w:bCs/>
          <w:szCs w:val="24"/>
        </w:rPr>
        <w:br w:type="page"/>
      </w:r>
    </w:p>
    <w:p w14:paraId="57AE4068" w14:textId="6A0A0858" w:rsidR="00246080" w:rsidRPr="001167C1" w:rsidRDefault="00B40D11" w:rsidP="001167C1">
      <w:pPr>
        <w:adjustRightInd w:val="0"/>
        <w:snapToGrid w:val="0"/>
        <w:spacing w:line="360" w:lineRule="auto"/>
        <w:jc w:val="both"/>
        <w:rPr>
          <w:rFonts w:ascii="Times New Roman" w:hAnsi="Times New Roman"/>
          <w:b/>
          <w:bCs/>
          <w:szCs w:val="24"/>
        </w:rPr>
      </w:pPr>
      <w:r w:rsidRPr="001167C1">
        <w:rPr>
          <w:rFonts w:ascii="Times New Roman" w:hAnsi="Times New Roman"/>
          <w:b/>
          <w:bCs/>
          <w:szCs w:val="24"/>
        </w:rPr>
        <w:lastRenderedPageBreak/>
        <w:t>2.</w:t>
      </w:r>
      <w:r w:rsidR="003C4774" w:rsidRPr="001167C1">
        <w:rPr>
          <w:rFonts w:ascii="Times New Roman" w:hAnsi="Times New Roman"/>
          <w:b/>
          <w:bCs/>
          <w:szCs w:val="24"/>
        </w:rPr>
        <w:t>4</w:t>
      </w:r>
      <w:r w:rsidRPr="001167C1">
        <w:rPr>
          <w:rFonts w:ascii="Times New Roman" w:hAnsi="Times New Roman"/>
          <w:b/>
          <w:bCs/>
          <w:szCs w:val="24"/>
        </w:rPr>
        <w:t xml:space="preserve"> </w:t>
      </w:r>
      <w:r w:rsidR="00CA798C" w:rsidRPr="001167C1">
        <w:rPr>
          <w:rFonts w:ascii="Times New Roman" w:hAnsi="Times New Roman"/>
          <w:b/>
          <w:bCs/>
          <w:szCs w:val="24"/>
        </w:rPr>
        <w:t>Dataset</w:t>
      </w:r>
    </w:p>
    <w:p w14:paraId="5B637A33" w14:textId="77777777" w:rsidR="007342AD" w:rsidRPr="001167C1" w:rsidRDefault="007342AD" w:rsidP="001167C1">
      <w:pPr>
        <w:adjustRightInd w:val="0"/>
        <w:snapToGrid w:val="0"/>
        <w:spacing w:line="360" w:lineRule="auto"/>
        <w:jc w:val="both"/>
        <w:rPr>
          <w:rFonts w:ascii="Times New Roman" w:hAnsi="Times New Roman"/>
          <w:b/>
          <w:bCs/>
          <w:szCs w:val="24"/>
        </w:rPr>
      </w:pPr>
    </w:p>
    <w:p w14:paraId="43E51CA4" w14:textId="613CC787" w:rsidR="00783714" w:rsidRPr="001167C1" w:rsidRDefault="00783714" w:rsidP="001167C1">
      <w:pPr>
        <w:adjustRightInd w:val="0"/>
        <w:snapToGrid w:val="0"/>
        <w:spacing w:line="360" w:lineRule="auto"/>
        <w:jc w:val="both"/>
        <w:rPr>
          <w:rFonts w:ascii="Times New Roman" w:hAnsi="Times New Roman"/>
          <w:bCs/>
          <w:szCs w:val="24"/>
        </w:rPr>
      </w:pPr>
      <w:bookmarkStart w:id="3" w:name="_Hlk156035012"/>
      <w:r w:rsidRPr="001167C1">
        <w:rPr>
          <w:rFonts w:ascii="Times New Roman" w:hAnsi="Times New Roman"/>
          <w:bCs/>
          <w:szCs w:val="24"/>
        </w:rPr>
        <w:t xml:space="preserve">Table </w:t>
      </w:r>
      <w:r w:rsidR="009768AD" w:rsidRPr="001167C1">
        <w:rPr>
          <w:rFonts w:ascii="Times New Roman" w:hAnsi="Times New Roman"/>
          <w:bCs/>
          <w:szCs w:val="24"/>
        </w:rPr>
        <w:t>3</w:t>
      </w:r>
      <w:r w:rsidR="00DF0B93" w:rsidRPr="001167C1">
        <w:rPr>
          <w:rFonts w:ascii="Times New Roman" w:hAnsi="Times New Roman"/>
          <w:bCs/>
          <w:szCs w:val="24"/>
        </w:rPr>
        <w:t xml:space="preserve"> </w:t>
      </w:r>
      <w:r w:rsidR="0012643D" w:rsidRPr="001167C1">
        <w:rPr>
          <w:rFonts w:ascii="Times New Roman" w:hAnsi="Times New Roman"/>
          <w:bCs/>
          <w:szCs w:val="24"/>
        </w:rPr>
        <w:t xml:space="preserve">The annual data of </w:t>
      </w:r>
      <w:r w:rsidR="00DF0B93" w:rsidRPr="001167C1">
        <w:rPr>
          <w:rFonts w:ascii="Times New Roman" w:hAnsi="Times New Roman"/>
          <w:bCs/>
          <w:szCs w:val="24"/>
        </w:rPr>
        <w:t>nominal GDP per capita</w:t>
      </w:r>
      <w:r w:rsidR="0012643D" w:rsidRPr="001167C1">
        <w:rPr>
          <w:rFonts w:ascii="Times New Roman" w:hAnsi="Times New Roman"/>
          <w:bCs/>
          <w:szCs w:val="24"/>
        </w:rPr>
        <w:t xml:space="preserve"> in</w:t>
      </w:r>
      <w:r w:rsidR="00E04A4A" w:rsidRPr="001167C1">
        <w:rPr>
          <w:rFonts w:ascii="Times New Roman" w:hAnsi="Times New Roman"/>
          <w:bCs/>
          <w:szCs w:val="24"/>
        </w:rPr>
        <w:t xml:space="preserve"> five selected countries</w:t>
      </w:r>
      <w:r w:rsidR="0012643D" w:rsidRPr="001167C1">
        <w:rPr>
          <w:rFonts w:ascii="Times New Roman" w:hAnsi="Times New Roman"/>
          <w:bCs/>
          <w:szCs w:val="24"/>
        </w:rPr>
        <w:t xml:space="preserve">: 2000 </w:t>
      </w:r>
      <w:r w:rsidR="00F035D2" w:rsidRPr="001167C1">
        <w:rPr>
          <w:rFonts w:ascii="Times New Roman" w:hAnsi="Times New Roman"/>
          <w:bCs/>
          <w:szCs w:val="24"/>
        </w:rPr>
        <w:t>to 2022</w:t>
      </w:r>
      <w:r w:rsidR="00155454" w:rsidRPr="001167C1">
        <w:rPr>
          <w:rFonts w:ascii="Times New Roman" w:hAnsi="Times New Roman"/>
          <w:bCs/>
          <w:szCs w:val="24"/>
        </w:rPr>
        <w:t xml:space="preserve"> </w:t>
      </w:r>
      <w:r w:rsidR="00F035D2" w:rsidRPr="001167C1">
        <w:rPr>
          <w:rFonts w:ascii="Times New Roman" w:hAnsi="Times New Roman"/>
          <w:bCs/>
          <w:szCs w:val="24"/>
        </w:rPr>
        <w:t>(</w:t>
      </w:r>
      <w:r w:rsidR="00766841" w:rsidRPr="001167C1">
        <w:rPr>
          <w:rFonts w:ascii="Times New Roman" w:hAnsi="Times New Roman"/>
          <w:bCs/>
          <w:szCs w:val="24"/>
        </w:rPr>
        <w:t>US$,000</w:t>
      </w:r>
      <w:r w:rsidR="00F035D2" w:rsidRPr="001167C1">
        <w:rPr>
          <w:rFonts w:ascii="Times New Roman" w:hAnsi="Times New Roman"/>
          <w:bCs/>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41"/>
        <w:gridCol w:w="1533"/>
        <w:gridCol w:w="1562"/>
        <w:gridCol w:w="1771"/>
        <w:gridCol w:w="1522"/>
        <w:gridCol w:w="1499"/>
      </w:tblGrid>
      <w:tr w:rsidR="00C64BA4" w:rsidRPr="001167C1" w14:paraId="5B445D4E" w14:textId="14096170" w:rsidTr="00A0488C">
        <w:tc>
          <w:tcPr>
            <w:tcW w:w="1809" w:type="dxa"/>
            <w:shd w:val="clear" w:color="auto" w:fill="auto"/>
          </w:tcPr>
          <w:bookmarkEnd w:id="3"/>
          <w:p w14:paraId="732094F3" w14:textId="5CE2A9E1" w:rsidR="00A0488C" w:rsidRPr="001167C1" w:rsidRDefault="00A0488C"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Year</w:t>
            </w:r>
          </w:p>
        </w:tc>
        <w:tc>
          <w:tcPr>
            <w:tcW w:w="1560" w:type="dxa"/>
          </w:tcPr>
          <w:p w14:paraId="0033D1DF" w14:textId="516DFB8E" w:rsidR="00A0488C" w:rsidRPr="001167C1" w:rsidRDefault="00A0488C"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Hong Kong</w:t>
            </w:r>
          </w:p>
        </w:tc>
        <w:tc>
          <w:tcPr>
            <w:tcW w:w="1591" w:type="dxa"/>
          </w:tcPr>
          <w:p w14:paraId="39C07F63" w14:textId="1539485F" w:rsidR="00A0488C"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United Kingdom</w:t>
            </w:r>
          </w:p>
        </w:tc>
        <w:tc>
          <w:tcPr>
            <w:tcW w:w="1814" w:type="dxa"/>
            <w:shd w:val="clear" w:color="auto" w:fill="auto"/>
          </w:tcPr>
          <w:p w14:paraId="43FF1681" w14:textId="77A15377" w:rsidR="00A0488C"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United States</w:t>
            </w:r>
          </w:p>
        </w:tc>
        <w:tc>
          <w:tcPr>
            <w:tcW w:w="1556" w:type="dxa"/>
            <w:shd w:val="clear" w:color="auto" w:fill="auto"/>
          </w:tcPr>
          <w:p w14:paraId="2C0F1FD1" w14:textId="23FB6E0E" w:rsidR="00A0488C"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India</w:t>
            </w:r>
          </w:p>
        </w:tc>
        <w:tc>
          <w:tcPr>
            <w:tcW w:w="1524" w:type="dxa"/>
          </w:tcPr>
          <w:p w14:paraId="46EBAF80" w14:textId="57ADFB08" w:rsidR="00A0488C"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China</w:t>
            </w:r>
          </w:p>
        </w:tc>
      </w:tr>
      <w:tr w:rsidR="00C64BA4" w:rsidRPr="001167C1" w14:paraId="0CA04FDC" w14:textId="5AB89044" w:rsidTr="00471F40">
        <w:tc>
          <w:tcPr>
            <w:tcW w:w="1809" w:type="dxa"/>
            <w:shd w:val="clear" w:color="auto" w:fill="auto"/>
          </w:tcPr>
          <w:p w14:paraId="1B8067CB" w14:textId="2BD8368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2000</w:t>
            </w:r>
          </w:p>
        </w:tc>
        <w:tc>
          <w:tcPr>
            <w:tcW w:w="1560" w:type="dxa"/>
            <w:vAlign w:val="bottom"/>
          </w:tcPr>
          <w:p w14:paraId="2E44B595" w14:textId="1558BC4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25756.77</w:t>
            </w:r>
          </w:p>
        </w:tc>
        <w:tc>
          <w:tcPr>
            <w:tcW w:w="1591" w:type="dxa"/>
            <w:vAlign w:val="bottom"/>
          </w:tcPr>
          <w:p w14:paraId="48544C69" w14:textId="39663B8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28280.93</w:t>
            </w:r>
          </w:p>
        </w:tc>
        <w:tc>
          <w:tcPr>
            <w:tcW w:w="1814" w:type="dxa"/>
            <w:shd w:val="clear" w:color="auto" w:fill="auto"/>
            <w:vAlign w:val="bottom"/>
          </w:tcPr>
          <w:p w14:paraId="281A9384" w14:textId="05AFD2F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36329.96</w:t>
            </w:r>
          </w:p>
        </w:tc>
        <w:tc>
          <w:tcPr>
            <w:tcW w:w="1556" w:type="dxa"/>
            <w:shd w:val="clear" w:color="auto" w:fill="auto"/>
            <w:vAlign w:val="bottom"/>
          </w:tcPr>
          <w:p w14:paraId="1E99EE58" w14:textId="0F91836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442.03</w:t>
            </w:r>
          </w:p>
        </w:tc>
        <w:tc>
          <w:tcPr>
            <w:tcW w:w="1524" w:type="dxa"/>
            <w:vAlign w:val="bottom"/>
          </w:tcPr>
          <w:p w14:paraId="7583755D" w14:textId="24D5B4EE"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959.36</w:t>
            </w:r>
          </w:p>
        </w:tc>
      </w:tr>
      <w:tr w:rsidR="00C64BA4" w:rsidRPr="001167C1" w14:paraId="29BBCCDC" w14:textId="4F3A69DE" w:rsidTr="00471F40">
        <w:tc>
          <w:tcPr>
            <w:tcW w:w="1809" w:type="dxa"/>
            <w:shd w:val="clear" w:color="auto" w:fill="auto"/>
          </w:tcPr>
          <w:p w14:paraId="7D2467FC" w14:textId="7A762E6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2001</w:t>
            </w:r>
          </w:p>
        </w:tc>
        <w:tc>
          <w:tcPr>
            <w:tcW w:w="1560" w:type="dxa"/>
            <w:vAlign w:val="bottom"/>
          </w:tcPr>
          <w:p w14:paraId="4657877E" w14:textId="083C3156"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25230.38</w:t>
            </w:r>
          </w:p>
        </w:tc>
        <w:tc>
          <w:tcPr>
            <w:tcW w:w="1591" w:type="dxa"/>
            <w:vAlign w:val="bottom"/>
          </w:tcPr>
          <w:p w14:paraId="6E996FB9" w14:textId="2205F598"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27906.57</w:t>
            </w:r>
          </w:p>
        </w:tc>
        <w:tc>
          <w:tcPr>
            <w:tcW w:w="1814" w:type="dxa"/>
            <w:shd w:val="clear" w:color="auto" w:fill="auto"/>
            <w:vAlign w:val="bottom"/>
          </w:tcPr>
          <w:p w14:paraId="78B6302B" w14:textId="453D6DB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37133.62</w:t>
            </w:r>
          </w:p>
        </w:tc>
        <w:tc>
          <w:tcPr>
            <w:tcW w:w="1556" w:type="dxa"/>
            <w:shd w:val="clear" w:color="auto" w:fill="auto"/>
            <w:vAlign w:val="bottom"/>
          </w:tcPr>
          <w:p w14:paraId="0062EB1E" w14:textId="5C69DD9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449.91</w:t>
            </w:r>
          </w:p>
        </w:tc>
        <w:tc>
          <w:tcPr>
            <w:tcW w:w="1524" w:type="dxa"/>
            <w:vAlign w:val="bottom"/>
          </w:tcPr>
          <w:p w14:paraId="0EFC57DF" w14:textId="358ADB6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1053.11</w:t>
            </w:r>
          </w:p>
        </w:tc>
      </w:tr>
      <w:tr w:rsidR="00C64BA4" w:rsidRPr="001167C1" w14:paraId="2FB65F99" w14:textId="01C3C0E9" w:rsidTr="00471F40">
        <w:tc>
          <w:tcPr>
            <w:tcW w:w="1809" w:type="dxa"/>
            <w:shd w:val="clear" w:color="auto" w:fill="auto"/>
          </w:tcPr>
          <w:p w14:paraId="2BFA8D58" w14:textId="4C5075CF"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2002</w:t>
            </w:r>
          </w:p>
        </w:tc>
        <w:tc>
          <w:tcPr>
            <w:tcW w:w="1560" w:type="dxa"/>
            <w:vAlign w:val="bottom"/>
          </w:tcPr>
          <w:p w14:paraId="3E050461" w14:textId="083D6A8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24665.84</w:t>
            </w:r>
          </w:p>
        </w:tc>
        <w:tc>
          <w:tcPr>
            <w:tcW w:w="1591" w:type="dxa"/>
            <w:vAlign w:val="bottom"/>
          </w:tcPr>
          <w:p w14:paraId="70A3E284" w14:textId="59AB9C5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30077.74</w:t>
            </w:r>
          </w:p>
        </w:tc>
        <w:tc>
          <w:tcPr>
            <w:tcW w:w="1814" w:type="dxa"/>
            <w:shd w:val="clear" w:color="auto" w:fill="auto"/>
            <w:vAlign w:val="bottom"/>
          </w:tcPr>
          <w:p w14:paraId="460D3C24" w14:textId="60A664A9"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37997.76</w:t>
            </w:r>
          </w:p>
        </w:tc>
        <w:tc>
          <w:tcPr>
            <w:tcW w:w="1556" w:type="dxa"/>
            <w:shd w:val="clear" w:color="auto" w:fill="auto"/>
            <w:vAlign w:val="bottom"/>
          </w:tcPr>
          <w:p w14:paraId="04C8FC63" w14:textId="6467541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468.84</w:t>
            </w:r>
          </w:p>
        </w:tc>
        <w:tc>
          <w:tcPr>
            <w:tcW w:w="1524" w:type="dxa"/>
            <w:vAlign w:val="bottom"/>
          </w:tcPr>
          <w:p w14:paraId="4DCC5547" w14:textId="2B1039E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1148.51</w:t>
            </w:r>
          </w:p>
        </w:tc>
      </w:tr>
      <w:tr w:rsidR="00C64BA4" w:rsidRPr="001167C1" w14:paraId="72D538BB" w14:textId="32F06C33" w:rsidTr="00471F40">
        <w:tc>
          <w:tcPr>
            <w:tcW w:w="1809" w:type="dxa"/>
            <w:shd w:val="clear" w:color="auto" w:fill="auto"/>
          </w:tcPr>
          <w:p w14:paraId="7A8AB291" w14:textId="179FC896"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2003</w:t>
            </w:r>
          </w:p>
        </w:tc>
        <w:tc>
          <w:tcPr>
            <w:tcW w:w="1560" w:type="dxa"/>
            <w:vAlign w:val="bottom"/>
          </w:tcPr>
          <w:p w14:paraId="66E96850" w14:textId="372CEFBF"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23977.17</w:t>
            </w:r>
          </w:p>
        </w:tc>
        <w:tc>
          <w:tcPr>
            <w:tcW w:w="1591" w:type="dxa"/>
            <w:vAlign w:val="bottom"/>
          </w:tcPr>
          <w:p w14:paraId="5D5AAB12" w14:textId="279A74F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34442.69</w:t>
            </w:r>
          </w:p>
        </w:tc>
        <w:tc>
          <w:tcPr>
            <w:tcW w:w="1814" w:type="dxa"/>
            <w:shd w:val="clear" w:color="auto" w:fill="auto"/>
            <w:vAlign w:val="bottom"/>
          </w:tcPr>
          <w:p w14:paraId="35F15DC3" w14:textId="6A70922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39490.27</w:t>
            </w:r>
          </w:p>
        </w:tc>
        <w:tc>
          <w:tcPr>
            <w:tcW w:w="1556" w:type="dxa"/>
            <w:shd w:val="clear" w:color="auto" w:fill="auto"/>
            <w:vAlign w:val="bottom"/>
          </w:tcPr>
          <w:p w14:paraId="07A6C9B3" w14:textId="6B117C1F"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543.84</w:t>
            </w:r>
          </w:p>
        </w:tc>
        <w:tc>
          <w:tcPr>
            <w:tcW w:w="1524" w:type="dxa"/>
            <w:vAlign w:val="bottom"/>
          </w:tcPr>
          <w:p w14:paraId="4C739E1E" w14:textId="2889A52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1288.64</w:t>
            </w:r>
          </w:p>
        </w:tc>
      </w:tr>
      <w:tr w:rsidR="00C64BA4" w:rsidRPr="001167C1" w14:paraId="6805EE9D" w14:textId="77777777" w:rsidTr="00471F40">
        <w:tc>
          <w:tcPr>
            <w:tcW w:w="1809" w:type="dxa"/>
            <w:shd w:val="clear" w:color="auto" w:fill="auto"/>
          </w:tcPr>
          <w:p w14:paraId="204F7EE0" w14:textId="13952B2E"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2004</w:t>
            </w:r>
          </w:p>
        </w:tc>
        <w:tc>
          <w:tcPr>
            <w:tcW w:w="1560" w:type="dxa"/>
            <w:vAlign w:val="bottom"/>
          </w:tcPr>
          <w:p w14:paraId="5FA6D4AB" w14:textId="51F6546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24928.10</w:t>
            </w:r>
          </w:p>
        </w:tc>
        <w:tc>
          <w:tcPr>
            <w:tcW w:w="1591" w:type="dxa"/>
            <w:vAlign w:val="bottom"/>
          </w:tcPr>
          <w:p w14:paraId="24C32C58" w14:textId="6B856DF5"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40366.89</w:t>
            </w:r>
          </w:p>
        </w:tc>
        <w:tc>
          <w:tcPr>
            <w:tcW w:w="1814" w:type="dxa"/>
            <w:shd w:val="clear" w:color="auto" w:fill="auto"/>
            <w:vAlign w:val="bottom"/>
          </w:tcPr>
          <w:p w14:paraId="6E89050E" w14:textId="7BA44F3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41724.63</w:t>
            </w:r>
          </w:p>
        </w:tc>
        <w:tc>
          <w:tcPr>
            <w:tcW w:w="1556" w:type="dxa"/>
            <w:shd w:val="clear" w:color="auto" w:fill="auto"/>
            <w:vAlign w:val="bottom"/>
          </w:tcPr>
          <w:p w14:paraId="1993E92B" w14:textId="18D3B0F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624.11</w:t>
            </w:r>
          </w:p>
        </w:tc>
        <w:tc>
          <w:tcPr>
            <w:tcW w:w="1524" w:type="dxa"/>
            <w:vAlign w:val="bottom"/>
          </w:tcPr>
          <w:p w14:paraId="5A64CC7E" w14:textId="43910A3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1508.67</w:t>
            </w:r>
          </w:p>
        </w:tc>
      </w:tr>
      <w:tr w:rsidR="00C64BA4" w:rsidRPr="001167C1" w14:paraId="502FFD2A" w14:textId="77777777" w:rsidTr="00471F40">
        <w:tc>
          <w:tcPr>
            <w:tcW w:w="1809" w:type="dxa"/>
            <w:shd w:val="clear" w:color="auto" w:fill="auto"/>
          </w:tcPr>
          <w:p w14:paraId="469FEC01" w14:textId="0A0A3B5B"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2005</w:t>
            </w:r>
          </w:p>
        </w:tc>
        <w:tc>
          <w:tcPr>
            <w:tcW w:w="1560" w:type="dxa"/>
            <w:vAlign w:val="bottom"/>
          </w:tcPr>
          <w:p w14:paraId="1EFE13E7" w14:textId="721070A5"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26649.64</w:t>
            </w:r>
          </w:p>
        </w:tc>
        <w:tc>
          <w:tcPr>
            <w:tcW w:w="1591" w:type="dxa"/>
            <w:vAlign w:val="bottom"/>
          </w:tcPr>
          <w:p w14:paraId="002DBC95" w14:textId="78D84E7B"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42104.79</w:t>
            </w:r>
          </w:p>
        </w:tc>
        <w:tc>
          <w:tcPr>
            <w:tcW w:w="1814" w:type="dxa"/>
            <w:shd w:val="clear" w:color="auto" w:fill="auto"/>
            <w:vAlign w:val="bottom"/>
          </w:tcPr>
          <w:p w14:paraId="75A847EA" w14:textId="6980CC45"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44123.41</w:t>
            </w:r>
          </w:p>
        </w:tc>
        <w:tc>
          <w:tcPr>
            <w:tcW w:w="1556" w:type="dxa"/>
            <w:shd w:val="clear" w:color="auto" w:fill="auto"/>
            <w:vAlign w:val="bottom"/>
          </w:tcPr>
          <w:p w14:paraId="53DBC728" w14:textId="0C37D4D0"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710.51</w:t>
            </w:r>
          </w:p>
        </w:tc>
        <w:tc>
          <w:tcPr>
            <w:tcW w:w="1524" w:type="dxa"/>
            <w:vAlign w:val="bottom"/>
          </w:tcPr>
          <w:p w14:paraId="31742804" w14:textId="2E423D18"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1753.41</w:t>
            </w:r>
          </w:p>
        </w:tc>
      </w:tr>
      <w:tr w:rsidR="00C64BA4" w:rsidRPr="001167C1" w14:paraId="1F34E40C" w14:textId="77777777" w:rsidTr="00471F40">
        <w:tc>
          <w:tcPr>
            <w:tcW w:w="1809" w:type="dxa"/>
            <w:shd w:val="clear" w:color="auto" w:fill="auto"/>
          </w:tcPr>
          <w:p w14:paraId="41F3B052" w14:textId="08F718DE"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2006</w:t>
            </w:r>
          </w:p>
        </w:tc>
        <w:tc>
          <w:tcPr>
            <w:tcW w:w="1560" w:type="dxa"/>
            <w:vAlign w:val="bottom"/>
          </w:tcPr>
          <w:p w14:paraId="1B00E7E5" w14:textId="7BBE4E7E"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28224.10</w:t>
            </w:r>
          </w:p>
        </w:tc>
        <w:tc>
          <w:tcPr>
            <w:tcW w:w="1591" w:type="dxa"/>
            <w:vAlign w:val="bottom"/>
          </w:tcPr>
          <w:p w14:paraId="3CC022D7" w14:textId="1D47B5E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44512.46</w:t>
            </w:r>
          </w:p>
        </w:tc>
        <w:tc>
          <w:tcPr>
            <w:tcW w:w="1814" w:type="dxa"/>
            <w:shd w:val="clear" w:color="auto" w:fill="auto"/>
            <w:vAlign w:val="bottom"/>
          </w:tcPr>
          <w:p w14:paraId="32055EE8" w14:textId="0D296FA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46302.00</w:t>
            </w:r>
          </w:p>
        </w:tc>
        <w:tc>
          <w:tcPr>
            <w:tcW w:w="1556" w:type="dxa"/>
            <w:shd w:val="clear" w:color="auto" w:fill="auto"/>
            <w:vAlign w:val="bottom"/>
          </w:tcPr>
          <w:p w14:paraId="1316CB17" w14:textId="54EBD91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802.01</w:t>
            </w:r>
          </w:p>
        </w:tc>
        <w:tc>
          <w:tcPr>
            <w:tcW w:w="1524" w:type="dxa"/>
            <w:vAlign w:val="bottom"/>
          </w:tcPr>
          <w:p w14:paraId="6C79FEE7" w14:textId="3E2E9C6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2099.22</w:t>
            </w:r>
          </w:p>
        </w:tc>
      </w:tr>
      <w:tr w:rsidR="00C64BA4" w:rsidRPr="001167C1" w14:paraId="7F2944EE" w14:textId="77777777" w:rsidTr="00471F40">
        <w:tc>
          <w:tcPr>
            <w:tcW w:w="1809" w:type="dxa"/>
            <w:shd w:val="clear" w:color="auto" w:fill="auto"/>
          </w:tcPr>
          <w:p w14:paraId="4B1D6B36" w14:textId="23E87ECF"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2007</w:t>
            </w:r>
          </w:p>
        </w:tc>
        <w:tc>
          <w:tcPr>
            <w:tcW w:w="1560" w:type="dxa"/>
            <w:vAlign w:val="bottom"/>
          </w:tcPr>
          <w:p w14:paraId="311296C1" w14:textId="4ED62EF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30593.95</w:t>
            </w:r>
          </w:p>
        </w:tc>
        <w:tc>
          <w:tcPr>
            <w:tcW w:w="1591" w:type="dxa"/>
            <w:vAlign w:val="bottom"/>
          </w:tcPr>
          <w:p w14:paraId="42A6E211" w14:textId="631A241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50397.69</w:t>
            </w:r>
          </w:p>
        </w:tc>
        <w:tc>
          <w:tcPr>
            <w:tcW w:w="1814" w:type="dxa"/>
            <w:shd w:val="clear" w:color="auto" w:fill="auto"/>
            <w:vAlign w:val="bottom"/>
          </w:tcPr>
          <w:p w14:paraId="173B6BC9" w14:textId="09ADF5F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48050.22</w:t>
            </w:r>
          </w:p>
        </w:tc>
        <w:tc>
          <w:tcPr>
            <w:tcW w:w="1556" w:type="dxa"/>
            <w:shd w:val="clear" w:color="auto" w:fill="auto"/>
            <w:vAlign w:val="bottom"/>
          </w:tcPr>
          <w:p w14:paraId="5DA2CE0B" w14:textId="76F3798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1022.73</w:t>
            </w:r>
          </w:p>
        </w:tc>
        <w:tc>
          <w:tcPr>
            <w:tcW w:w="1524" w:type="dxa"/>
            <w:vAlign w:val="bottom"/>
          </w:tcPr>
          <w:p w14:paraId="49C75589" w14:textId="1D322D3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2693.96</w:t>
            </w:r>
          </w:p>
        </w:tc>
      </w:tr>
      <w:tr w:rsidR="00C64BA4" w:rsidRPr="001167C1" w14:paraId="7975B5D6" w14:textId="77777777" w:rsidTr="00471F40">
        <w:tc>
          <w:tcPr>
            <w:tcW w:w="1809" w:type="dxa"/>
            <w:shd w:val="clear" w:color="auto" w:fill="auto"/>
          </w:tcPr>
          <w:p w14:paraId="6D464855" w14:textId="3E36314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2008</w:t>
            </w:r>
          </w:p>
        </w:tc>
        <w:tc>
          <w:tcPr>
            <w:tcW w:w="1560" w:type="dxa"/>
            <w:vAlign w:val="bottom"/>
          </w:tcPr>
          <w:p w14:paraId="557C0A20" w14:textId="09D5531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31515.53</w:t>
            </w:r>
          </w:p>
        </w:tc>
        <w:tc>
          <w:tcPr>
            <w:tcW w:w="1591" w:type="dxa"/>
            <w:vAlign w:val="bottom"/>
          </w:tcPr>
          <w:p w14:paraId="3C51D80B" w14:textId="7CE6DFD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47396.12</w:t>
            </w:r>
          </w:p>
        </w:tc>
        <w:tc>
          <w:tcPr>
            <w:tcW w:w="1814" w:type="dxa"/>
            <w:shd w:val="clear" w:color="auto" w:fill="auto"/>
            <w:vAlign w:val="bottom"/>
          </w:tcPr>
          <w:p w14:paraId="2AD9FEE1" w14:textId="71C1244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48570.05</w:t>
            </w:r>
          </w:p>
        </w:tc>
        <w:tc>
          <w:tcPr>
            <w:tcW w:w="1556" w:type="dxa"/>
            <w:shd w:val="clear" w:color="auto" w:fill="auto"/>
            <w:vAlign w:val="bottom"/>
          </w:tcPr>
          <w:p w14:paraId="0813D243" w14:textId="75892E4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993.50</w:t>
            </w:r>
          </w:p>
        </w:tc>
        <w:tc>
          <w:tcPr>
            <w:tcW w:w="1524" w:type="dxa"/>
            <w:vAlign w:val="bottom"/>
          </w:tcPr>
          <w:p w14:paraId="7B76039E" w14:textId="28FCCFF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3468.33</w:t>
            </w:r>
          </w:p>
        </w:tc>
      </w:tr>
      <w:tr w:rsidR="00C64BA4" w:rsidRPr="001167C1" w14:paraId="5114ADD2" w14:textId="77777777" w:rsidTr="00471F40">
        <w:tc>
          <w:tcPr>
            <w:tcW w:w="1809" w:type="dxa"/>
            <w:shd w:val="clear" w:color="auto" w:fill="auto"/>
          </w:tcPr>
          <w:p w14:paraId="33CDD33F" w14:textId="7DAA80E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2009</w:t>
            </w:r>
          </w:p>
        </w:tc>
        <w:tc>
          <w:tcPr>
            <w:tcW w:w="1560" w:type="dxa"/>
            <w:vAlign w:val="bottom"/>
          </w:tcPr>
          <w:p w14:paraId="36867502" w14:textId="57E14F2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30697.54</w:t>
            </w:r>
          </w:p>
        </w:tc>
        <w:tc>
          <w:tcPr>
            <w:tcW w:w="1591" w:type="dxa"/>
            <w:vAlign w:val="bottom"/>
          </w:tcPr>
          <w:p w14:paraId="7A2DDF24" w14:textId="40262D5F"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38744.13</w:t>
            </w:r>
          </w:p>
        </w:tc>
        <w:tc>
          <w:tcPr>
            <w:tcW w:w="1814" w:type="dxa"/>
            <w:shd w:val="clear" w:color="auto" w:fill="auto"/>
            <w:vAlign w:val="bottom"/>
          </w:tcPr>
          <w:p w14:paraId="4CD65E51" w14:textId="199A5A38"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47194.94</w:t>
            </w:r>
          </w:p>
        </w:tc>
        <w:tc>
          <w:tcPr>
            <w:tcW w:w="1556" w:type="dxa"/>
            <w:shd w:val="clear" w:color="auto" w:fill="auto"/>
            <w:vAlign w:val="bottom"/>
          </w:tcPr>
          <w:p w14:paraId="56ED152D" w14:textId="2AC0CFD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1096.64</w:t>
            </w:r>
          </w:p>
        </w:tc>
        <w:tc>
          <w:tcPr>
            <w:tcW w:w="1524" w:type="dxa"/>
            <w:vAlign w:val="bottom"/>
          </w:tcPr>
          <w:p w14:paraId="605251B0" w14:textId="05C26FA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3832.23</w:t>
            </w:r>
          </w:p>
        </w:tc>
      </w:tr>
      <w:tr w:rsidR="00C64BA4" w:rsidRPr="001167C1" w14:paraId="4F249EEF" w14:textId="77777777" w:rsidTr="00471F40">
        <w:tc>
          <w:tcPr>
            <w:tcW w:w="1809" w:type="dxa"/>
            <w:shd w:val="clear" w:color="auto" w:fill="auto"/>
          </w:tcPr>
          <w:p w14:paraId="495A9033" w14:textId="306F56F9"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2010</w:t>
            </w:r>
          </w:p>
        </w:tc>
        <w:tc>
          <w:tcPr>
            <w:tcW w:w="1560" w:type="dxa"/>
            <w:vAlign w:val="bottom"/>
          </w:tcPr>
          <w:p w14:paraId="3F02140F" w14:textId="79A6750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32550.14</w:t>
            </w:r>
          </w:p>
        </w:tc>
        <w:tc>
          <w:tcPr>
            <w:tcW w:w="1591" w:type="dxa"/>
            <w:vAlign w:val="bottom"/>
          </w:tcPr>
          <w:p w14:paraId="325AC381" w14:textId="13A76F8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39598.96</w:t>
            </w:r>
          </w:p>
        </w:tc>
        <w:tc>
          <w:tcPr>
            <w:tcW w:w="1814" w:type="dxa"/>
            <w:shd w:val="clear" w:color="auto" w:fill="auto"/>
            <w:vAlign w:val="bottom"/>
          </w:tcPr>
          <w:p w14:paraId="5F0AF092" w14:textId="5183CB5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48650.64</w:t>
            </w:r>
          </w:p>
        </w:tc>
        <w:tc>
          <w:tcPr>
            <w:tcW w:w="1556" w:type="dxa"/>
            <w:shd w:val="clear" w:color="auto" w:fill="auto"/>
            <w:vAlign w:val="bottom"/>
          </w:tcPr>
          <w:p w14:paraId="41BC0088" w14:textId="41F1CBD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1350.63</w:t>
            </w:r>
          </w:p>
        </w:tc>
        <w:tc>
          <w:tcPr>
            <w:tcW w:w="1524" w:type="dxa"/>
            <w:vAlign w:val="bottom"/>
          </w:tcPr>
          <w:p w14:paraId="646D4608" w14:textId="0F41188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4550.47</w:t>
            </w:r>
          </w:p>
        </w:tc>
      </w:tr>
      <w:tr w:rsidR="00C64BA4" w:rsidRPr="001167C1" w14:paraId="3B7FBF80" w14:textId="77777777" w:rsidTr="00471F40">
        <w:tc>
          <w:tcPr>
            <w:tcW w:w="1809" w:type="dxa"/>
            <w:shd w:val="clear" w:color="auto" w:fill="auto"/>
          </w:tcPr>
          <w:p w14:paraId="4AF22498" w14:textId="1AFB25E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2011</w:t>
            </w:r>
          </w:p>
        </w:tc>
        <w:tc>
          <w:tcPr>
            <w:tcW w:w="1560" w:type="dxa"/>
            <w:vAlign w:val="bottom"/>
          </w:tcPr>
          <w:p w14:paraId="19BE3C6C" w14:textId="01E4F3B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35142.49</w:t>
            </w:r>
          </w:p>
        </w:tc>
        <w:tc>
          <w:tcPr>
            <w:tcW w:w="1591" w:type="dxa"/>
            <w:vAlign w:val="bottom"/>
          </w:tcPr>
          <w:p w14:paraId="4672B907" w14:textId="196D611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42109.64</w:t>
            </w:r>
          </w:p>
        </w:tc>
        <w:tc>
          <w:tcPr>
            <w:tcW w:w="1814" w:type="dxa"/>
            <w:shd w:val="clear" w:color="auto" w:fill="auto"/>
            <w:vAlign w:val="bottom"/>
          </w:tcPr>
          <w:p w14:paraId="3A312B44" w14:textId="481BCC60"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50065.97</w:t>
            </w:r>
          </w:p>
        </w:tc>
        <w:tc>
          <w:tcPr>
            <w:tcW w:w="1556" w:type="dxa"/>
            <w:shd w:val="clear" w:color="auto" w:fill="auto"/>
            <w:vAlign w:val="bottom"/>
          </w:tcPr>
          <w:p w14:paraId="0B55B4DC" w14:textId="74269A9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1449.60</w:t>
            </w:r>
          </w:p>
        </w:tc>
        <w:tc>
          <w:tcPr>
            <w:tcW w:w="1524" w:type="dxa"/>
            <w:vAlign w:val="bottom"/>
          </w:tcPr>
          <w:p w14:paraId="720817A3" w14:textId="4F55DC5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5614.39</w:t>
            </w:r>
          </w:p>
        </w:tc>
      </w:tr>
      <w:tr w:rsidR="00C64BA4" w:rsidRPr="001167C1" w14:paraId="7B163850" w14:textId="77777777" w:rsidTr="00471F40">
        <w:tc>
          <w:tcPr>
            <w:tcW w:w="1809" w:type="dxa"/>
            <w:shd w:val="clear" w:color="auto" w:fill="auto"/>
          </w:tcPr>
          <w:p w14:paraId="2EE271EF" w14:textId="31188669"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2012</w:t>
            </w:r>
          </w:p>
        </w:tc>
        <w:tc>
          <w:tcPr>
            <w:tcW w:w="1560" w:type="dxa"/>
            <w:vAlign w:val="bottom"/>
          </w:tcPr>
          <w:p w14:paraId="2AEC8D04" w14:textId="4766DA0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36730.80</w:t>
            </w:r>
          </w:p>
        </w:tc>
        <w:tc>
          <w:tcPr>
            <w:tcW w:w="1591" w:type="dxa"/>
            <w:vAlign w:val="bottom"/>
          </w:tcPr>
          <w:p w14:paraId="4039AEE6" w14:textId="1433405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42497.34</w:t>
            </w:r>
          </w:p>
        </w:tc>
        <w:tc>
          <w:tcPr>
            <w:tcW w:w="1814" w:type="dxa"/>
            <w:shd w:val="clear" w:color="auto" w:fill="auto"/>
            <w:vAlign w:val="bottom"/>
          </w:tcPr>
          <w:p w14:paraId="7FF7758F" w14:textId="6D7C529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51784.42</w:t>
            </w:r>
          </w:p>
        </w:tc>
        <w:tc>
          <w:tcPr>
            <w:tcW w:w="1556" w:type="dxa"/>
            <w:shd w:val="clear" w:color="auto" w:fill="auto"/>
            <w:vAlign w:val="bottom"/>
          </w:tcPr>
          <w:p w14:paraId="5365DE24" w14:textId="0804E99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1434.02</w:t>
            </w:r>
          </w:p>
        </w:tc>
        <w:tc>
          <w:tcPr>
            <w:tcW w:w="1524" w:type="dxa"/>
            <w:vAlign w:val="bottom"/>
          </w:tcPr>
          <w:p w14:paraId="0607FA33" w14:textId="2BF3AAE9"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6300.58</w:t>
            </w:r>
          </w:p>
        </w:tc>
      </w:tr>
      <w:tr w:rsidR="00C64BA4" w:rsidRPr="001167C1" w14:paraId="2CBF2737" w14:textId="77777777" w:rsidTr="00471F40">
        <w:tc>
          <w:tcPr>
            <w:tcW w:w="1809" w:type="dxa"/>
            <w:shd w:val="clear" w:color="auto" w:fill="auto"/>
          </w:tcPr>
          <w:p w14:paraId="1E7B4156" w14:textId="41B9378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2013</w:t>
            </w:r>
          </w:p>
        </w:tc>
        <w:tc>
          <w:tcPr>
            <w:tcW w:w="1560" w:type="dxa"/>
            <w:vAlign w:val="bottom"/>
          </w:tcPr>
          <w:p w14:paraId="751AB65E" w14:textId="4FC7D008"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38403.78</w:t>
            </w:r>
          </w:p>
        </w:tc>
        <w:tc>
          <w:tcPr>
            <w:tcW w:w="1591" w:type="dxa"/>
            <w:vAlign w:val="bottom"/>
          </w:tcPr>
          <w:p w14:paraId="798645D9" w14:textId="0D3758C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43426.30</w:t>
            </w:r>
          </w:p>
        </w:tc>
        <w:tc>
          <w:tcPr>
            <w:tcW w:w="1814" w:type="dxa"/>
            <w:shd w:val="clear" w:color="auto" w:fill="auto"/>
            <w:vAlign w:val="bottom"/>
          </w:tcPr>
          <w:p w14:paraId="2F328C38" w14:textId="557880C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53291.13</w:t>
            </w:r>
          </w:p>
        </w:tc>
        <w:tc>
          <w:tcPr>
            <w:tcW w:w="1556" w:type="dxa"/>
            <w:shd w:val="clear" w:color="auto" w:fill="auto"/>
            <w:vAlign w:val="bottom"/>
          </w:tcPr>
          <w:p w14:paraId="413A19E2" w14:textId="3F815CBB"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1438.06</w:t>
            </w:r>
          </w:p>
        </w:tc>
        <w:tc>
          <w:tcPr>
            <w:tcW w:w="1524" w:type="dxa"/>
            <w:vAlign w:val="bottom"/>
          </w:tcPr>
          <w:p w14:paraId="6CFFCF43" w14:textId="3DF07F4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7020.39</w:t>
            </w:r>
          </w:p>
        </w:tc>
      </w:tr>
      <w:tr w:rsidR="00C64BA4" w:rsidRPr="001167C1" w14:paraId="34E9F721" w14:textId="77777777" w:rsidTr="00471F40">
        <w:tc>
          <w:tcPr>
            <w:tcW w:w="1809" w:type="dxa"/>
            <w:shd w:val="clear" w:color="auto" w:fill="auto"/>
          </w:tcPr>
          <w:p w14:paraId="1A3FD976" w14:textId="5053993F"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2014</w:t>
            </w:r>
          </w:p>
        </w:tc>
        <w:tc>
          <w:tcPr>
            <w:tcW w:w="1560" w:type="dxa"/>
            <w:vAlign w:val="bottom"/>
          </w:tcPr>
          <w:p w14:paraId="6E04ED02" w14:textId="3F84B34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40315.37</w:t>
            </w:r>
          </w:p>
        </w:tc>
        <w:tc>
          <w:tcPr>
            <w:tcW w:w="1591" w:type="dxa"/>
            <w:vAlign w:val="bottom"/>
          </w:tcPr>
          <w:p w14:paraId="1E864DF9" w14:textId="1F551BE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47439.62</w:t>
            </w:r>
          </w:p>
        </w:tc>
        <w:tc>
          <w:tcPr>
            <w:tcW w:w="1814" w:type="dxa"/>
            <w:shd w:val="clear" w:color="auto" w:fill="auto"/>
            <w:vAlign w:val="bottom"/>
          </w:tcPr>
          <w:p w14:paraId="216A1596" w14:textId="0AF0648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55123.85</w:t>
            </w:r>
          </w:p>
        </w:tc>
        <w:tc>
          <w:tcPr>
            <w:tcW w:w="1556" w:type="dxa"/>
            <w:shd w:val="clear" w:color="auto" w:fill="auto"/>
            <w:vAlign w:val="bottom"/>
          </w:tcPr>
          <w:p w14:paraId="7DCAE3F2" w14:textId="60CF51D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1559.86</w:t>
            </w:r>
          </w:p>
        </w:tc>
        <w:tc>
          <w:tcPr>
            <w:tcW w:w="1524" w:type="dxa"/>
            <w:vAlign w:val="bottom"/>
          </w:tcPr>
          <w:p w14:paraId="6B97AD8D" w14:textId="4E50212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7636.07</w:t>
            </w:r>
          </w:p>
        </w:tc>
      </w:tr>
      <w:tr w:rsidR="00C64BA4" w:rsidRPr="001167C1" w14:paraId="099B4901" w14:textId="77777777" w:rsidTr="00471F40">
        <w:tc>
          <w:tcPr>
            <w:tcW w:w="1809" w:type="dxa"/>
            <w:shd w:val="clear" w:color="auto" w:fill="auto"/>
          </w:tcPr>
          <w:p w14:paraId="0EBA7F0A" w14:textId="6F5B5A0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2015</w:t>
            </w:r>
          </w:p>
        </w:tc>
        <w:tc>
          <w:tcPr>
            <w:tcW w:w="1560" w:type="dxa"/>
            <w:vAlign w:val="bottom"/>
          </w:tcPr>
          <w:p w14:paraId="3E2D23C4" w14:textId="60DF562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42432.16</w:t>
            </w:r>
          </w:p>
        </w:tc>
        <w:tc>
          <w:tcPr>
            <w:tcW w:w="1591" w:type="dxa"/>
            <w:vAlign w:val="bottom"/>
          </w:tcPr>
          <w:p w14:paraId="23A85224" w14:textId="1F1CA92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44964.39</w:t>
            </w:r>
          </w:p>
        </w:tc>
        <w:tc>
          <w:tcPr>
            <w:tcW w:w="1814" w:type="dxa"/>
            <w:shd w:val="clear" w:color="auto" w:fill="auto"/>
            <w:vAlign w:val="bottom"/>
          </w:tcPr>
          <w:p w14:paraId="0B63E8B4" w14:textId="434D3E8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56762.73</w:t>
            </w:r>
          </w:p>
        </w:tc>
        <w:tc>
          <w:tcPr>
            <w:tcW w:w="1556" w:type="dxa"/>
            <w:shd w:val="clear" w:color="auto" w:fill="auto"/>
            <w:vAlign w:val="bottom"/>
          </w:tcPr>
          <w:p w14:paraId="12E2E8A8" w14:textId="0C839221"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1590.17</w:t>
            </w:r>
          </w:p>
        </w:tc>
        <w:tc>
          <w:tcPr>
            <w:tcW w:w="1524" w:type="dxa"/>
            <w:vAlign w:val="bottom"/>
          </w:tcPr>
          <w:p w14:paraId="26042F67" w14:textId="7313FAB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8016.45</w:t>
            </w:r>
          </w:p>
        </w:tc>
      </w:tr>
      <w:tr w:rsidR="00C64BA4" w:rsidRPr="001167C1" w14:paraId="3BB02CE3" w14:textId="77777777" w:rsidTr="00471F40">
        <w:tc>
          <w:tcPr>
            <w:tcW w:w="1809" w:type="dxa"/>
            <w:shd w:val="clear" w:color="auto" w:fill="auto"/>
          </w:tcPr>
          <w:p w14:paraId="254C62E3" w14:textId="268C078F"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2016</w:t>
            </w:r>
          </w:p>
        </w:tc>
        <w:tc>
          <w:tcPr>
            <w:tcW w:w="1560" w:type="dxa"/>
            <w:vAlign w:val="bottom"/>
          </w:tcPr>
          <w:p w14:paraId="7DE955C3" w14:textId="72F822E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43734.20</w:t>
            </w:r>
          </w:p>
        </w:tc>
        <w:tc>
          <w:tcPr>
            <w:tcW w:w="1591" w:type="dxa"/>
            <w:vAlign w:val="bottom"/>
          </w:tcPr>
          <w:p w14:paraId="7E7A68CA" w14:textId="29918858"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40985.24</w:t>
            </w:r>
          </w:p>
        </w:tc>
        <w:tc>
          <w:tcPr>
            <w:tcW w:w="1814" w:type="dxa"/>
            <w:shd w:val="clear" w:color="auto" w:fill="auto"/>
            <w:vAlign w:val="bottom"/>
          </w:tcPr>
          <w:p w14:paraId="391314C7" w14:textId="056560D9"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57866.74</w:t>
            </w:r>
          </w:p>
        </w:tc>
        <w:tc>
          <w:tcPr>
            <w:tcW w:w="1556" w:type="dxa"/>
            <w:shd w:val="clear" w:color="auto" w:fill="auto"/>
            <w:vAlign w:val="bottom"/>
          </w:tcPr>
          <w:p w14:paraId="2C10F8D3" w14:textId="2E89BA7B"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1714.28</w:t>
            </w:r>
          </w:p>
        </w:tc>
        <w:tc>
          <w:tcPr>
            <w:tcW w:w="1524" w:type="dxa"/>
            <w:vAlign w:val="bottom"/>
          </w:tcPr>
          <w:p w14:paraId="22268B06" w14:textId="6086A88E"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8094.39</w:t>
            </w:r>
          </w:p>
        </w:tc>
      </w:tr>
      <w:tr w:rsidR="00C64BA4" w:rsidRPr="001167C1" w14:paraId="1684EA90" w14:textId="77777777" w:rsidTr="00471F40">
        <w:tc>
          <w:tcPr>
            <w:tcW w:w="1809" w:type="dxa"/>
            <w:shd w:val="clear" w:color="auto" w:fill="auto"/>
          </w:tcPr>
          <w:p w14:paraId="70B6D3C8" w14:textId="32375E2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2017</w:t>
            </w:r>
          </w:p>
        </w:tc>
        <w:tc>
          <w:tcPr>
            <w:tcW w:w="1560" w:type="dxa"/>
            <w:vAlign w:val="bottom"/>
          </w:tcPr>
          <w:p w14:paraId="47125DB7" w14:textId="3460D05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46160.43</w:t>
            </w:r>
          </w:p>
        </w:tc>
        <w:tc>
          <w:tcPr>
            <w:tcW w:w="1591" w:type="dxa"/>
            <w:vAlign w:val="bottom"/>
          </w:tcPr>
          <w:p w14:paraId="30E79F43" w14:textId="4F286FA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40572.12</w:t>
            </w:r>
          </w:p>
        </w:tc>
        <w:tc>
          <w:tcPr>
            <w:tcW w:w="1814" w:type="dxa"/>
            <w:shd w:val="clear" w:color="auto" w:fill="auto"/>
            <w:vAlign w:val="bottom"/>
          </w:tcPr>
          <w:p w14:paraId="40D58DB4" w14:textId="1D410C19"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59907.75</w:t>
            </w:r>
          </w:p>
        </w:tc>
        <w:tc>
          <w:tcPr>
            <w:tcW w:w="1556" w:type="dxa"/>
            <w:shd w:val="clear" w:color="auto" w:fill="auto"/>
            <w:vAlign w:val="bottom"/>
          </w:tcPr>
          <w:p w14:paraId="5BAA0D5A" w14:textId="74C3C6E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1957.97</w:t>
            </w:r>
          </w:p>
        </w:tc>
        <w:tc>
          <w:tcPr>
            <w:tcW w:w="1524" w:type="dxa"/>
            <w:vAlign w:val="bottom"/>
          </w:tcPr>
          <w:p w14:paraId="25CF232B" w14:textId="28FD3A8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8817.05</w:t>
            </w:r>
          </w:p>
        </w:tc>
      </w:tr>
      <w:tr w:rsidR="00C64BA4" w:rsidRPr="001167C1" w14:paraId="1CBF2933" w14:textId="77777777" w:rsidTr="00471F40">
        <w:tc>
          <w:tcPr>
            <w:tcW w:w="1809" w:type="dxa"/>
            <w:shd w:val="clear" w:color="auto" w:fill="auto"/>
          </w:tcPr>
          <w:p w14:paraId="4F891E63" w14:textId="50EEE38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2018</w:t>
            </w:r>
          </w:p>
        </w:tc>
        <w:tc>
          <w:tcPr>
            <w:tcW w:w="1560" w:type="dxa"/>
            <w:vAlign w:val="bottom"/>
          </w:tcPr>
          <w:p w14:paraId="3021A642" w14:textId="012659C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48537.57</w:t>
            </w:r>
          </w:p>
        </w:tc>
        <w:tc>
          <w:tcPr>
            <w:tcW w:w="1591" w:type="dxa"/>
            <w:vAlign w:val="bottom"/>
          </w:tcPr>
          <w:p w14:paraId="5A5FA0D1" w14:textId="5D4F879F"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43203.81</w:t>
            </w:r>
          </w:p>
        </w:tc>
        <w:tc>
          <w:tcPr>
            <w:tcW w:w="1814" w:type="dxa"/>
            <w:shd w:val="clear" w:color="auto" w:fill="auto"/>
            <w:vAlign w:val="bottom"/>
          </w:tcPr>
          <w:p w14:paraId="21A95E80" w14:textId="6379D573"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62823.31</w:t>
            </w:r>
          </w:p>
        </w:tc>
        <w:tc>
          <w:tcPr>
            <w:tcW w:w="1556" w:type="dxa"/>
            <w:shd w:val="clear" w:color="auto" w:fill="auto"/>
            <w:vAlign w:val="bottom"/>
          </w:tcPr>
          <w:p w14:paraId="799B0F8A" w14:textId="15B1FA3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1974.38</w:t>
            </w:r>
          </w:p>
        </w:tc>
        <w:tc>
          <w:tcPr>
            <w:tcW w:w="1524" w:type="dxa"/>
            <w:vAlign w:val="bottom"/>
          </w:tcPr>
          <w:p w14:paraId="4CB0266E" w14:textId="15BA6EC9"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9905.41</w:t>
            </w:r>
          </w:p>
        </w:tc>
      </w:tr>
      <w:tr w:rsidR="00C64BA4" w:rsidRPr="001167C1" w14:paraId="5E3772AA" w14:textId="77777777" w:rsidTr="00471F40">
        <w:tc>
          <w:tcPr>
            <w:tcW w:w="1809" w:type="dxa"/>
            <w:shd w:val="clear" w:color="auto" w:fill="auto"/>
          </w:tcPr>
          <w:p w14:paraId="6C9C37D5" w14:textId="00B26689"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2019</w:t>
            </w:r>
          </w:p>
        </w:tc>
        <w:tc>
          <w:tcPr>
            <w:tcW w:w="1560" w:type="dxa"/>
            <w:vAlign w:val="bottom"/>
          </w:tcPr>
          <w:p w14:paraId="4D0BF2E4" w14:textId="374EE08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48359.00</w:t>
            </w:r>
          </w:p>
        </w:tc>
        <w:tc>
          <w:tcPr>
            <w:tcW w:w="1591" w:type="dxa"/>
            <w:vAlign w:val="bottom"/>
          </w:tcPr>
          <w:p w14:paraId="4016C9F5" w14:textId="4F12BC9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42662.54</w:t>
            </w:r>
          </w:p>
        </w:tc>
        <w:tc>
          <w:tcPr>
            <w:tcW w:w="1814" w:type="dxa"/>
            <w:shd w:val="clear" w:color="auto" w:fill="auto"/>
            <w:vAlign w:val="bottom"/>
          </w:tcPr>
          <w:p w14:paraId="454EA547" w14:textId="53FE89B9"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65120.39</w:t>
            </w:r>
          </w:p>
        </w:tc>
        <w:tc>
          <w:tcPr>
            <w:tcW w:w="1556" w:type="dxa"/>
            <w:shd w:val="clear" w:color="auto" w:fill="auto"/>
            <w:vAlign w:val="bottom"/>
          </w:tcPr>
          <w:p w14:paraId="7527767F" w14:textId="67D9AEBB"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2050.16</w:t>
            </w:r>
          </w:p>
        </w:tc>
        <w:tc>
          <w:tcPr>
            <w:tcW w:w="1524" w:type="dxa"/>
            <w:vAlign w:val="bottom"/>
          </w:tcPr>
          <w:p w14:paraId="05F9E0F3" w14:textId="2C38DB8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10143.86</w:t>
            </w:r>
          </w:p>
        </w:tc>
      </w:tr>
      <w:tr w:rsidR="00C64BA4" w:rsidRPr="001167C1" w14:paraId="6EB1093B" w14:textId="77777777" w:rsidTr="00471F40">
        <w:tc>
          <w:tcPr>
            <w:tcW w:w="1809" w:type="dxa"/>
            <w:shd w:val="clear" w:color="auto" w:fill="auto"/>
          </w:tcPr>
          <w:p w14:paraId="1036B9EE" w14:textId="6708B95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2020</w:t>
            </w:r>
          </w:p>
        </w:tc>
        <w:tc>
          <w:tcPr>
            <w:tcW w:w="1560" w:type="dxa"/>
            <w:vAlign w:val="bottom"/>
          </w:tcPr>
          <w:p w14:paraId="56E04522" w14:textId="6808DF4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46109.23</w:t>
            </w:r>
          </w:p>
        </w:tc>
        <w:tc>
          <w:tcPr>
            <w:tcW w:w="1591" w:type="dxa"/>
            <w:vAlign w:val="bottom"/>
          </w:tcPr>
          <w:p w14:paraId="1E878E98" w14:textId="1CD916C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40217.01</w:t>
            </w:r>
          </w:p>
        </w:tc>
        <w:tc>
          <w:tcPr>
            <w:tcW w:w="1814" w:type="dxa"/>
            <w:shd w:val="clear" w:color="auto" w:fill="auto"/>
            <w:vAlign w:val="bottom"/>
          </w:tcPr>
          <w:p w14:paraId="51761A5C" w14:textId="66F65C1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63528.63</w:t>
            </w:r>
          </w:p>
        </w:tc>
        <w:tc>
          <w:tcPr>
            <w:tcW w:w="1556" w:type="dxa"/>
            <w:shd w:val="clear" w:color="auto" w:fill="auto"/>
            <w:vAlign w:val="bottom"/>
          </w:tcPr>
          <w:p w14:paraId="3ADE1DA7" w14:textId="25111B18"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1913.22</w:t>
            </w:r>
          </w:p>
        </w:tc>
        <w:tc>
          <w:tcPr>
            <w:tcW w:w="1524" w:type="dxa"/>
            <w:vAlign w:val="bottom"/>
          </w:tcPr>
          <w:p w14:paraId="76246E86" w14:textId="1C4AA0F6"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10408.72</w:t>
            </w:r>
          </w:p>
        </w:tc>
      </w:tr>
      <w:tr w:rsidR="00C64BA4" w:rsidRPr="001167C1" w14:paraId="520F6B84" w14:textId="77777777" w:rsidTr="00471F40">
        <w:tc>
          <w:tcPr>
            <w:tcW w:w="1809" w:type="dxa"/>
            <w:shd w:val="clear" w:color="auto" w:fill="auto"/>
          </w:tcPr>
          <w:p w14:paraId="18BC14B2" w14:textId="17DF12BA"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2021</w:t>
            </w:r>
          </w:p>
        </w:tc>
        <w:tc>
          <w:tcPr>
            <w:tcW w:w="1560" w:type="dxa"/>
            <w:vAlign w:val="bottom"/>
          </w:tcPr>
          <w:p w14:paraId="5FB17348" w14:textId="376AA798"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49764.79</w:t>
            </w:r>
          </w:p>
        </w:tc>
        <w:tc>
          <w:tcPr>
            <w:tcW w:w="1591" w:type="dxa"/>
            <w:vAlign w:val="bottom"/>
          </w:tcPr>
          <w:p w14:paraId="0272B8AD" w14:textId="4F4B1BFE"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46869.76</w:t>
            </w:r>
          </w:p>
        </w:tc>
        <w:tc>
          <w:tcPr>
            <w:tcW w:w="1814" w:type="dxa"/>
            <w:shd w:val="clear" w:color="auto" w:fill="auto"/>
            <w:vAlign w:val="bottom"/>
          </w:tcPr>
          <w:p w14:paraId="06236752" w14:textId="1437CF0D"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70219.47</w:t>
            </w:r>
          </w:p>
        </w:tc>
        <w:tc>
          <w:tcPr>
            <w:tcW w:w="1556" w:type="dxa"/>
            <w:shd w:val="clear" w:color="auto" w:fill="auto"/>
            <w:vAlign w:val="bottom"/>
          </w:tcPr>
          <w:p w14:paraId="173F5730" w14:textId="1C49356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2238.13</w:t>
            </w:r>
          </w:p>
        </w:tc>
        <w:tc>
          <w:tcPr>
            <w:tcW w:w="1524" w:type="dxa"/>
            <w:vAlign w:val="bottom"/>
          </w:tcPr>
          <w:p w14:paraId="74007EDA" w14:textId="760DCBD0"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12617.51</w:t>
            </w:r>
          </w:p>
        </w:tc>
      </w:tr>
      <w:tr w:rsidR="00C64BA4" w:rsidRPr="001167C1" w14:paraId="142E47F4" w14:textId="77777777" w:rsidTr="00471F40">
        <w:tc>
          <w:tcPr>
            <w:tcW w:w="1809" w:type="dxa"/>
            <w:shd w:val="clear" w:color="auto" w:fill="auto"/>
          </w:tcPr>
          <w:p w14:paraId="18927DF2" w14:textId="1EA9D090"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2022</w:t>
            </w:r>
          </w:p>
        </w:tc>
        <w:tc>
          <w:tcPr>
            <w:tcW w:w="1560" w:type="dxa"/>
            <w:vAlign w:val="bottom"/>
          </w:tcPr>
          <w:p w14:paraId="6663883D" w14:textId="11AC5547"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48983.62</w:t>
            </w:r>
          </w:p>
        </w:tc>
        <w:tc>
          <w:tcPr>
            <w:tcW w:w="1591" w:type="dxa"/>
            <w:vAlign w:val="bottom"/>
          </w:tcPr>
          <w:p w14:paraId="46F66124" w14:textId="0F7DC15C"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46125.26</w:t>
            </w:r>
          </w:p>
        </w:tc>
        <w:tc>
          <w:tcPr>
            <w:tcW w:w="1814" w:type="dxa"/>
            <w:shd w:val="clear" w:color="auto" w:fill="auto"/>
            <w:vAlign w:val="bottom"/>
          </w:tcPr>
          <w:p w14:paraId="74F97835" w14:textId="3C0EE064"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76329.58</w:t>
            </w:r>
          </w:p>
        </w:tc>
        <w:tc>
          <w:tcPr>
            <w:tcW w:w="1556" w:type="dxa"/>
            <w:shd w:val="clear" w:color="auto" w:fill="auto"/>
            <w:vAlign w:val="bottom"/>
          </w:tcPr>
          <w:p w14:paraId="21856E69" w14:textId="3F933192"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2410.89</w:t>
            </w:r>
          </w:p>
        </w:tc>
        <w:tc>
          <w:tcPr>
            <w:tcW w:w="1524" w:type="dxa"/>
            <w:vAlign w:val="bottom"/>
          </w:tcPr>
          <w:p w14:paraId="16E96E04" w14:textId="0A50F196" w:rsidR="00DF0B93" w:rsidRPr="001167C1" w:rsidRDefault="00DF0B93"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12720.22</w:t>
            </w:r>
          </w:p>
        </w:tc>
      </w:tr>
      <w:tr w:rsidR="00C64BA4" w:rsidRPr="001167C1" w14:paraId="0CABAA38" w14:textId="77777777" w:rsidTr="00F414F3">
        <w:trPr>
          <w:trHeight w:val="301"/>
        </w:trPr>
        <w:tc>
          <w:tcPr>
            <w:tcW w:w="9854" w:type="dxa"/>
            <w:gridSpan w:val="6"/>
          </w:tcPr>
          <w:p w14:paraId="62C0773F" w14:textId="2272B99F" w:rsidR="00A0488C" w:rsidRPr="001167C1" w:rsidRDefault="00A0488C"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Sources: </w:t>
            </w:r>
            <w:r w:rsidR="00C64BA4" w:rsidRPr="001167C1">
              <w:rPr>
                <w:rFonts w:ascii="Times New Roman" w:hAnsi="Times New Roman"/>
                <w:szCs w:val="24"/>
              </w:rPr>
              <w:t>(World Bank, 2023)</w:t>
            </w:r>
            <w:r w:rsidR="00E76783" w:rsidRPr="001167C1">
              <w:rPr>
                <w:rFonts w:ascii="Times New Roman" w:hAnsi="Times New Roman"/>
                <w:szCs w:val="24"/>
              </w:rPr>
              <w:t xml:space="preserve"> </w:t>
            </w:r>
            <w:r w:rsidR="0047326A" w:rsidRPr="001167C1">
              <w:rPr>
                <w:rFonts w:ascii="Times New Roman" w:hAnsi="Times New Roman"/>
                <w:szCs w:val="24"/>
              </w:rPr>
              <w:t>from https://data.worldbank.org/indicator/NY.GDP.PCAP.CD</w:t>
            </w:r>
          </w:p>
        </w:tc>
      </w:tr>
    </w:tbl>
    <w:p w14:paraId="211FA7EA" w14:textId="77777777" w:rsidR="00DB0F98" w:rsidRPr="001167C1" w:rsidRDefault="00DB0F98" w:rsidP="001167C1">
      <w:pPr>
        <w:adjustRightInd w:val="0"/>
        <w:snapToGrid w:val="0"/>
        <w:spacing w:line="360" w:lineRule="auto"/>
        <w:jc w:val="both"/>
        <w:rPr>
          <w:rFonts w:ascii="Times New Roman" w:hAnsi="Times New Roman"/>
          <w:szCs w:val="24"/>
        </w:rPr>
      </w:pPr>
    </w:p>
    <w:p w14:paraId="153F54EF" w14:textId="15BB8AC4" w:rsidR="00E6406E" w:rsidRPr="001167C1" w:rsidRDefault="00E6406E" w:rsidP="001167C1">
      <w:pPr>
        <w:adjustRightInd w:val="0"/>
        <w:snapToGrid w:val="0"/>
        <w:spacing w:line="360" w:lineRule="auto"/>
        <w:jc w:val="both"/>
        <w:rPr>
          <w:rFonts w:ascii="Times New Roman" w:hAnsi="Times New Roman"/>
          <w:szCs w:val="24"/>
        </w:rPr>
      </w:pPr>
    </w:p>
    <w:p w14:paraId="256DF029" w14:textId="6BC99791" w:rsidR="00DB0F98" w:rsidRPr="001167C1" w:rsidRDefault="00E6406E" w:rsidP="001167C1">
      <w:pPr>
        <w:widowControl/>
        <w:spacing w:line="360" w:lineRule="auto"/>
        <w:rPr>
          <w:rFonts w:ascii="Times New Roman" w:hAnsi="Times New Roman"/>
          <w:szCs w:val="24"/>
        </w:rPr>
      </w:pPr>
      <w:r w:rsidRPr="001167C1">
        <w:rPr>
          <w:rFonts w:ascii="Times New Roman" w:hAnsi="Times New Roman"/>
          <w:szCs w:val="24"/>
        </w:rPr>
        <w:br w:type="page"/>
      </w:r>
    </w:p>
    <w:p w14:paraId="1C2FA4E6" w14:textId="5CD232E1" w:rsidR="00DB0F98" w:rsidRPr="001167C1" w:rsidRDefault="00DB0F98" w:rsidP="001167C1">
      <w:pPr>
        <w:adjustRightInd w:val="0"/>
        <w:snapToGrid w:val="0"/>
        <w:spacing w:line="360" w:lineRule="auto"/>
        <w:jc w:val="both"/>
        <w:rPr>
          <w:rFonts w:ascii="Times New Roman" w:hAnsi="Times New Roman"/>
          <w:bCs/>
          <w:color w:val="0000CC"/>
          <w:szCs w:val="24"/>
        </w:rPr>
      </w:pPr>
      <w:r w:rsidRPr="001167C1">
        <w:rPr>
          <w:rFonts w:ascii="Times New Roman" w:hAnsi="Times New Roman"/>
          <w:bCs/>
          <w:szCs w:val="24"/>
        </w:rPr>
        <w:lastRenderedPageBreak/>
        <w:t>Table</w:t>
      </w:r>
      <w:r w:rsidR="00E04A4A" w:rsidRPr="001167C1">
        <w:rPr>
          <w:rFonts w:ascii="Times New Roman" w:hAnsi="Times New Roman"/>
          <w:bCs/>
          <w:szCs w:val="24"/>
        </w:rPr>
        <w:t xml:space="preserve"> </w:t>
      </w:r>
      <w:r w:rsidR="009768AD" w:rsidRPr="001167C1">
        <w:rPr>
          <w:rFonts w:ascii="Times New Roman" w:hAnsi="Times New Roman"/>
          <w:bCs/>
          <w:szCs w:val="24"/>
        </w:rPr>
        <w:t xml:space="preserve">4 </w:t>
      </w:r>
      <w:r w:rsidR="00E04A4A" w:rsidRPr="001167C1">
        <w:rPr>
          <w:rFonts w:ascii="Times New Roman" w:hAnsi="Times New Roman"/>
          <w:bCs/>
          <w:szCs w:val="24"/>
        </w:rPr>
        <w:t>Annual</w:t>
      </w:r>
      <w:r w:rsidRPr="001167C1">
        <w:rPr>
          <w:rFonts w:ascii="Times New Roman" w:hAnsi="Times New Roman"/>
          <w:bCs/>
          <w:szCs w:val="24"/>
        </w:rPr>
        <w:t xml:space="preserve"> rate</w:t>
      </w:r>
      <w:r w:rsidR="00E04A4A" w:rsidRPr="001167C1">
        <w:rPr>
          <w:rFonts w:ascii="Times New Roman" w:hAnsi="Times New Roman"/>
          <w:bCs/>
          <w:szCs w:val="24"/>
        </w:rPr>
        <w:t>s of change in</w:t>
      </w:r>
      <w:r w:rsidRPr="001167C1">
        <w:rPr>
          <w:rFonts w:ascii="Times New Roman" w:hAnsi="Times New Roman"/>
          <w:bCs/>
          <w:szCs w:val="24"/>
        </w:rPr>
        <w:t xml:space="preserve"> the nominal GDP per capita in </w:t>
      </w:r>
      <w:r w:rsidR="00E04A4A" w:rsidRPr="001167C1">
        <w:rPr>
          <w:rFonts w:ascii="Times New Roman" w:hAnsi="Times New Roman"/>
          <w:bCs/>
          <w:szCs w:val="24"/>
        </w:rPr>
        <w:t xml:space="preserve">the five </w:t>
      </w:r>
      <w:r w:rsidRPr="001167C1">
        <w:rPr>
          <w:rFonts w:ascii="Times New Roman" w:hAnsi="Times New Roman"/>
          <w:bCs/>
          <w:szCs w:val="24"/>
        </w:rPr>
        <w:t xml:space="preserve">selected counties </w:t>
      </w:r>
      <w:r w:rsidR="00E04A4A" w:rsidRPr="001167C1">
        <w:rPr>
          <w:rFonts w:ascii="Times New Roman" w:hAnsi="Times New Roman"/>
          <w:bCs/>
          <w:szCs w:val="24"/>
        </w:rPr>
        <w:t>:</w:t>
      </w:r>
      <w:r w:rsidRPr="001167C1">
        <w:rPr>
          <w:rFonts w:ascii="Times New Roman" w:hAnsi="Times New Roman"/>
          <w:bCs/>
          <w:szCs w:val="24"/>
        </w:rPr>
        <w:t>2001 to 2022 (%)</w:t>
      </w:r>
    </w:p>
    <w:tbl>
      <w:tblPr>
        <w:tblW w:w="9458"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8" w:type="dxa"/>
          <w:right w:w="28" w:type="dxa"/>
        </w:tblCellMar>
        <w:tblLook w:val="04A0" w:firstRow="1" w:lastRow="0" w:firstColumn="1" w:lastColumn="0" w:noHBand="0" w:noVBand="1"/>
      </w:tblPr>
      <w:tblGrid>
        <w:gridCol w:w="1406"/>
        <w:gridCol w:w="1539"/>
        <w:gridCol w:w="1701"/>
        <w:gridCol w:w="1604"/>
        <w:gridCol w:w="1604"/>
        <w:gridCol w:w="1604"/>
      </w:tblGrid>
      <w:tr w:rsidR="00DB0F98" w:rsidRPr="001167C1" w14:paraId="45C9CEF7" w14:textId="77777777" w:rsidTr="001167C1">
        <w:trPr>
          <w:trHeight w:val="516"/>
        </w:trPr>
        <w:tc>
          <w:tcPr>
            <w:tcW w:w="1406" w:type="dxa"/>
            <w:shd w:val="clear" w:color="auto" w:fill="auto"/>
            <w:vAlign w:val="center"/>
            <w:hideMark/>
          </w:tcPr>
          <w:p w14:paraId="6AD5CCD1"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Year</w:t>
            </w:r>
          </w:p>
        </w:tc>
        <w:tc>
          <w:tcPr>
            <w:tcW w:w="1539" w:type="dxa"/>
            <w:shd w:val="clear" w:color="auto" w:fill="auto"/>
            <w:vAlign w:val="center"/>
            <w:hideMark/>
          </w:tcPr>
          <w:p w14:paraId="271F4FC9"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Hong Kong</w:t>
            </w:r>
          </w:p>
        </w:tc>
        <w:tc>
          <w:tcPr>
            <w:tcW w:w="1701" w:type="dxa"/>
            <w:shd w:val="clear" w:color="auto" w:fill="auto"/>
            <w:vAlign w:val="center"/>
            <w:hideMark/>
          </w:tcPr>
          <w:p w14:paraId="77448E2F"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United Kingdom</w:t>
            </w:r>
          </w:p>
        </w:tc>
        <w:tc>
          <w:tcPr>
            <w:tcW w:w="1604" w:type="dxa"/>
            <w:shd w:val="clear" w:color="auto" w:fill="auto"/>
            <w:vAlign w:val="center"/>
            <w:hideMark/>
          </w:tcPr>
          <w:p w14:paraId="1C0F9BCF"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United States</w:t>
            </w:r>
          </w:p>
        </w:tc>
        <w:tc>
          <w:tcPr>
            <w:tcW w:w="1604" w:type="dxa"/>
            <w:shd w:val="clear" w:color="auto" w:fill="auto"/>
            <w:vAlign w:val="center"/>
            <w:hideMark/>
          </w:tcPr>
          <w:p w14:paraId="1DD91C0F"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India</w:t>
            </w:r>
          </w:p>
        </w:tc>
        <w:tc>
          <w:tcPr>
            <w:tcW w:w="1604" w:type="dxa"/>
            <w:shd w:val="clear" w:color="auto" w:fill="auto"/>
            <w:vAlign w:val="center"/>
            <w:hideMark/>
          </w:tcPr>
          <w:p w14:paraId="2D162658"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China</w:t>
            </w:r>
          </w:p>
        </w:tc>
      </w:tr>
      <w:tr w:rsidR="00DB0F98" w:rsidRPr="001167C1" w14:paraId="40A4775A" w14:textId="77777777" w:rsidTr="001167C1">
        <w:trPr>
          <w:trHeight w:val="175"/>
        </w:trPr>
        <w:tc>
          <w:tcPr>
            <w:tcW w:w="1406" w:type="dxa"/>
            <w:shd w:val="clear" w:color="auto" w:fill="auto"/>
            <w:vAlign w:val="center"/>
            <w:hideMark/>
          </w:tcPr>
          <w:p w14:paraId="6A15C121"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2001</w:t>
            </w:r>
          </w:p>
        </w:tc>
        <w:tc>
          <w:tcPr>
            <w:tcW w:w="1539" w:type="dxa"/>
            <w:shd w:val="clear" w:color="auto" w:fill="auto"/>
            <w:noWrap/>
            <w:vAlign w:val="bottom"/>
            <w:hideMark/>
          </w:tcPr>
          <w:p w14:paraId="5F9F024D"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-2.04</w:t>
            </w:r>
          </w:p>
        </w:tc>
        <w:tc>
          <w:tcPr>
            <w:tcW w:w="1701" w:type="dxa"/>
            <w:shd w:val="clear" w:color="auto" w:fill="auto"/>
            <w:noWrap/>
            <w:vAlign w:val="bottom"/>
            <w:hideMark/>
          </w:tcPr>
          <w:p w14:paraId="722832B7"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-1.32</w:t>
            </w:r>
          </w:p>
        </w:tc>
        <w:tc>
          <w:tcPr>
            <w:tcW w:w="1604" w:type="dxa"/>
            <w:shd w:val="clear" w:color="auto" w:fill="auto"/>
            <w:noWrap/>
            <w:vAlign w:val="bottom"/>
            <w:hideMark/>
          </w:tcPr>
          <w:p w14:paraId="0B2E8228"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2.21</w:t>
            </w:r>
          </w:p>
        </w:tc>
        <w:tc>
          <w:tcPr>
            <w:tcW w:w="1604" w:type="dxa"/>
            <w:shd w:val="clear" w:color="auto" w:fill="auto"/>
            <w:noWrap/>
            <w:vAlign w:val="bottom"/>
            <w:hideMark/>
          </w:tcPr>
          <w:p w14:paraId="1243ECC2"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1.78</w:t>
            </w:r>
          </w:p>
        </w:tc>
        <w:tc>
          <w:tcPr>
            <w:tcW w:w="1604" w:type="dxa"/>
            <w:shd w:val="clear" w:color="auto" w:fill="auto"/>
            <w:noWrap/>
            <w:vAlign w:val="bottom"/>
            <w:hideMark/>
          </w:tcPr>
          <w:p w14:paraId="52DE991B"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9.77</w:t>
            </w:r>
          </w:p>
        </w:tc>
      </w:tr>
      <w:tr w:rsidR="00DB0F98" w:rsidRPr="001167C1" w14:paraId="6431AD6E" w14:textId="77777777" w:rsidTr="001167C1">
        <w:trPr>
          <w:trHeight w:val="175"/>
        </w:trPr>
        <w:tc>
          <w:tcPr>
            <w:tcW w:w="1406" w:type="dxa"/>
            <w:shd w:val="clear" w:color="auto" w:fill="auto"/>
            <w:vAlign w:val="center"/>
            <w:hideMark/>
          </w:tcPr>
          <w:p w14:paraId="008389AC"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2002</w:t>
            </w:r>
          </w:p>
        </w:tc>
        <w:tc>
          <w:tcPr>
            <w:tcW w:w="1539" w:type="dxa"/>
            <w:shd w:val="clear" w:color="auto" w:fill="auto"/>
            <w:noWrap/>
            <w:vAlign w:val="bottom"/>
            <w:hideMark/>
          </w:tcPr>
          <w:p w14:paraId="51453405"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-2.24</w:t>
            </w:r>
          </w:p>
        </w:tc>
        <w:tc>
          <w:tcPr>
            <w:tcW w:w="1701" w:type="dxa"/>
            <w:shd w:val="clear" w:color="auto" w:fill="auto"/>
            <w:noWrap/>
            <w:vAlign w:val="bottom"/>
            <w:hideMark/>
          </w:tcPr>
          <w:p w14:paraId="66E987EB"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7.78</w:t>
            </w:r>
          </w:p>
        </w:tc>
        <w:tc>
          <w:tcPr>
            <w:tcW w:w="1604" w:type="dxa"/>
            <w:shd w:val="clear" w:color="auto" w:fill="auto"/>
            <w:noWrap/>
            <w:vAlign w:val="bottom"/>
            <w:hideMark/>
          </w:tcPr>
          <w:p w14:paraId="28104174"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2.33</w:t>
            </w:r>
          </w:p>
        </w:tc>
        <w:tc>
          <w:tcPr>
            <w:tcW w:w="1604" w:type="dxa"/>
            <w:shd w:val="clear" w:color="auto" w:fill="auto"/>
            <w:noWrap/>
            <w:vAlign w:val="bottom"/>
            <w:hideMark/>
          </w:tcPr>
          <w:p w14:paraId="12ABB504"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4.21</w:t>
            </w:r>
          </w:p>
        </w:tc>
        <w:tc>
          <w:tcPr>
            <w:tcW w:w="1604" w:type="dxa"/>
            <w:shd w:val="clear" w:color="auto" w:fill="auto"/>
            <w:noWrap/>
            <w:vAlign w:val="bottom"/>
            <w:hideMark/>
          </w:tcPr>
          <w:p w14:paraId="604C24E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9.06</w:t>
            </w:r>
          </w:p>
        </w:tc>
      </w:tr>
      <w:tr w:rsidR="00DB0F98" w:rsidRPr="001167C1" w14:paraId="0AC5EB0A" w14:textId="77777777" w:rsidTr="001167C1">
        <w:trPr>
          <w:trHeight w:val="175"/>
        </w:trPr>
        <w:tc>
          <w:tcPr>
            <w:tcW w:w="1406" w:type="dxa"/>
            <w:shd w:val="clear" w:color="auto" w:fill="auto"/>
            <w:vAlign w:val="center"/>
            <w:hideMark/>
          </w:tcPr>
          <w:p w14:paraId="60D72F2C"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2003</w:t>
            </w:r>
          </w:p>
        </w:tc>
        <w:tc>
          <w:tcPr>
            <w:tcW w:w="1539" w:type="dxa"/>
            <w:shd w:val="clear" w:color="auto" w:fill="auto"/>
            <w:noWrap/>
            <w:vAlign w:val="bottom"/>
            <w:hideMark/>
          </w:tcPr>
          <w:p w14:paraId="3A399F80"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-2.79</w:t>
            </w:r>
          </w:p>
        </w:tc>
        <w:tc>
          <w:tcPr>
            <w:tcW w:w="1701" w:type="dxa"/>
            <w:shd w:val="clear" w:color="auto" w:fill="auto"/>
            <w:noWrap/>
            <w:vAlign w:val="bottom"/>
            <w:hideMark/>
          </w:tcPr>
          <w:p w14:paraId="4FA8B649"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14.51</w:t>
            </w:r>
          </w:p>
        </w:tc>
        <w:tc>
          <w:tcPr>
            <w:tcW w:w="1604" w:type="dxa"/>
            <w:shd w:val="clear" w:color="auto" w:fill="auto"/>
            <w:noWrap/>
            <w:vAlign w:val="bottom"/>
            <w:hideMark/>
          </w:tcPr>
          <w:p w14:paraId="1665DE9F"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3.93</w:t>
            </w:r>
          </w:p>
        </w:tc>
        <w:tc>
          <w:tcPr>
            <w:tcW w:w="1604" w:type="dxa"/>
            <w:shd w:val="clear" w:color="auto" w:fill="auto"/>
            <w:noWrap/>
            <w:vAlign w:val="bottom"/>
            <w:hideMark/>
          </w:tcPr>
          <w:p w14:paraId="5D1A33E8"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16.00</w:t>
            </w:r>
          </w:p>
        </w:tc>
        <w:tc>
          <w:tcPr>
            <w:tcW w:w="1604" w:type="dxa"/>
            <w:shd w:val="clear" w:color="auto" w:fill="auto"/>
            <w:noWrap/>
            <w:vAlign w:val="bottom"/>
            <w:hideMark/>
          </w:tcPr>
          <w:p w14:paraId="51462352"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12.20</w:t>
            </w:r>
          </w:p>
        </w:tc>
      </w:tr>
      <w:tr w:rsidR="00DB0F98" w:rsidRPr="001167C1" w14:paraId="1DDDC9B8" w14:textId="77777777" w:rsidTr="001167C1">
        <w:trPr>
          <w:trHeight w:val="175"/>
        </w:trPr>
        <w:tc>
          <w:tcPr>
            <w:tcW w:w="1406" w:type="dxa"/>
            <w:shd w:val="clear" w:color="auto" w:fill="auto"/>
            <w:vAlign w:val="center"/>
            <w:hideMark/>
          </w:tcPr>
          <w:p w14:paraId="65D6A7D6"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2004</w:t>
            </w:r>
          </w:p>
        </w:tc>
        <w:tc>
          <w:tcPr>
            <w:tcW w:w="1539" w:type="dxa"/>
            <w:shd w:val="clear" w:color="auto" w:fill="auto"/>
            <w:noWrap/>
            <w:vAlign w:val="bottom"/>
            <w:hideMark/>
          </w:tcPr>
          <w:p w14:paraId="76F1A85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3.97</w:t>
            </w:r>
          </w:p>
        </w:tc>
        <w:tc>
          <w:tcPr>
            <w:tcW w:w="1701" w:type="dxa"/>
            <w:shd w:val="clear" w:color="auto" w:fill="auto"/>
            <w:noWrap/>
            <w:vAlign w:val="bottom"/>
            <w:hideMark/>
          </w:tcPr>
          <w:p w14:paraId="2FD3E527"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17.20</w:t>
            </w:r>
          </w:p>
        </w:tc>
        <w:tc>
          <w:tcPr>
            <w:tcW w:w="1604" w:type="dxa"/>
            <w:shd w:val="clear" w:color="auto" w:fill="auto"/>
            <w:noWrap/>
            <w:vAlign w:val="bottom"/>
            <w:hideMark/>
          </w:tcPr>
          <w:p w14:paraId="6F0AD10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5.66</w:t>
            </w:r>
          </w:p>
        </w:tc>
        <w:tc>
          <w:tcPr>
            <w:tcW w:w="1604" w:type="dxa"/>
            <w:shd w:val="clear" w:color="auto" w:fill="auto"/>
            <w:noWrap/>
            <w:vAlign w:val="bottom"/>
            <w:hideMark/>
          </w:tcPr>
          <w:p w14:paraId="0D01B47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14.76</w:t>
            </w:r>
          </w:p>
        </w:tc>
        <w:tc>
          <w:tcPr>
            <w:tcW w:w="1604" w:type="dxa"/>
            <w:shd w:val="clear" w:color="auto" w:fill="auto"/>
            <w:noWrap/>
            <w:vAlign w:val="bottom"/>
            <w:hideMark/>
          </w:tcPr>
          <w:p w14:paraId="1573FDD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17.07</w:t>
            </w:r>
          </w:p>
        </w:tc>
      </w:tr>
      <w:tr w:rsidR="00DB0F98" w:rsidRPr="001167C1" w14:paraId="655BA6C7" w14:textId="77777777" w:rsidTr="001167C1">
        <w:trPr>
          <w:trHeight w:val="175"/>
        </w:trPr>
        <w:tc>
          <w:tcPr>
            <w:tcW w:w="1406" w:type="dxa"/>
            <w:shd w:val="clear" w:color="auto" w:fill="auto"/>
            <w:vAlign w:val="center"/>
            <w:hideMark/>
          </w:tcPr>
          <w:p w14:paraId="60905C8D"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2005</w:t>
            </w:r>
          </w:p>
        </w:tc>
        <w:tc>
          <w:tcPr>
            <w:tcW w:w="1539" w:type="dxa"/>
            <w:shd w:val="clear" w:color="auto" w:fill="auto"/>
            <w:noWrap/>
            <w:vAlign w:val="bottom"/>
            <w:hideMark/>
          </w:tcPr>
          <w:p w14:paraId="1D3B7CB8"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6.91</w:t>
            </w:r>
          </w:p>
        </w:tc>
        <w:tc>
          <w:tcPr>
            <w:tcW w:w="1701" w:type="dxa"/>
            <w:shd w:val="clear" w:color="auto" w:fill="auto"/>
            <w:noWrap/>
            <w:vAlign w:val="bottom"/>
            <w:hideMark/>
          </w:tcPr>
          <w:p w14:paraId="0E2C5D1D"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4.31</w:t>
            </w:r>
          </w:p>
        </w:tc>
        <w:tc>
          <w:tcPr>
            <w:tcW w:w="1604" w:type="dxa"/>
            <w:shd w:val="clear" w:color="auto" w:fill="auto"/>
            <w:noWrap/>
            <w:vAlign w:val="bottom"/>
            <w:hideMark/>
          </w:tcPr>
          <w:p w14:paraId="56FCD2D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5.75</w:t>
            </w:r>
          </w:p>
        </w:tc>
        <w:tc>
          <w:tcPr>
            <w:tcW w:w="1604" w:type="dxa"/>
            <w:shd w:val="clear" w:color="auto" w:fill="auto"/>
            <w:noWrap/>
            <w:vAlign w:val="bottom"/>
            <w:hideMark/>
          </w:tcPr>
          <w:p w14:paraId="3C314983"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13.84</w:t>
            </w:r>
          </w:p>
        </w:tc>
        <w:tc>
          <w:tcPr>
            <w:tcW w:w="1604" w:type="dxa"/>
            <w:shd w:val="clear" w:color="auto" w:fill="auto"/>
            <w:noWrap/>
            <w:vAlign w:val="bottom"/>
            <w:hideMark/>
          </w:tcPr>
          <w:p w14:paraId="49DE046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16.22</w:t>
            </w:r>
          </w:p>
        </w:tc>
      </w:tr>
      <w:tr w:rsidR="00DB0F98" w:rsidRPr="001167C1" w14:paraId="36852CA2" w14:textId="77777777" w:rsidTr="001167C1">
        <w:trPr>
          <w:trHeight w:val="175"/>
        </w:trPr>
        <w:tc>
          <w:tcPr>
            <w:tcW w:w="1406" w:type="dxa"/>
            <w:shd w:val="clear" w:color="auto" w:fill="auto"/>
            <w:vAlign w:val="center"/>
            <w:hideMark/>
          </w:tcPr>
          <w:p w14:paraId="081A0573"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2006</w:t>
            </w:r>
          </w:p>
        </w:tc>
        <w:tc>
          <w:tcPr>
            <w:tcW w:w="1539" w:type="dxa"/>
            <w:shd w:val="clear" w:color="auto" w:fill="auto"/>
            <w:noWrap/>
            <w:vAlign w:val="bottom"/>
            <w:hideMark/>
          </w:tcPr>
          <w:p w14:paraId="694FC87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5.91</w:t>
            </w:r>
          </w:p>
        </w:tc>
        <w:tc>
          <w:tcPr>
            <w:tcW w:w="1701" w:type="dxa"/>
            <w:shd w:val="clear" w:color="auto" w:fill="auto"/>
            <w:noWrap/>
            <w:vAlign w:val="bottom"/>
            <w:hideMark/>
          </w:tcPr>
          <w:p w14:paraId="34CB810F"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5.72</w:t>
            </w:r>
          </w:p>
        </w:tc>
        <w:tc>
          <w:tcPr>
            <w:tcW w:w="1604" w:type="dxa"/>
            <w:shd w:val="clear" w:color="auto" w:fill="auto"/>
            <w:noWrap/>
            <w:vAlign w:val="bottom"/>
            <w:hideMark/>
          </w:tcPr>
          <w:p w14:paraId="7E22FCE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4.94</w:t>
            </w:r>
          </w:p>
        </w:tc>
        <w:tc>
          <w:tcPr>
            <w:tcW w:w="1604" w:type="dxa"/>
            <w:shd w:val="clear" w:color="auto" w:fill="auto"/>
            <w:noWrap/>
            <w:vAlign w:val="bottom"/>
            <w:hideMark/>
          </w:tcPr>
          <w:p w14:paraId="1F4C3B2D"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12.88</w:t>
            </w:r>
          </w:p>
        </w:tc>
        <w:tc>
          <w:tcPr>
            <w:tcW w:w="1604" w:type="dxa"/>
            <w:shd w:val="clear" w:color="auto" w:fill="auto"/>
            <w:noWrap/>
            <w:vAlign w:val="bottom"/>
            <w:hideMark/>
          </w:tcPr>
          <w:p w14:paraId="4A86F58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19.72</w:t>
            </w:r>
          </w:p>
        </w:tc>
      </w:tr>
      <w:tr w:rsidR="00DB0F98" w:rsidRPr="001167C1" w14:paraId="1512F154" w14:textId="77777777" w:rsidTr="001167C1">
        <w:trPr>
          <w:trHeight w:val="175"/>
        </w:trPr>
        <w:tc>
          <w:tcPr>
            <w:tcW w:w="1406" w:type="dxa"/>
            <w:shd w:val="clear" w:color="auto" w:fill="auto"/>
            <w:vAlign w:val="center"/>
            <w:hideMark/>
          </w:tcPr>
          <w:p w14:paraId="2E0E035E"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2007</w:t>
            </w:r>
          </w:p>
        </w:tc>
        <w:tc>
          <w:tcPr>
            <w:tcW w:w="1539" w:type="dxa"/>
            <w:shd w:val="clear" w:color="auto" w:fill="auto"/>
            <w:noWrap/>
            <w:vAlign w:val="bottom"/>
            <w:hideMark/>
          </w:tcPr>
          <w:p w14:paraId="6AA3EFAF"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8.40</w:t>
            </w:r>
          </w:p>
        </w:tc>
        <w:tc>
          <w:tcPr>
            <w:tcW w:w="1701" w:type="dxa"/>
            <w:shd w:val="clear" w:color="auto" w:fill="auto"/>
            <w:noWrap/>
            <w:vAlign w:val="bottom"/>
            <w:hideMark/>
          </w:tcPr>
          <w:p w14:paraId="2E2EF1C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13.22</w:t>
            </w:r>
          </w:p>
        </w:tc>
        <w:tc>
          <w:tcPr>
            <w:tcW w:w="1604" w:type="dxa"/>
            <w:shd w:val="clear" w:color="auto" w:fill="auto"/>
            <w:noWrap/>
            <w:vAlign w:val="bottom"/>
            <w:hideMark/>
          </w:tcPr>
          <w:p w14:paraId="59FF2E85"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3.78</w:t>
            </w:r>
          </w:p>
        </w:tc>
        <w:tc>
          <w:tcPr>
            <w:tcW w:w="1604" w:type="dxa"/>
            <w:shd w:val="clear" w:color="auto" w:fill="auto"/>
            <w:noWrap/>
            <w:vAlign w:val="bottom"/>
            <w:hideMark/>
          </w:tcPr>
          <w:p w14:paraId="2DA8977C"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27.52</w:t>
            </w:r>
          </w:p>
        </w:tc>
        <w:tc>
          <w:tcPr>
            <w:tcW w:w="1604" w:type="dxa"/>
            <w:shd w:val="clear" w:color="auto" w:fill="auto"/>
            <w:noWrap/>
            <w:vAlign w:val="bottom"/>
            <w:hideMark/>
          </w:tcPr>
          <w:p w14:paraId="37C82A7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28.33</w:t>
            </w:r>
          </w:p>
        </w:tc>
      </w:tr>
      <w:tr w:rsidR="00DB0F98" w:rsidRPr="001167C1" w14:paraId="4E3D66A3" w14:textId="77777777" w:rsidTr="001167C1">
        <w:trPr>
          <w:trHeight w:val="175"/>
        </w:trPr>
        <w:tc>
          <w:tcPr>
            <w:tcW w:w="1406" w:type="dxa"/>
            <w:shd w:val="clear" w:color="auto" w:fill="auto"/>
            <w:vAlign w:val="center"/>
            <w:hideMark/>
          </w:tcPr>
          <w:p w14:paraId="12C0D6EB"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2008</w:t>
            </w:r>
          </w:p>
        </w:tc>
        <w:tc>
          <w:tcPr>
            <w:tcW w:w="1539" w:type="dxa"/>
            <w:shd w:val="clear" w:color="auto" w:fill="auto"/>
            <w:noWrap/>
            <w:vAlign w:val="bottom"/>
            <w:hideMark/>
          </w:tcPr>
          <w:p w14:paraId="0B01C014"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3.01</w:t>
            </w:r>
          </w:p>
        </w:tc>
        <w:tc>
          <w:tcPr>
            <w:tcW w:w="1701" w:type="dxa"/>
            <w:shd w:val="clear" w:color="auto" w:fill="auto"/>
            <w:noWrap/>
            <w:vAlign w:val="bottom"/>
            <w:hideMark/>
          </w:tcPr>
          <w:p w14:paraId="5D327669"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-5.96</w:t>
            </w:r>
          </w:p>
        </w:tc>
        <w:tc>
          <w:tcPr>
            <w:tcW w:w="1604" w:type="dxa"/>
            <w:shd w:val="clear" w:color="auto" w:fill="auto"/>
            <w:noWrap/>
            <w:vAlign w:val="bottom"/>
            <w:hideMark/>
          </w:tcPr>
          <w:p w14:paraId="73F58E5B"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1.08</w:t>
            </w:r>
          </w:p>
        </w:tc>
        <w:tc>
          <w:tcPr>
            <w:tcW w:w="1604" w:type="dxa"/>
            <w:shd w:val="clear" w:color="auto" w:fill="auto"/>
            <w:noWrap/>
            <w:vAlign w:val="bottom"/>
            <w:hideMark/>
          </w:tcPr>
          <w:p w14:paraId="2E632EB3"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-2.86</w:t>
            </w:r>
          </w:p>
        </w:tc>
        <w:tc>
          <w:tcPr>
            <w:tcW w:w="1604" w:type="dxa"/>
            <w:shd w:val="clear" w:color="auto" w:fill="auto"/>
            <w:noWrap/>
            <w:vAlign w:val="bottom"/>
            <w:hideMark/>
          </w:tcPr>
          <w:p w14:paraId="2E03436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28.74</w:t>
            </w:r>
          </w:p>
        </w:tc>
      </w:tr>
      <w:tr w:rsidR="00DB0F98" w:rsidRPr="001167C1" w14:paraId="025C3EF5" w14:textId="77777777" w:rsidTr="001167C1">
        <w:trPr>
          <w:trHeight w:val="175"/>
        </w:trPr>
        <w:tc>
          <w:tcPr>
            <w:tcW w:w="1406" w:type="dxa"/>
            <w:shd w:val="clear" w:color="auto" w:fill="auto"/>
            <w:vAlign w:val="center"/>
            <w:hideMark/>
          </w:tcPr>
          <w:p w14:paraId="2497591A"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2009</w:t>
            </w:r>
          </w:p>
        </w:tc>
        <w:tc>
          <w:tcPr>
            <w:tcW w:w="1539" w:type="dxa"/>
            <w:shd w:val="clear" w:color="auto" w:fill="auto"/>
            <w:noWrap/>
            <w:vAlign w:val="bottom"/>
            <w:hideMark/>
          </w:tcPr>
          <w:p w14:paraId="5D4204C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-2.60</w:t>
            </w:r>
          </w:p>
        </w:tc>
        <w:tc>
          <w:tcPr>
            <w:tcW w:w="1701" w:type="dxa"/>
            <w:shd w:val="clear" w:color="auto" w:fill="auto"/>
            <w:noWrap/>
            <w:vAlign w:val="bottom"/>
            <w:hideMark/>
          </w:tcPr>
          <w:p w14:paraId="48BE00F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-18.25</w:t>
            </w:r>
          </w:p>
        </w:tc>
        <w:tc>
          <w:tcPr>
            <w:tcW w:w="1604" w:type="dxa"/>
            <w:shd w:val="clear" w:color="auto" w:fill="auto"/>
            <w:noWrap/>
            <w:vAlign w:val="bottom"/>
            <w:hideMark/>
          </w:tcPr>
          <w:p w14:paraId="3C37BFD3"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-2.83</w:t>
            </w:r>
          </w:p>
        </w:tc>
        <w:tc>
          <w:tcPr>
            <w:tcW w:w="1604" w:type="dxa"/>
            <w:shd w:val="clear" w:color="auto" w:fill="auto"/>
            <w:noWrap/>
            <w:vAlign w:val="bottom"/>
            <w:hideMark/>
          </w:tcPr>
          <w:p w14:paraId="41C6CF0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10.38</w:t>
            </w:r>
          </w:p>
        </w:tc>
        <w:tc>
          <w:tcPr>
            <w:tcW w:w="1604" w:type="dxa"/>
            <w:shd w:val="clear" w:color="auto" w:fill="auto"/>
            <w:noWrap/>
            <w:vAlign w:val="bottom"/>
            <w:hideMark/>
          </w:tcPr>
          <w:p w14:paraId="030217EB"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10.49</w:t>
            </w:r>
          </w:p>
        </w:tc>
      </w:tr>
      <w:tr w:rsidR="00DB0F98" w:rsidRPr="001167C1" w14:paraId="25CB8100" w14:textId="77777777" w:rsidTr="001167C1">
        <w:trPr>
          <w:trHeight w:val="175"/>
        </w:trPr>
        <w:tc>
          <w:tcPr>
            <w:tcW w:w="1406" w:type="dxa"/>
            <w:shd w:val="clear" w:color="auto" w:fill="auto"/>
            <w:vAlign w:val="center"/>
            <w:hideMark/>
          </w:tcPr>
          <w:p w14:paraId="27E7F368"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2010</w:t>
            </w:r>
          </w:p>
        </w:tc>
        <w:tc>
          <w:tcPr>
            <w:tcW w:w="1539" w:type="dxa"/>
            <w:shd w:val="clear" w:color="auto" w:fill="auto"/>
            <w:noWrap/>
            <w:vAlign w:val="bottom"/>
            <w:hideMark/>
          </w:tcPr>
          <w:p w14:paraId="0871A250"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6.04</w:t>
            </w:r>
          </w:p>
        </w:tc>
        <w:tc>
          <w:tcPr>
            <w:tcW w:w="1701" w:type="dxa"/>
            <w:shd w:val="clear" w:color="auto" w:fill="auto"/>
            <w:noWrap/>
            <w:vAlign w:val="bottom"/>
            <w:hideMark/>
          </w:tcPr>
          <w:p w14:paraId="0A6C987A"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2.21</w:t>
            </w:r>
          </w:p>
        </w:tc>
        <w:tc>
          <w:tcPr>
            <w:tcW w:w="1604" w:type="dxa"/>
            <w:shd w:val="clear" w:color="auto" w:fill="auto"/>
            <w:noWrap/>
            <w:vAlign w:val="bottom"/>
            <w:hideMark/>
          </w:tcPr>
          <w:p w14:paraId="032249C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3.08</w:t>
            </w:r>
          </w:p>
        </w:tc>
        <w:tc>
          <w:tcPr>
            <w:tcW w:w="1604" w:type="dxa"/>
            <w:shd w:val="clear" w:color="auto" w:fill="auto"/>
            <w:noWrap/>
            <w:vAlign w:val="bottom"/>
            <w:hideMark/>
          </w:tcPr>
          <w:p w14:paraId="557424E3"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23.16</w:t>
            </w:r>
          </w:p>
        </w:tc>
        <w:tc>
          <w:tcPr>
            <w:tcW w:w="1604" w:type="dxa"/>
            <w:shd w:val="clear" w:color="auto" w:fill="auto"/>
            <w:noWrap/>
            <w:vAlign w:val="bottom"/>
            <w:hideMark/>
          </w:tcPr>
          <w:p w14:paraId="63B80603"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18.74</w:t>
            </w:r>
          </w:p>
        </w:tc>
      </w:tr>
      <w:tr w:rsidR="00DB0F98" w:rsidRPr="001167C1" w14:paraId="16D2BBE8" w14:textId="77777777" w:rsidTr="001167C1">
        <w:trPr>
          <w:trHeight w:val="175"/>
        </w:trPr>
        <w:tc>
          <w:tcPr>
            <w:tcW w:w="1406" w:type="dxa"/>
            <w:shd w:val="clear" w:color="auto" w:fill="auto"/>
            <w:vAlign w:val="center"/>
            <w:hideMark/>
          </w:tcPr>
          <w:p w14:paraId="0B20A3A9"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2011</w:t>
            </w:r>
          </w:p>
        </w:tc>
        <w:tc>
          <w:tcPr>
            <w:tcW w:w="1539" w:type="dxa"/>
            <w:shd w:val="clear" w:color="auto" w:fill="auto"/>
            <w:noWrap/>
            <w:vAlign w:val="bottom"/>
            <w:hideMark/>
          </w:tcPr>
          <w:p w14:paraId="7E3348E2"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7.96</w:t>
            </w:r>
          </w:p>
        </w:tc>
        <w:tc>
          <w:tcPr>
            <w:tcW w:w="1701" w:type="dxa"/>
            <w:shd w:val="clear" w:color="auto" w:fill="auto"/>
            <w:noWrap/>
            <w:vAlign w:val="bottom"/>
            <w:hideMark/>
          </w:tcPr>
          <w:p w14:paraId="107FF2AD"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6.34</w:t>
            </w:r>
          </w:p>
        </w:tc>
        <w:tc>
          <w:tcPr>
            <w:tcW w:w="1604" w:type="dxa"/>
            <w:shd w:val="clear" w:color="auto" w:fill="auto"/>
            <w:noWrap/>
            <w:vAlign w:val="bottom"/>
            <w:hideMark/>
          </w:tcPr>
          <w:p w14:paraId="178D91F8"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2.91</w:t>
            </w:r>
          </w:p>
        </w:tc>
        <w:tc>
          <w:tcPr>
            <w:tcW w:w="1604" w:type="dxa"/>
            <w:shd w:val="clear" w:color="auto" w:fill="auto"/>
            <w:noWrap/>
            <w:vAlign w:val="bottom"/>
            <w:hideMark/>
          </w:tcPr>
          <w:p w14:paraId="2D2596A2"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7.33</w:t>
            </w:r>
          </w:p>
        </w:tc>
        <w:tc>
          <w:tcPr>
            <w:tcW w:w="1604" w:type="dxa"/>
            <w:shd w:val="clear" w:color="auto" w:fill="auto"/>
            <w:noWrap/>
            <w:vAlign w:val="bottom"/>
            <w:hideMark/>
          </w:tcPr>
          <w:p w14:paraId="16109FE4"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23.38</w:t>
            </w:r>
          </w:p>
        </w:tc>
      </w:tr>
      <w:tr w:rsidR="00DB0F98" w:rsidRPr="001167C1" w14:paraId="74BB4681" w14:textId="77777777" w:rsidTr="001167C1">
        <w:trPr>
          <w:trHeight w:val="175"/>
        </w:trPr>
        <w:tc>
          <w:tcPr>
            <w:tcW w:w="1406" w:type="dxa"/>
            <w:shd w:val="clear" w:color="auto" w:fill="auto"/>
            <w:vAlign w:val="center"/>
            <w:hideMark/>
          </w:tcPr>
          <w:p w14:paraId="2D7F7119"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2012</w:t>
            </w:r>
          </w:p>
        </w:tc>
        <w:tc>
          <w:tcPr>
            <w:tcW w:w="1539" w:type="dxa"/>
            <w:shd w:val="clear" w:color="auto" w:fill="auto"/>
            <w:noWrap/>
            <w:vAlign w:val="bottom"/>
            <w:hideMark/>
          </w:tcPr>
          <w:p w14:paraId="0D22A04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4.52</w:t>
            </w:r>
          </w:p>
        </w:tc>
        <w:tc>
          <w:tcPr>
            <w:tcW w:w="1701" w:type="dxa"/>
            <w:shd w:val="clear" w:color="auto" w:fill="auto"/>
            <w:noWrap/>
            <w:vAlign w:val="bottom"/>
            <w:hideMark/>
          </w:tcPr>
          <w:p w14:paraId="046C8A1C"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0.92</w:t>
            </w:r>
          </w:p>
        </w:tc>
        <w:tc>
          <w:tcPr>
            <w:tcW w:w="1604" w:type="dxa"/>
            <w:shd w:val="clear" w:color="auto" w:fill="auto"/>
            <w:noWrap/>
            <w:vAlign w:val="bottom"/>
            <w:hideMark/>
          </w:tcPr>
          <w:p w14:paraId="52FB095F"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3.43</w:t>
            </w:r>
          </w:p>
        </w:tc>
        <w:tc>
          <w:tcPr>
            <w:tcW w:w="1604" w:type="dxa"/>
            <w:shd w:val="clear" w:color="auto" w:fill="auto"/>
            <w:noWrap/>
            <w:vAlign w:val="bottom"/>
            <w:hideMark/>
          </w:tcPr>
          <w:p w14:paraId="03A35A02"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-1.07</w:t>
            </w:r>
          </w:p>
        </w:tc>
        <w:tc>
          <w:tcPr>
            <w:tcW w:w="1604" w:type="dxa"/>
            <w:shd w:val="clear" w:color="auto" w:fill="auto"/>
            <w:noWrap/>
            <w:vAlign w:val="bottom"/>
            <w:hideMark/>
          </w:tcPr>
          <w:p w14:paraId="2CC09FB2"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12.22</w:t>
            </w:r>
          </w:p>
        </w:tc>
      </w:tr>
      <w:tr w:rsidR="00DB0F98" w:rsidRPr="001167C1" w14:paraId="78D584E0" w14:textId="77777777" w:rsidTr="001167C1">
        <w:trPr>
          <w:trHeight w:val="175"/>
        </w:trPr>
        <w:tc>
          <w:tcPr>
            <w:tcW w:w="1406" w:type="dxa"/>
            <w:shd w:val="clear" w:color="auto" w:fill="auto"/>
            <w:vAlign w:val="center"/>
            <w:hideMark/>
          </w:tcPr>
          <w:p w14:paraId="4F8CB0B5"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2013</w:t>
            </w:r>
          </w:p>
        </w:tc>
        <w:tc>
          <w:tcPr>
            <w:tcW w:w="1539" w:type="dxa"/>
            <w:shd w:val="clear" w:color="auto" w:fill="auto"/>
            <w:noWrap/>
            <w:vAlign w:val="bottom"/>
            <w:hideMark/>
          </w:tcPr>
          <w:p w14:paraId="6363F4A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4.55</w:t>
            </w:r>
          </w:p>
        </w:tc>
        <w:tc>
          <w:tcPr>
            <w:tcW w:w="1701" w:type="dxa"/>
            <w:shd w:val="clear" w:color="auto" w:fill="auto"/>
            <w:noWrap/>
            <w:vAlign w:val="bottom"/>
            <w:hideMark/>
          </w:tcPr>
          <w:p w14:paraId="0CAEAAC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2.19</w:t>
            </w:r>
          </w:p>
        </w:tc>
        <w:tc>
          <w:tcPr>
            <w:tcW w:w="1604" w:type="dxa"/>
            <w:shd w:val="clear" w:color="auto" w:fill="auto"/>
            <w:noWrap/>
            <w:vAlign w:val="bottom"/>
            <w:hideMark/>
          </w:tcPr>
          <w:p w14:paraId="23D9650A"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2.91</w:t>
            </w:r>
          </w:p>
        </w:tc>
        <w:tc>
          <w:tcPr>
            <w:tcW w:w="1604" w:type="dxa"/>
            <w:shd w:val="clear" w:color="auto" w:fill="auto"/>
            <w:noWrap/>
            <w:vAlign w:val="bottom"/>
            <w:hideMark/>
          </w:tcPr>
          <w:p w14:paraId="6605E994"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0.28</w:t>
            </w:r>
          </w:p>
        </w:tc>
        <w:tc>
          <w:tcPr>
            <w:tcW w:w="1604" w:type="dxa"/>
            <w:shd w:val="clear" w:color="auto" w:fill="auto"/>
            <w:noWrap/>
            <w:vAlign w:val="bottom"/>
            <w:hideMark/>
          </w:tcPr>
          <w:p w14:paraId="0BDEAE68"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11.42</w:t>
            </w:r>
          </w:p>
        </w:tc>
      </w:tr>
      <w:tr w:rsidR="00DB0F98" w:rsidRPr="001167C1" w14:paraId="0CFD5201" w14:textId="77777777" w:rsidTr="001167C1">
        <w:trPr>
          <w:trHeight w:val="175"/>
        </w:trPr>
        <w:tc>
          <w:tcPr>
            <w:tcW w:w="1406" w:type="dxa"/>
            <w:shd w:val="clear" w:color="auto" w:fill="auto"/>
            <w:vAlign w:val="center"/>
            <w:hideMark/>
          </w:tcPr>
          <w:p w14:paraId="32576EF3"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2014</w:t>
            </w:r>
          </w:p>
        </w:tc>
        <w:tc>
          <w:tcPr>
            <w:tcW w:w="1539" w:type="dxa"/>
            <w:shd w:val="clear" w:color="auto" w:fill="auto"/>
            <w:noWrap/>
            <w:vAlign w:val="bottom"/>
            <w:hideMark/>
          </w:tcPr>
          <w:p w14:paraId="5F48379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4.98</w:t>
            </w:r>
          </w:p>
        </w:tc>
        <w:tc>
          <w:tcPr>
            <w:tcW w:w="1701" w:type="dxa"/>
            <w:shd w:val="clear" w:color="auto" w:fill="auto"/>
            <w:noWrap/>
            <w:vAlign w:val="bottom"/>
            <w:hideMark/>
          </w:tcPr>
          <w:p w14:paraId="7088A6F7"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9.24</w:t>
            </w:r>
          </w:p>
        </w:tc>
        <w:tc>
          <w:tcPr>
            <w:tcW w:w="1604" w:type="dxa"/>
            <w:shd w:val="clear" w:color="auto" w:fill="auto"/>
            <w:noWrap/>
            <w:vAlign w:val="bottom"/>
            <w:hideMark/>
          </w:tcPr>
          <w:p w14:paraId="457A4425"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3.44</w:t>
            </w:r>
          </w:p>
        </w:tc>
        <w:tc>
          <w:tcPr>
            <w:tcW w:w="1604" w:type="dxa"/>
            <w:shd w:val="clear" w:color="auto" w:fill="auto"/>
            <w:noWrap/>
            <w:vAlign w:val="bottom"/>
            <w:hideMark/>
          </w:tcPr>
          <w:p w14:paraId="7E95275D"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8.47</w:t>
            </w:r>
          </w:p>
        </w:tc>
        <w:tc>
          <w:tcPr>
            <w:tcW w:w="1604" w:type="dxa"/>
            <w:shd w:val="clear" w:color="auto" w:fill="auto"/>
            <w:noWrap/>
            <w:vAlign w:val="bottom"/>
            <w:hideMark/>
          </w:tcPr>
          <w:p w14:paraId="3B141884"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8.77</w:t>
            </w:r>
          </w:p>
        </w:tc>
      </w:tr>
      <w:tr w:rsidR="00DB0F98" w:rsidRPr="001167C1" w14:paraId="0A30C76E" w14:textId="77777777" w:rsidTr="001167C1">
        <w:trPr>
          <w:trHeight w:val="175"/>
        </w:trPr>
        <w:tc>
          <w:tcPr>
            <w:tcW w:w="1406" w:type="dxa"/>
            <w:shd w:val="clear" w:color="auto" w:fill="auto"/>
            <w:vAlign w:val="center"/>
            <w:hideMark/>
          </w:tcPr>
          <w:p w14:paraId="6D3F9FDE"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2015</w:t>
            </w:r>
          </w:p>
        </w:tc>
        <w:tc>
          <w:tcPr>
            <w:tcW w:w="1539" w:type="dxa"/>
            <w:shd w:val="clear" w:color="auto" w:fill="auto"/>
            <w:noWrap/>
            <w:vAlign w:val="bottom"/>
            <w:hideMark/>
          </w:tcPr>
          <w:p w14:paraId="3CE4E7A2"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5.25</w:t>
            </w:r>
          </w:p>
        </w:tc>
        <w:tc>
          <w:tcPr>
            <w:tcW w:w="1701" w:type="dxa"/>
            <w:shd w:val="clear" w:color="auto" w:fill="auto"/>
            <w:noWrap/>
            <w:vAlign w:val="bottom"/>
            <w:hideMark/>
          </w:tcPr>
          <w:p w14:paraId="3496FF8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-5.22</w:t>
            </w:r>
          </w:p>
        </w:tc>
        <w:tc>
          <w:tcPr>
            <w:tcW w:w="1604" w:type="dxa"/>
            <w:shd w:val="clear" w:color="auto" w:fill="auto"/>
            <w:noWrap/>
            <w:vAlign w:val="bottom"/>
            <w:hideMark/>
          </w:tcPr>
          <w:p w14:paraId="1FD6ABED"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2.97</w:t>
            </w:r>
          </w:p>
        </w:tc>
        <w:tc>
          <w:tcPr>
            <w:tcW w:w="1604" w:type="dxa"/>
            <w:shd w:val="clear" w:color="auto" w:fill="auto"/>
            <w:noWrap/>
            <w:vAlign w:val="bottom"/>
            <w:hideMark/>
          </w:tcPr>
          <w:p w14:paraId="098E6590"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1.94</w:t>
            </w:r>
          </w:p>
        </w:tc>
        <w:tc>
          <w:tcPr>
            <w:tcW w:w="1604" w:type="dxa"/>
            <w:shd w:val="clear" w:color="auto" w:fill="auto"/>
            <w:noWrap/>
            <w:vAlign w:val="bottom"/>
            <w:hideMark/>
          </w:tcPr>
          <w:p w14:paraId="36DAFD3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4.98</w:t>
            </w:r>
          </w:p>
        </w:tc>
      </w:tr>
      <w:tr w:rsidR="00DB0F98" w:rsidRPr="001167C1" w14:paraId="2F950B6D" w14:textId="77777777" w:rsidTr="001167C1">
        <w:trPr>
          <w:trHeight w:val="175"/>
        </w:trPr>
        <w:tc>
          <w:tcPr>
            <w:tcW w:w="1406" w:type="dxa"/>
            <w:shd w:val="clear" w:color="auto" w:fill="auto"/>
            <w:vAlign w:val="center"/>
            <w:hideMark/>
          </w:tcPr>
          <w:p w14:paraId="0C5F6D07"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2016</w:t>
            </w:r>
          </w:p>
        </w:tc>
        <w:tc>
          <w:tcPr>
            <w:tcW w:w="1539" w:type="dxa"/>
            <w:shd w:val="clear" w:color="auto" w:fill="auto"/>
            <w:noWrap/>
            <w:vAlign w:val="bottom"/>
            <w:hideMark/>
          </w:tcPr>
          <w:p w14:paraId="43E66382"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3.07</w:t>
            </w:r>
          </w:p>
        </w:tc>
        <w:tc>
          <w:tcPr>
            <w:tcW w:w="1701" w:type="dxa"/>
            <w:shd w:val="clear" w:color="auto" w:fill="auto"/>
            <w:noWrap/>
            <w:vAlign w:val="bottom"/>
            <w:hideMark/>
          </w:tcPr>
          <w:p w14:paraId="7884546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-8.85</w:t>
            </w:r>
          </w:p>
        </w:tc>
        <w:tc>
          <w:tcPr>
            <w:tcW w:w="1604" w:type="dxa"/>
            <w:shd w:val="clear" w:color="auto" w:fill="auto"/>
            <w:noWrap/>
            <w:vAlign w:val="bottom"/>
            <w:hideMark/>
          </w:tcPr>
          <w:p w14:paraId="07A60B7F"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1.94</w:t>
            </w:r>
          </w:p>
        </w:tc>
        <w:tc>
          <w:tcPr>
            <w:tcW w:w="1604" w:type="dxa"/>
            <w:shd w:val="clear" w:color="auto" w:fill="auto"/>
            <w:noWrap/>
            <w:vAlign w:val="bottom"/>
            <w:hideMark/>
          </w:tcPr>
          <w:p w14:paraId="0813BD2A"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7.80</w:t>
            </w:r>
          </w:p>
        </w:tc>
        <w:tc>
          <w:tcPr>
            <w:tcW w:w="1604" w:type="dxa"/>
            <w:shd w:val="clear" w:color="auto" w:fill="auto"/>
            <w:noWrap/>
            <w:vAlign w:val="bottom"/>
            <w:hideMark/>
          </w:tcPr>
          <w:p w14:paraId="784CA64F"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0.97</w:t>
            </w:r>
          </w:p>
        </w:tc>
      </w:tr>
      <w:tr w:rsidR="00DB0F98" w:rsidRPr="001167C1" w14:paraId="045293A9" w14:textId="77777777" w:rsidTr="001167C1">
        <w:trPr>
          <w:trHeight w:val="175"/>
        </w:trPr>
        <w:tc>
          <w:tcPr>
            <w:tcW w:w="1406" w:type="dxa"/>
            <w:shd w:val="clear" w:color="auto" w:fill="auto"/>
            <w:vAlign w:val="center"/>
            <w:hideMark/>
          </w:tcPr>
          <w:p w14:paraId="03E42FA4"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2017</w:t>
            </w:r>
          </w:p>
        </w:tc>
        <w:tc>
          <w:tcPr>
            <w:tcW w:w="1539" w:type="dxa"/>
            <w:shd w:val="clear" w:color="auto" w:fill="auto"/>
            <w:noWrap/>
            <w:vAlign w:val="bottom"/>
            <w:hideMark/>
          </w:tcPr>
          <w:p w14:paraId="64044E4A"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5.55</w:t>
            </w:r>
          </w:p>
        </w:tc>
        <w:tc>
          <w:tcPr>
            <w:tcW w:w="1701" w:type="dxa"/>
            <w:shd w:val="clear" w:color="auto" w:fill="auto"/>
            <w:noWrap/>
            <w:vAlign w:val="bottom"/>
            <w:hideMark/>
          </w:tcPr>
          <w:p w14:paraId="143C511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-1.01</w:t>
            </w:r>
          </w:p>
        </w:tc>
        <w:tc>
          <w:tcPr>
            <w:tcW w:w="1604" w:type="dxa"/>
            <w:shd w:val="clear" w:color="auto" w:fill="auto"/>
            <w:noWrap/>
            <w:vAlign w:val="bottom"/>
            <w:hideMark/>
          </w:tcPr>
          <w:p w14:paraId="68FEA708"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3.53</w:t>
            </w:r>
          </w:p>
        </w:tc>
        <w:tc>
          <w:tcPr>
            <w:tcW w:w="1604" w:type="dxa"/>
            <w:shd w:val="clear" w:color="auto" w:fill="auto"/>
            <w:noWrap/>
            <w:vAlign w:val="bottom"/>
            <w:hideMark/>
          </w:tcPr>
          <w:p w14:paraId="0C5ABE0B"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14.22</w:t>
            </w:r>
          </w:p>
        </w:tc>
        <w:tc>
          <w:tcPr>
            <w:tcW w:w="1604" w:type="dxa"/>
            <w:shd w:val="clear" w:color="auto" w:fill="auto"/>
            <w:noWrap/>
            <w:vAlign w:val="bottom"/>
            <w:hideMark/>
          </w:tcPr>
          <w:p w14:paraId="10396133"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8.93</w:t>
            </w:r>
          </w:p>
        </w:tc>
      </w:tr>
      <w:tr w:rsidR="00DB0F98" w:rsidRPr="001167C1" w14:paraId="19B8643E" w14:textId="77777777" w:rsidTr="001167C1">
        <w:trPr>
          <w:trHeight w:val="175"/>
        </w:trPr>
        <w:tc>
          <w:tcPr>
            <w:tcW w:w="1406" w:type="dxa"/>
            <w:shd w:val="clear" w:color="auto" w:fill="auto"/>
            <w:vAlign w:val="center"/>
            <w:hideMark/>
          </w:tcPr>
          <w:p w14:paraId="6EF75B5C"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2018</w:t>
            </w:r>
          </w:p>
        </w:tc>
        <w:tc>
          <w:tcPr>
            <w:tcW w:w="1539" w:type="dxa"/>
            <w:shd w:val="clear" w:color="auto" w:fill="auto"/>
            <w:noWrap/>
            <w:vAlign w:val="bottom"/>
            <w:hideMark/>
          </w:tcPr>
          <w:p w14:paraId="2278D5A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5.15</w:t>
            </w:r>
          </w:p>
        </w:tc>
        <w:tc>
          <w:tcPr>
            <w:tcW w:w="1701" w:type="dxa"/>
            <w:shd w:val="clear" w:color="auto" w:fill="auto"/>
            <w:noWrap/>
            <w:vAlign w:val="bottom"/>
            <w:hideMark/>
          </w:tcPr>
          <w:p w14:paraId="10A8490C"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6.49</w:t>
            </w:r>
          </w:p>
        </w:tc>
        <w:tc>
          <w:tcPr>
            <w:tcW w:w="1604" w:type="dxa"/>
            <w:shd w:val="clear" w:color="auto" w:fill="auto"/>
            <w:noWrap/>
            <w:vAlign w:val="bottom"/>
            <w:hideMark/>
          </w:tcPr>
          <w:p w14:paraId="230716BF"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4.87</w:t>
            </w:r>
          </w:p>
        </w:tc>
        <w:tc>
          <w:tcPr>
            <w:tcW w:w="1604" w:type="dxa"/>
            <w:shd w:val="clear" w:color="auto" w:fill="auto"/>
            <w:noWrap/>
            <w:vAlign w:val="bottom"/>
            <w:hideMark/>
          </w:tcPr>
          <w:p w14:paraId="6200588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0.84</w:t>
            </w:r>
          </w:p>
        </w:tc>
        <w:tc>
          <w:tcPr>
            <w:tcW w:w="1604" w:type="dxa"/>
            <w:shd w:val="clear" w:color="auto" w:fill="auto"/>
            <w:noWrap/>
            <w:vAlign w:val="bottom"/>
            <w:hideMark/>
          </w:tcPr>
          <w:p w14:paraId="425032C4"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12.34</w:t>
            </w:r>
          </w:p>
        </w:tc>
      </w:tr>
      <w:tr w:rsidR="00DB0F98" w:rsidRPr="001167C1" w14:paraId="561B8114" w14:textId="77777777" w:rsidTr="001167C1">
        <w:trPr>
          <w:trHeight w:val="175"/>
        </w:trPr>
        <w:tc>
          <w:tcPr>
            <w:tcW w:w="1406" w:type="dxa"/>
            <w:shd w:val="clear" w:color="auto" w:fill="auto"/>
            <w:vAlign w:val="center"/>
            <w:hideMark/>
          </w:tcPr>
          <w:p w14:paraId="51EA6C99"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2019</w:t>
            </w:r>
          </w:p>
        </w:tc>
        <w:tc>
          <w:tcPr>
            <w:tcW w:w="1539" w:type="dxa"/>
            <w:shd w:val="clear" w:color="auto" w:fill="auto"/>
            <w:noWrap/>
            <w:vAlign w:val="bottom"/>
            <w:hideMark/>
          </w:tcPr>
          <w:p w14:paraId="29550DC3"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-0.37</w:t>
            </w:r>
          </w:p>
        </w:tc>
        <w:tc>
          <w:tcPr>
            <w:tcW w:w="1701" w:type="dxa"/>
            <w:shd w:val="clear" w:color="auto" w:fill="auto"/>
            <w:noWrap/>
            <w:vAlign w:val="bottom"/>
            <w:hideMark/>
          </w:tcPr>
          <w:p w14:paraId="3EFDC60F"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-1.25</w:t>
            </w:r>
          </w:p>
        </w:tc>
        <w:tc>
          <w:tcPr>
            <w:tcW w:w="1604" w:type="dxa"/>
            <w:shd w:val="clear" w:color="auto" w:fill="auto"/>
            <w:noWrap/>
            <w:vAlign w:val="bottom"/>
            <w:hideMark/>
          </w:tcPr>
          <w:p w14:paraId="28A40D95"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3.66</w:t>
            </w:r>
          </w:p>
        </w:tc>
        <w:tc>
          <w:tcPr>
            <w:tcW w:w="1604" w:type="dxa"/>
            <w:shd w:val="clear" w:color="auto" w:fill="auto"/>
            <w:noWrap/>
            <w:vAlign w:val="bottom"/>
            <w:hideMark/>
          </w:tcPr>
          <w:p w14:paraId="38A9E8B1"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3.84</w:t>
            </w:r>
          </w:p>
        </w:tc>
        <w:tc>
          <w:tcPr>
            <w:tcW w:w="1604" w:type="dxa"/>
            <w:shd w:val="clear" w:color="auto" w:fill="auto"/>
            <w:noWrap/>
            <w:vAlign w:val="bottom"/>
            <w:hideMark/>
          </w:tcPr>
          <w:p w14:paraId="6950A6CA"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2.41</w:t>
            </w:r>
          </w:p>
        </w:tc>
      </w:tr>
      <w:tr w:rsidR="00DB0F98" w:rsidRPr="001167C1" w14:paraId="62327962" w14:textId="77777777" w:rsidTr="001167C1">
        <w:trPr>
          <w:trHeight w:val="175"/>
        </w:trPr>
        <w:tc>
          <w:tcPr>
            <w:tcW w:w="1406" w:type="dxa"/>
            <w:shd w:val="clear" w:color="auto" w:fill="auto"/>
            <w:vAlign w:val="center"/>
            <w:hideMark/>
          </w:tcPr>
          <w:p w14:paraId="7833B31B"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2020</w:t>
            </w:r>
          </w:p>
        </w:tc>
        <w:tc>
          <w:tcPr>
            <w:tcW w:w="1539" w:type="dxa"/>
            <w:shd w:val="clear" w:color="auto" w:fill="auto"/>
            <w:noWrap/>
            <w:vAlign w:val="bottom"/>
            <w:hideMark/>
          </w:tcPr>
          <w:p w14:paraId="726B00A7"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-4.65</w:t>
            </w:r>
          </w:p>
        </w:tc>
        <w:tc>
          <w:tcPr>
            <w:tcW w:w="1701" w:type="dxa"/>
            <w:shd w:val="clear" w:color="auto" w:fill="auto"/>
            <w:noWrap/>
            <w:vAlign w:val="bottom"/>
            <w:hideMark/>
          </w:tcPr>
          <w:p w14:paraId="0E04EB9A"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-5.73</w:t>
            </w:r>
          </w:p>
        </w:tc>
        <w:tc>
          <w:tcPr>
            <w:tcW w:w="1604" w:type="dxa"/>
            <w:shd w:val="clear" w:color="auto" w:fill="auto"/>
            <w:noWrap/>
            <w:vAlign w:val="bottom"/>
            <w:hideMark/>
          </w:tcPr>
          <w:p w14:paraId="6DCF19D5"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-2.44</w:t>
            </w:r>
          </w:p>
        </w:tc>
        <w:tc>
          <w:tcPr>
            <w:tcW w:w="1604" w:type="dxa"/>
            <w:shd w:val="clear" w:color="auto" w:fill="auto"/>
            <w:noWrap/>
            <w:vAlign w:val="bottom"/>
            <w:hideMark/>
          </w:tcPr>
          <w:p w14:paraId="3D1EE4A2"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-6.68</w:t>
            </w:r>
          </w:p>
        </w:tc>
        <w:tc>
          <w:tcPr>
            <w:tcW w:w="1604" w:type="dxa"/>
            <w:shd w:val="clear" w:color="auto" w:fill="auto"/>
            <w:noWrap/>
            <w:vAlign w:val="bottom"/>
            <w:hideMark/>
          </w:tcPr>
          <w:p w14:paraId="6535F630"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2.61</w:t>
            </w:r>
          </w:p>
        </w:tc>
      </w:tr>
      <w:tr w:rsidR="00DB0F98" w:rsidRPr="001167C1" w14:paraId="06AC6C00" w14:textId="77777777" w:rsidTr="001167C1">
        <w:trPr>
          <w:trHeight w:val="175"/>
        </w:trPr>
        <w:tc>
          <w:tcPr>
            <w:tcW w:w="1406" w:type="dxa"/>
            <w:shd w:val="clear" w:color="auto" w:fill="auto"/>
            <w:vAlign w:val="center"/>
            <w:hideMark/>
          </w:tcPr>
          <w:p w14:paraId="45679EA9"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2021</w:t>
            </w:r>
          </w:p>
        </w:tc>
        <w:tc>
          <w:tcPr>
            <w:tcW w:w="1539" w:type="dxa"/>
            <w:shd w:val="clear" w:color="auto" w:fill="auto"/>
            <w:noWrap/>
            <w:vAlign w:val="bottom"/>
            <w:hideMark/>
          </w:tcPr>
          <w:p w14:paraId="333E8F1D"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7.93</w:t>
            </w:r>
          </w:p>
        </w:tc>
        <w:tc>
          <w:tcPr>
            <w:tcW w:w="1701" w:type="dxa"/>
            <w:shd w:val="clear" w:color="auto" w:fill="auto"/>
            <w:noWrap/>
            <w:vAlign w:val="bottom"/>
            <w:hideMark/>
          </w:tcPr>
          <w:p w14:paraId="02051D9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16.54</w:t>
            </w:r>
          </w:p>
        </w:tc>
        <w:tc>
          <w:tcPr>
            <w:tcW w:w="1604" w:type="dxa"/>
            <w:shd w:val="clear" w:color="auto" w:fill="auto"/>
            <w:noWrap/>
            <w:vAlign w:val="bottom"/>
            <w:hideMark/>
          </w:tcPr>
          <w:p w14:paraId="194CB300"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10.53</w:t>
            </w:r>
          </w:p>
        </w:tc>
        <w:tc>
          <w:tcPr>
            <w:tcW w:w="1604" w:type="dxa"/>
            <w:shd w:val="clear" w:color="auto" w:fill="auto"/>
            <w:noWrap/>
            <w:vAlign w:val="bottom"/>
            <w:hideMark/>
          </w:tcPr>
          <w:p w14:paraId="2E7BC0A0"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16.98</w:t>
            </w:r>
          </w:p>
        </w:tc>
        <w:tc>
          <w:tcPr>
            <w:tcW w:w="1604" w:type="dxa"/>
            <w:shd w:val="clear" w:color="auto" w:fill="auto"/>
            <w:noWrap/>
            <w:vAlign w:val="bottom"/>
            <w:hideMark/>
          </w:tcPr>
          <w:p w14:paraId="5C997864"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21.22</w:t>
            </w:r>
          </w:p>
        </w:tc>
      </w:tr>
      <w:tr w:rsidR="00DB0F98" w:rsidRPr="001167C1" w14:paraId="171A355E" w14:textId="77777777" w:rsidTr="001167C1">
        <w:trPr>
          <w:trHeight w:val="175"/>
        </w:trPr>
        <w:tc>
          <w:tcPr>
            <w:tcW w:w="1406" w:type="dxa"/>
            <w:shd w:val="clear" w:color="auto" w:fill="auto"/>
            <w:vAlign w:val="center"/>
            <w:hideMark/>
          </w:tcPr>
          <w:p w14:paraId="1FB7DD0C" w14:textId="77777777" w:rsidR="00DB0F98" w:rsidRPr="001167C1" w:rsidRDefault="00DB0F98" w:rsidP="001167C1">
            <w:pPr>
              <w:widowControl/>
              <w:jc w:val="center"/>
              <w:rPr>
                <w:rFonts w:ascii="Times New Roman" w:hAnsi="Times New Roman"/>
                <w:color w:val="000000"/>
                <w:kern w:val="0"/>
                <w:szCs w:val="24"/>
              </w:rPr>
            </w:pPr>
            <w:r w:rsidRPr="001167C1">
              <w:rPr>
                <w:rFonts w:ascii="Times New Roman" w:hAnsi="Times New Roman"/>
                <w:color w:val="000000"/>
                <w:szCs w:val="24"/>
              </w:rPr>
              <w:t>2022</w:t>
            </w:r>
          </w:p>
        </w:tc>
        <w:tc>
          <w:tcPr>
            <w:tcW w:w="1539" w:type="dxa"/>
            <w:shd w:val="clear" w:color="auto" w:fill="auto"/>
            <w:noWrap/>
            <w:vAlign w:val="bottom"/>
            <w:hideMark/>
          </w:tcPr>
          <w:p w14:paraId="6BA7CCC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-1.57</w:t>
            </w:r>
          </w:p>
        </w:tc>
        <w:tc>
          <w:tcPr>
            <w:tcW w:w="1701" w:type="dxa"/>
            <w:shd w:val="clear" w:color="auto" w:fill="auto"/>
            <w:noWrap/>
            <w:vAlign w:val="bottom"/>
            <w:hideMark/>
          </w:tcPr>
          <w:p w14:paraId="1F68E490"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-1.59</w:t>
            </w:r>
          </w:p>
        </w:tc>
        <w:tc>
          <w:tcPr>
            <w:tcW w:w="1604" w:type="dxa"/>
            <w:shd w:val="clear" w:color="auto" w:fill="auto"/>
            <w:noWrap/>
            <w:vAlign w:val="bottom"/>
            <w:hideMark/>
          </w:tcPr>
          <w:p w14:paraId="1615272E"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8.70</w:t>
            </w:r>
          </w:p>
        </w:tc>
        <w:tc>
          <w:tcPr>
            <w:tcW w:w="1604" w:type="dxa"/>
            <w:shd w:val="clear" w:color="auto" w:fill="auto"/>
            <w:noWrap/>
            <w:vAlign w:val="bottom"/>
            <w:hideMark/>
          </w:tcPr>
          <w:p w14:paraId="448CD266"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7.72</w:t>
            </w:r>
          </w:p>
        </w:tc>
        <w:tc>
          <w:tcPr>
            <w:tcW w:w="1604" w:type="dxa"/>
            <w:shd w:val="clear" w:color="auto" w:fill="auto"/>
            <w:noWrap/>
            <w:vAlign w:val="bottom"/>
            <w:hideMark/>
          </w:tcPr>
          <w:p w14:paraId="69705FDB" w14:textId="77777777" w:rsidR="00DB0F98" w:rsidRPr="001167C1" w:rsidRDefault="00DB0F98" w:rsidP="001167C1">
            <w:pPr>
              <w:widowControl/>
              <w:jc w:val="right"/>
              <w:rPr>
                <w:rFonts w:ascii="Times New Roman" w:hAnsi="Times New Roman"/>
                <w:color w:val="000000"/>
                <w:kern w:val="0"/>
                <w:szCs w:val="24"/>
              </w:rPr>
            </w:pPr>
            <w:r w:rsidRPr="001167C1">
              <w:rPr>
                <w:rFonts w:ascii="Times New Roman" w:hAnsi="Times New Roman"/>
                <w:color w:val="000000"/>
                <w:szCs w:val="24"/>
              </w:rPr>
              <w:t>0.81</w:t>
            </w:r>
          </w:p>
        </w:tc>
      </w:tr>
    </w:tbl>
    <w:p w14:paraId="4ECA7894" w14:textId="156BFBB7" w:rsidR="00D11C12" w:rsidRPr="001167C1" w:rsidRDefault="00CD4583"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Sources: Calculated from Table 1</w:t>
      </w:r>
    </w:p>
    <w:p w14:paraId="64719535" w14:textId="77777777" w:rsidR="00D11C12" w:rsidRPr="001167C1" w:rsidRDefault="00D11C12" w:rsidP="001167C1">
      <w:pPr>
        <w:widowControl/>
        <w:spacing w:line="360" w:lineRule="auto"/>
        <w:rPr>
          <w:rFonts w:ascii="Times New Roman" w:hAnsi="Times New Roman"/>
          <w:szCs w:val="24"/>
        </w:rPr>
      </w:pPr>
      <w:r w:rsidRPr="001167C1">
        <w:rPr>
          <w:rFonts w:ascii="Times New Roman" w:hAnsi="Times New Roman"/>
          <w:szCs w:val="24"/>
        </w:rPr>
        <w:br w:type="page"/>
      </w:r>
    </w:p>
    <w:p w14:paraId="492A0312" w14:textId="5EA75FC8" w:rsidR="006F346A" w:rsidRPr="001167C1" w:rsidRDefault="00FF45EB" w:rsidP="001167C1">
      <w:pPr>
        <w:adjustRightInd w:val="0"/>
        <w:snapToGrid w:val="0"/>
        <w:spacing w:line="360" w:lineRule="auto"/>
        <w:jc w:val="both"/>
        <w:rPr>
          <w:rFonts w:ascii="Times New Roman" w:hAnsi="Times New Roman"/>
          <w:b/>
          <w:bCs/>
          <w:szCs w:val="24"/>
        </w:rPr>
      </w:pPr>
      <w:r w:rsidRPr="001167C1">
        <w:rPr>
          <w:rFonts w:ascii="Times New Roman" w:hAnsi="Times New Roman"/>
          <w:b/>
          <w:bCs/>
          <w:szCs w:val="24"/>
        </w:rPr>
        <w:lastRenderedPageBreak/>
        <w:t xml:space="preserve">3 </w:t>
      </w:r>
      <w:r w:rsidR="001E46DB" w:rsidRPr="001167C1">
        <w:rPr>
          <w:rFonts w:ascii="Times New Roman" w:hAnsi="Times New Roman"/>
          <w:b/>
          <w:bCs/>
          <w:szCs w:val="24"/>
        </w:rPr>
        <w:t xml:space="preserve">Analysis and </w:t>
      </w:r>
      <w:r w:rsidR="00A664EE" w:rsidRPr="001167C1">
        <w:rPr>
          <w:rFonts w:ascii="Times New Roman" w:hAnsi="Times New Roman"/>
          <w:b/>
          <w:bCs/>
          <w:szCs w:val="24"/>
        </w:rPr>
        <w:t>D</w:t>
      </w:r>
      <w:r w:rsidR="001E46DB" w:rsidRPr="001167C1">
        <w:rPr>
          <w:rFonts w:ascii="Times New Roman" w:hAnsi="Times New Roman"/>
          <w:b/>
          <w:bCs/>
          <w:szCs w:val="24"/>
        </w:rPr>
        <w:t>iscussion</w:t>
      </w:r>
      <w:r w:rsidR="000F73BB" w:rsidRPr="001167C1">
        <w:rPr>
          <w:rFonts w:ascii="Times New Roman" w:hAnsi="Times New Roman"/>
          <w:b/>
          <w:bCs/>
          <w:szCs w:val="24"/>
        </w:rPr>
        <w:t xml:space="preserve"> </w:t>
      </w:r>
    </w:p>
    <w:p w14:paraId="78382A67" w14:textId="77777777" w:rsidR="00E130E6" w:rsidRPr="001167C1" w:rsidRDefault="00E130E6" w:rsidP="001167C1">
      <w:pPr>
        <w:adjustRightInd w:val="0"/>
        <w:snapToGrid w:val="0"/>
        <w:spacing w:line="360" w:lineRule="auto"/>
        <w:jc w:val="both"/>
        <w:rPr>
          <w:rFonts w:ascii="Times New Roman" w:hAnsi="Times New Roman"/>
          <w:szCs w:val="24"/>
        </w:rPr>
      </w:pPr>
    </w:p>
    <w:p w14:paraId="6BFD2BC4" w14:textId="77777777" w:rsidR="009455A4" w:rsidRPr="001167C1" w:rsidRDefault="009455A4"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When researching investment opportunities in a region, it is crucial to analyze both the level and growth rate of GDP per capita. Assessing the level of GDP per capita provides insights into the region's overall standard of living and economic development. This evaluation considers factors such as affluence, infrastructure quality, political stability, literacy rate, law system and access to goods and services. Understanding the level of GDP per capita helps determine the market size and purchasing power of the region.</w:t>
      </w:r>
    </w:p>
    <w:p w14:paraId="6A84F8B5" w14:textId="77777777" w:rsidR="009455A4" w:rsidRPr="001167C1" w:rsidRDefault="009455A4" w:rsidP="001167C1">
      <w:pPr>
        <w:adjustRightInd w:val="0"/>
        <w:snapToGrid w:val="0"/>
        <w:spacing w:line="360" w:lineRule="auto"/>
        <w:jc w:val="both"/>
        <w:rPr>
          <w:rFonts w:ascii="Times New Roman" w:hAnsi="Times New Roman"/>
          <w:szCs w:val="24"/>
        </w:rPr>
      </w:pPr>
    </w:p>
    <w:p w14:paraId="0A46375C" w14:textId="77777777" w:rsidR="009455A4" w:rsidRPr="001167C1" w:rsidRDefault="009455A4"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 xml:space="preserve">Additionally, examining the growth rate of GDP per capita reveals the sustainability of economic progress. </w:t>
      </w:r>
      <w:proofErr w:type="gramStart"/>
      <w:r w:rsidRPr="001167C1">
        <w:rPr>
          <w:rFonts w:ascii="Times New Roman" w:hAnsi="Times New Roman"/>
          <w:szCs w:val="24"/>
        </w:rPr>
        <w:t>Positive growth</w:t>
      </w:r>
      <w:proofErr w:type="gramEnd"/>
      <w:r w:rsidRPr="001167C1">
        <w:rPr>
          <w:rFonts w:ascii="Times New Roman" w:hAnsi="Times New Roman"/>
          <w:szCs w:val="24"/>
        </w:rPr>
        <w:t xml:space="preserve"> rates indicate expanding economies, leading to higher incomes and improved living standards. Such regions present attractive investment prospects due to increasing consumer demand and market expansion. Conversely, negative growth rates or stagnant growth raise concerns and may pose investment risks. </w:t>
      </w:r>
    </w:p>
    <w:p w14:paraId="42C684B6" w14:textId="77777777" w:rsidR="009455A4" w:rsidRPr="001167C1" w:rsidRDefault="009455A4" w:rsidP="001167C1">
      <w:pPr>
        <w:adjustRightInd w:val="0"/>
        <w:snapToGrid w:val="0"/>
        <w:spacing w:line="360" w:lineRule="auto"/>
        <w:jc w:val="both"/>
        <w:rPr>
          <w:rFonts w:ascii="Times New Roman" w:hAnsi="Times New Roman"/>
          <w:szCs w:val="24"/>
        </w:rPr>
      </w:pPr>
    </w:p>
    <w:p w14:paraId="54DE0E1C" w14:textId="77777777" w:rsidR="009455A4" w:rsidRPr="001167C1" w:rsidRDefault="009455A4"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In the context of studying GDP per capita, the level pertains to the extent to which countries can progress and provides an indication of their potential trajectory. On the other hand, the growth rate assists in estimating the pace at which economic expansion occurs.</w:t>
      </w:r>
    </w:p>
    <w:p w14:paraId="65D039C3" w14:textId="77777777" w:rsidR="009455A4" w:rsidRPr="001167C1" w:rsidRDefault="009455A4" w:rsidP="001167C1">
      <w:pPr>
        <w:adjustRightInd w:val="0"/>
        <w:snapToGrid w:val="0"/>
        <w:spacing w:line="360" w:lineRule="auto"/>
        <w:jc w:val="both"/>
        <w:rPr>
          <w:rFonts w:ascii="Times New Roman" w:hAnsi="Times New Roman"/>
          <w:szCs w:val="24"/>
        </w:rPr>
      </w:pPr>
    </w:p>
    <w:p w14:paraId="0044D5C5" w14:textId="77777777" w:rsidR="009455A4" w:rsidRPr="001167C1" w:rsidRDefault="009455A4"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Considering both the level and growth rate of GDP per capita enables investors to understand the region's economic performance comprehensively. This knowledge aids in identifying regions with high income levels and strong growth potential, as well as untapped market opportunities for maximizing investment returns. Therefore, analyzing the level and growth rate of GDP per capita is essential for informed decision-making and capitalizing on investment opportunities in a region.</w:t>
      </w:r>
    </w:p>
    <w:p w14:paraId="214EED95" w14:textId="77777777" w:rsidR="009455A4" w:rsidRPr="001167C1" w:rsidRDefault="009455A4" w:rsidP="001167C1">
      <w:pPr>
        <w:adjustRightInd w:val="0"/>
        <w:snapToGrid w:val="0"/>
        <w:spacing w:line="360" w:lineRule="auto"/>
        <w:jc w:val="both"/>
        <w:rPr>
          <w:rFonts w:ascii="Times New Roman" w:hAnsi="Times New Roman"/>
          <w:szCs w:val="24"/>
        </w:rPr>
      </w:pPr>
    </w:p>
    <w:p w14:paraId="2B8ACF9D" w14:textId="4EA32398" w:rsidR="008A5402" w:rsidRPr="001167C1" w:rsidRDefault="00E130E6"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 xml:space="preserve">This report employs a global trend analysis from 2000 to 2022 to understand long-term patterns and dynamics. It identifies macroeconomic factors and major shifts that influence the subject. Additionally, a local trend analysis from 2020 to 2022 offers a focused perspective, capturing recent developments and localized dynamics. By combining both analyses, researchers gain a nuanced understanding. The methodology involves dataset review for observations, constructing time plots, and using descriptive statistics to assess expected return (mean), risk (standard deviation/coefficient of variation), best-case (max), and worst-case scenarios (min). The same methodology applies to compare the local trends with the global trends, allowing for insights into disparities and convergence </w:t>
      </w:r>
      <w:r w:rsidRPr="001167C1">
        <w:rPr>
          <w:rFonts w:ascii="Times New Roman" w:hAnsi="Times New Roman"/>
          <w:szCs w:val="24"/>
        </w:rPr>
        <w:lastRenderedPageBreak/>
        <w:t>within the broader context.</w:t>
      </w:r>
    </w:p>
    <w:p w14:paraId="0AD46025" w14:textId="77777777" w:rsidR="007342AD" w:rsidRPr="001167C1" w:rsidRDefault="007342AD" w:rsidP="001167C1">
      <w:pPr>
        <w:adjustRightInd w:val="0"/>
        <w:snapToGrid w:val="0"/>
        <w:spacing w:line="360" w:lineRule="auto"/>
        <w:jc w:val="both"/>
        <w:rPr>
          <w:rFonts w:ascii="Times New Roman" w:hAnsi="Times New Roman"/>
          <w:b/>
          <w:bCs/>
          <w:szCs w:val="24"/>
        </w:rPr>
      </w:pPr>
    </w:p>
    <w:p w14:paraId="48E72851" w14:textId="7498F8B9" w:rsidR="00FF45EB" w:rsidRPr="001167C1" w:rsidRDefault="007F6448" w:rsidP="001167C1">
      <w:pPr>
        <w:adjustRightInd w:val="0"/>
        <w:snapToGrid w:val="0"/>
        <w:spacing w:line="360" w:lineRule="auto"/>
        <w:jc w:val="both"/>
        <w:rPr>
          <w:rFonts w:ascii="Times New Roman" w:hAnsi="Times New Roman"/>
          <w:b/>
          <w:bCs/>
          <w:szCs w:val="24"/>
        </w:rPr>
      </w:pPr>
      <w:r w:rsidRPr="001167C1">
        <w:rPr>
          <w:rFonts w:ascii="Times New Roman" w:hAnsi="Times New Roman"/>
          <w:b/>
          <w:bCs/>
          <w:szCs w:val="24"/>
        </w:rPr>
        <w:t xml:space="preserve">3.1 </w:t>
      </w:r>
      <w:r w:rsidR="00617F7E" w:rsidRPr="001167C1">
        <w:rPr>
          <w:rFonts w:ascii="Times New Roman" w:hAnsi="Times New Roman"/>
          <w:b/>
          <w:bCs/>
          <w:szCs w:val="24"/>
        </w:rPr>
        <w:t>P</w:t>
      </w:r>
      <w:r w:rsidR="00CC0AA6" w:rsidRPr="001167C1">
        <w:rPr>
          <w:rFonts w:ascii="Times New Roman" w:hAnsi="Times New Roman"/>
          <w:b/>
          <w:bCs/>
          <w:szCs w:val="24"/>
        </w:rPr>
        <w:t xml:space="preserve">attern of </w:t>
      </w:r>
      <w:r w:rsidR="00617F7E" w:rsidRPr="001167C1">
        <w:rPr>
          <w:rFonts w:ascii="Times New Roman" w:hAnsi="Times New Roman"/>
          <w:b/>
          <w:bCs/>
          <w:szCs w:val="24"/>
        </w:rPr>
        <w:t xml:space="preserve">the </w:t>
      </w:r>
      <w:r w:rsidR="00CC0AA6" w:rsidRPr="001167C1">
        <w:rPr>
          <w:rFonts w:ascii="Times New Roman" w:hAnsi="Times New Roman"/>
          <w:b/>
          <w:bCs/>
          <w:szCs w:val="24"/>
        </w:rPr>
        <w:t>global trend</w:t>
      </w:r>
      <w:r w:rsidR="00617F7E" w:rsidRPr="001167C1">
        <w:rPr>
          <w:rFonts w:ascii="Times New Roman" w:hAnsi="Times New Roman"/>
          <w:b/>
          <w:bCs/>
          <w:szCs w:val="24"/>
        </w:rPr>
        <w:t xml:space="preserve"> movement</w:t>
      </w:r>
      <w:r w:rsidR="00CC0AA6" w:rsidRPr="001167C1">
        <w:rPr>
          <w:rFonts w:ascii="Times New Roman" w:hAnsi="Times New Roman"/>
          <w:b/>
          <w:bCs/>
          <w:szCs w:val="24"/>
        </w:rPr>
        <w:t xml:space="preserve"> </w:t>
      </w:r>
    </w:p>
    <w:p w14:paraId="4A599DDC" w14:textId="77777777" w:rsidR="00470987" w:rsidRPr="001167C1" w:rsidRDefault="00470987" w:rsidP="001167C1">
      <w:pPr>
        <w:adjustRightInd w:val="0"/>
        <w:snapToGrid w:val="0"/>
        <w:spacing w:line="360" w:lineRule="auto"/>
        <w:jc w:val="both"/>
        <w:rPr>
          <w:rFonts w:ascii="Times New Roman" w:hAnsi="Times New Roman"/>
          <w:b/>
          <w:bCs/>
          <w:szCs w:val="24"/>
        </w:rPr>
      </w:pPr>
    </w:p>
    <w:p w14:paraId="3BB79C69"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Table 5 Major summary statistics of annual rate of change in nominal GDP per capita in selected countries: 2000 to 2022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8"/>
        <w:gridCol w:w="1329"/>
        <w:gridCol w:w="1383"/>
        <w:gridCol w:w="1605"/>
        <w:gridCol w:w="1504"/>
        <w:gridCol w:w="1619"/>
      </w:tblGrid>
      <w:tr w:rsidR="00470987" w:rsidRPr="001167C1" w14:paraId="7DC01074" w14:textId="77777777" w:rsidTr="00234598">
        <w:tc>
          <w:tcPr>
            <w:tcW w:w="2214" w:type="dxa"/>
            <w:shd w:val="clear" w:color="auto" w:fill="auto"/>
          </w:tcPr>
          <w:p w14:paraId="0DF83D7E"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Summar statistics</w:t>
            </w:r>
          </w:p>
        </w:tc>
        <w:tc>
          <w:tcPr>
            <w:tcW w:w="1365" w:type="dxa"/>
            <w:vAlign w:val="center"/>
          </w:tcPr>
          <w:p w14:paraId="075BB9FB"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Hong Kong</w:t>
            </w:r>
          </w:p>
        </w:tc>
        <w:tc>
          <w:tcPr>
            <w:tcW w:w="1399" w:type="dxa"/>
            <w:vAlign w:val="center"/>
          </w:tcPr>
          <w:p w14:paraId="64FA964B"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United Kingdom</w:t>
            </w:r>
          </w:p>
        </w:tc>
        <w:tc>
          <w:tcPr>
            <w:tcW w:w="1651" w:type="dxa"/>
            <w:shd w:val="clear" w:color="auto" w:fill="auto"/>
            <w:vAlign w:val="center"/>
          </w:tcPr>
          <w:p w14:paraId="7C64995A"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United States</w:t>
            </w:r>
          </w:p>
        </w:tc>
        <w:tc>
          <w:tcPr>
            <w:tcW w:w="1554" w:type="dxa"/>
            <w:shd w:val="clear" w:color="auto" w:fill="auto"/>
            <w:vAlign w:val="center"/>
          </w:tcPr>
          <w:p w14:paraId="3A5C174B"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India</w:t>
            </w:r>
          </w:p>
        </w:tc>
        <w:tc>
          <w:tcPr>
            <w:tcW w:w="1671" w:type="dxa"/>
            <w:vAlign w:val="center"/>
          </w:tcPr>
          <w:p w14:paraId="79F66CFD"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China</w:t>
            </w:r>
          </w:p>
        </w:tc>
      </w:tr>
      <w:tr w:rsidR="00470987" w:rsidRPr="001167C1" w14:paraId="326C6DB4" w14:textId="77777777" w:rsidTr="00B27071">
        <w:tc>
          <w:tcPr>
            <w:tcW w:w="2214" w:type="dxa"/>
            <w:shd w:val="clear" w:color="auto" w:fill="auto"/>
          </w:tcPr>
          <w:p w14:paraId="4C443DBB"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Mean (%)</w:t>
            </w:r>
          </w:p>
        </w:tc>
        <w:tc>
          <w:tcPr>
            <w:tcW w:w="1365" w:type="dxa"/>
            <w:vAlign w:val="center"/>
          </w:tcPr>
          <w:p w14:paraId="7101180E"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3</w:t>
            </w:r>
          </w:p>
        </w:tc>
        <w:tc>
          <w:tcPr>
            <w:tcW w:w="1399" w:type="dxa"/>
            <w:vAlign w:val="center"/>
          </w:tcPr>
          <w:p w14:paraId="5204CB38"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3</w:t>
            </w:r>
          </w:p>
        </w:tc>
        <w:tc>
          <w:tcPr>
            <w:tcW w:w="1651" w:type="dxa"/>
            <w:shd w:val="clear" w:color="auto" w:fill="auto"/>
            <w:vAlign w:val="center"/>
          </w:tcPr>
          <w:p w14:paraId="1CF5002F"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3</w:t>
            </w:r>
          </w:p>
        </w:tc>
        <w:tc>
          <w:tcPr>
            <w:tcW w:w="1554" w:type="dxa"/>
            <w:shd w:val="clear" w:color="auto" w:fill="auto"/>
            <w:vAlign w:val="center"/>
          </w:tcPr>
          <w:p w14:paraId="7E14C092"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8</w:t>
            </w:r>
          </w:p>
        </w:tc>
        <w:tc>
          <w:tcPr>
            <w:tcW w:w="1671" w:type="dxa"/>
            <w:vAlign w:val="center"/>
          </w:tcPr>
          <w:p w14:paraId="7D2C9566"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13</w:t>
            </w:r>
          </w:p>
        </w:tc>
      </w:tr>
      <w:tr w:rsidR="00470987" w:rsidRPr="001167C1" w14:paraId="1C851571" w14:textId="77777777" w:rsidTr="00B27071">
        <w:trPr>
          <w:trHeight w:val="526"/>
        </w:trPr>
        <w:tc>
          <w:tcPr>
            <w:tcW w:w="2214" w:type="dxa"/>
            <w:shd w:val="clear" w:color="auto" w:fill="auto"/>
          </w:tcPr>
          <w:p w14:paraId="04B971C7"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Standard deviation</w:t>
            </w:r>
          </w:p>
        </w:tc>
        <w:tc>
          <w:tcPr>
            <w:tcW w:w="1365" w:type="dxa"/>
            <w:vAlign w:val="center"/>
          </w:tcPr>
          <w:p w14:paraId="594E9B89"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0.04</w:t>
            </w:r>
          </w:p>
        </w:tc>
        <w:tc>
          <w:tcPr>
            <w:tcW w:w="1399" w:type="dxa"/>
            <w:vAlign w:val="center"/>
          </w:tcPr>
          <w:p w14:paraId="37B1B21C"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0.09</w:t>
            </w:r>
          </w:p>
        </w:tc>
        <w:tc>
          <w:tcPr>
            <w:tcW w:w="1651" w:type="dxa"/>
            <w:shd w:val="clear" w:color="auto" w:fill="auto"/>
            <w:vAlign w:val="center"/>
          </w:tcPr>
          <w:p w14:paraId="370A9FC2"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0.03</w:t>
            </w:r>
          </w:p>
        </w:tc>
        <w:tc>
          <w:tcPr>
            <w:tcW w:w="1554" w:type="dxa"/>
            <w:shd w:val="clear" w:color="auto" w:fill="auto"/>
            <w:vAlign w:val="center"/>
          </w:tcPr>
          <w:p w14:paraId="2D9FA92C"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0.09</w:t>
            </w:r>
          </w:p>
        </w:tc>
        <w:tc>
          <w:tcPr>
            <w:tcW w:w="1671" w:type="dxa"/>
            <w:vAlign w:val="center"/>
          </w:tcPr>
          <w:p w14:paraId="6129D2B3"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0.08</w:t>
            </w:r>
          </w:p>
        </w:tc>
      </w:tr>
      <w:tr w:rsidR="00470987" w:rsidRPr="001167C1" w14:paraId="1734736E" w14:textId="77777777" w:rsidTr="00B27071">
        <w:trPr>
          <w:trHeight w:val="525"/>
        </w:trPr>
        <w:tc>
          <w:tcPr>
            <w:tcW w:w="2214" w:type="dxa"/>
            <w:shd w:val="clear" w:color="auto" w:fill="auto"/>
          </w:tcPr>
          <w:p w14:paraId="38943F8E"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Coefficient of variation</w:t>
            </w:r>
          </w:p>
          <w:p w14:paraId="2A570A92"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(CV=SD/Mean)</w:t>
            </w:r>
          </w:p>
        </w:tc>
        <w:tc>
          <w:tcPr>
            <w:tcW w:w="1365" w:type="dxa"/>
            <w:vAlign w:val="center"/>
          </w:tcPr>
          <w:p w14:paraId="683D50AA"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1.33</w:t>
            </w:r>
          </w:p>
        </w:tc>
        <w:tc>
          <w:tcPr>
            <w:tcW w:w="1399" w:type="dxa"/>
            <w:vAlign w:val="center"/>
          </w:tcPr>
          <w:p w14:paraId="134C6A7E"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3.35</w:t>
            </w:r>
          </w:p>
        </w:tc>
        <w:tc>
          <w:tcPr>
            <w:tcW w:w="1651" w:type="dxa"/>
            <w:shd w:val="clear" w:color="auto" w:fill="auto"/>
            <w:vAlign w:val="center"/>
          </w:tcPr>
          <w:p w14:paraId="759E2A5A"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0.84</w:t>
            </w:r>
          </w:p>
        </w:tc>
        <w:tc>
          <w:tcPr>
            <w:tcW w:w="1554" w:type="dxa"/>
            <w:shd w:val="clear" w:color="auto" w:fill="auto"/>
            <w:vAlign w:val="center"/>
          </w:tcPr>
          <w:p w14:paraId="4FCBC2F1"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1.03</w:t>
            </w:r>
          </w:p>
        </w:tc>
        <w:tc>
          <w:tcPr>
            <w:tcW w:w="1671" w:type="dxa"/>
            <w:vAlign w:val="center"/>
          </w:tcPr>
          <w:p w14:paraId="57028851"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0.64</w:t>
            </w:r>
          </w:p>
        </w:tc>
      </w:tr>
      <w:tr w:rsidR="00470987" w:rsidRPr="001167C1" w14:paraId="5D0F2273" w14:textId="77777777" w:rsidTr="00B27071">
        <w:trPr>
          <w:trHeight w:val="76"/>
        </w:trPr>
        <w:tc>
          <w:tcPr>
            <w:tcW w:w="2214" w:type="dxa"/>
            <w:shd w:val="clear" w:color="auto" w:fill="auto"/>
          </w:tcPr>
          <w:p w14:paraId="523CFAEE"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Maximum (%)</w:t>
            </w:r>
          </w:p>
        </w:tc>
        <w:tc>
          <w:tcPr>
            <w:tcW w:w="1365" w:type="dxa"/>
            <w:vAlign w:val="center"/>
          </w:tcPr>
          <w:p w14:paraId="0873709A"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8</w:t>
            </w:r>
          </w:p>
        </w:tc>
        <w:tc>
          <w:tcPr>
            <w:tcW w:w="1399" w:type="dxa"/>
            <w:vAlign w:val="center"/>
          </w:tcPr>
          <w:p w14:paraId="4FB38C40"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17</w:t>
            </w:r>
          </w:p>
        </w:tc>
        <w:tc>
          <w:tcPr>
            <w:tcW w:w="1651" w:type="dxa"/>
            <w:shd w:val="clear" w:color="auto" w:fill="auto"/>
            <w:vAlign w:val="center"/>
          </w:tcPr>
          <w:p w14:paraId="361857F4"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11</w:t>
            </w:r>
          </w:p>
        </w:tc>
        <w:tc>
          <w:tcPr>
            <w:tcW w:w="1554" w:type="dxa"/>
            <w:shd w:val="clear" w:color="auto" w:fill="auto"/>
            <w:vAlign w:val="center"/>
          </w:tcPr>
          <w:p w14:paraId="5EF30A46"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28</w:t>
            </w:r>
          </w:p>
        </w:tc>
        <w:tc>
          <w:tcPr>
            <w:tcW w:w="1671" w:type="dxa"/>
            <w:vAlign w:val="center"/>
          </w:tcPr>
          <w:p w14:paraId="2CDE0914"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29</w:t>
            </w:r>
          </w:p>
        </w:tc>
      </w:tr>
      <w:tr w:rsidR="00470987" w:rsidRPr="001167C1" w14:paraId="0885282A" w14:textId="77777777" w:rsidTr="00B27071">
        <w:tc>
          <w:tcPr>
            <w:tcW w:w="2214" w:type="dxa"/>
            <w:shd w:val="clear" w:color="auto" w:fill="auto"/>
          </w:tcPr>
          <w:p w14:paraId="28A97BFB"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Minimum (%)</w:t>
            </w:r>
          </w:p>
        </w:tc>
        <w:tc>
          <w:tcPr>
            <w:tcW w:w="1365" w:type="dxa"/>
            <w:vAlign w:val="center"/>
          </w:tcPr>
          <w:p w14:paraId="09061CBC"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w:t>
            </w:r>
          </w:p>
        </w:tc>
        <w:tc>
          <w:tcPr>
            <w:tcW w:w="1399" w:type="dxa"/>
            <w:vAlign w:val="center"/>
          </w:tcPr>
          <w:p w14:paraId="4A8915E3"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-18</w:t>
            </w:r>
          </w:p>
        </w:tc>
        <w:tc>
          <w:tcPr>
            <w:tcW w:w="1651" w:type="dxa"/>
            <w:shd w:val="clear" w:color="auto" w:fill="auto"/>
            <w:vAlign w:val="center"/>
          </w:tcPr>
          <w:p w14:paraId="08198B25"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-3</w:t>
            </w:r>
          </w:p>
        </w:tc>
        <w:tc>
          <w:tcPr>
            <w:tcW w:w="1554" w:type="dxa"/>
            <w:shd w:val="clear" w:color="auto" w:fill="auto"/>
            <w:vAlign w:val="center"/>
          </w:tcPr>
          <w:p w14:paraId="56FBD093"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-7</w:t>
            </w:r>
          </w:p>
        </w:tc>
        <w:tc>
          <w:tcPr>
            <w:tcW w:w="1671" w:type="dxa"/>
            <w:vAlign w:val="center"/>
          </w:tcPr>
          <w:p w14:paraId="157D71D8" w14:textId="77777777" w:rsidR="00470987" w:rsidRPr="001167C1" w:rsidRDefault="0047098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w:t>
            </w:r>
          </w:p>
        </w:tc>
      </w:tr>
      <w:tr w:rsidR="00470987" w:rsidRPr="001167C1" w14:paraId="1A956370" w14:textId="77777777" w:rsidTr="00234598">
        <w:trPr>
          <w:trHeight w:val="301"/>
        </w:trPr>
        <w:tc>
          <w:tcPr>
            <w:tcW w:w="9854" w:type="dxa"/>
            <w:gridSpan w:val="6"/>
          </w:tcPr>
          <w:p w14:paraId="77628BAD" w14:textId="77777777" w:rsidR="00470987" w:rsidRPr="001167C1" w:rsidRDefault="0047098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Sources: Calculated from the dataset listed in Table 1</w:t>
            </w:r>
          </w:p>
        </w:tc>
      </w:tr>
    </w:tbl>
    <w:p w14:paraId="70146F44" w14:textId="77777777" w:rsidR="00470987" w:rsidRPr="001167C1" w:rsidRDefault="00470987" w:rsidP="001167C1">
      <w:pPr>
        <w:adjustRightInd w:val="0"/>
        <w:snapToGrid w:val="0"/>
        <w:spacing w:line="360" w:lineRule="auto"/>
        <w:jc w:val="both"/>
        <w:rPr>
          <w:rFonts w:ascii="Times New Roman" w:hAnsi="Times New Roman"/>
          <w:szCs w:val="24"/>
        </w:rPr>
      </w:pPr>
    </w:p>
    <w:p w14:paraId="5AFD6AA7" w14:textId="77777777" w:rsidR="00470987" w:rsidRPr="001167C1" w:rsidRDefault="00470987"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An intriguing observation arises from the dataset as listed in Tables 1 and 2, noting that in the year 2007, which falls within the timeframe spanning from 2000 to 2022, the nominal GDP per capita of the United Kingdom surpassed that of the United States.</w:t>
      </w:r>
    </w:p>
    <w:p w14:paraId="46F178B0" w14:textId="77777777" w:rsidR="00470987" w:rsidRPr="001167C1" w:rsidRDefault="00470987" w:rsidP="001167C1">
      <w:pPr>
        <w:adjustRightInd w:val="0"/>
        <w:snapToGrid w:val="0"/>
        <w:spacing w:line="360" w:lineRule="auto"/>
        <w:jc w:val="both"/>
        <w:rPr>
          <w:rFonts w:ascii="Times New Roman" w:hAnsi="Times New Roman"/>
          <w:bCs/>
          <w:szCs w:val="24"/>
        </w:rPr>
      </w:pPr>
    </w:p>
    <w:p w14:paraId="38AFC09E" w14:textId="77777777" w:rsidR="00470987" w:rsidRPr="001167C1" w:rsidRDefault="00470987"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It is noteworthy to highlight that the nominal GDP per capita of India, compared to China's, underwent a significant shift over the period from 2000 to 2022. In 2000, India's nominal GDP per capita stood at 46% of China's, whereas by 2022, this proportion had declined substantially to just 19% of China's nominal GDP per capita. It implies that China has experienced rapid economic growth over the past few decades, with an average annual growth rate consistently higher than India's.</w:t>
      </w:r>
    </w:p>
    <w:p w14:paraId="497D4E95" w14:textId="77777777" w:rsidR="00470987" w:rsidRPr="001167C1" w:rsidRDefault="00470987" w:rsidP="001167C1">
      <w:pPr>
        <w:adjustRightInd w:val="0"/>
        <w:snapToGrid w:val="0"/>
        <w:spacing w:line="360" w:lineRule="auto"/>
        <w:jc w:val="both"/>
        <w:rPr>
          <w:rFonts w:ascii="Times New Roman" w:hAnsi="Times New Roman"/>
          <w:bCs/>
          <w:szCs w:val="24"/>
        </w:rPr>
      </w:pPr>
    </w:p>
    <w:p w14:paraId="673C7428" w14:textId="77777777" w:rsidR="00470987" w:rsidRPr="001167C1" w:rsidRDefault="00470987"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Firstly, it is evident that the United States consistently exhibits the highest nominal GDP per capita among the five countries throughout the entire period. Its value steadily increased from $36,329.96 in 2000 to $76,329.58 in 2022, indicating significant economic growth and prosperity.</w:t>
      </w:r>
    </w:p>
    <w:p w14:paraId="15410E0E" w14:textId="77777777" w:rsidR="00470987" w:rsidRPr="001167C1" w:rsidRDefault="00470987" w:rsidP="001167C1">
      <w:pPr>
        <w:adjustRightInd w:val="0"/>
        <w:snapToGrid w:val="0"/>
        <w:spacing w:line="360" w:lineRule="auto"/>
        <w:jc w:val="both"/>
        <w:rPr>
          <w:rFonts w:ascii="Times New Roman" w:hAnsi="Times New Roman"/>
          <w:bCs/>
          <w:szCs w:val="24"/>
        </w:rPr>
      </w:pPr>
    </w:p>
    <w:p w14:paraId="7BC4FBA9" w14:textId="77777777" w:rsidR="00470987" w:rsidRPr="001167C1" w:rsidRDefault="00470987"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Secondly, China, with its large population, showcases a remarkable transformation in its nominal GDP per capita. Starting at $959.36 in 2000, it experienced substantial growth, reaching $12,720.22 </w:t>
      </w:r>
      <w:r w:rsidRPr="001167C1">
        <w:rPr>
          <w:rFonts w:ascii="Times New Roman" w:hAnsi="Times New Roman"/>
          <w:bCs/>
          <w:szCs w:val="24"/>
        </w:rPr>
        <w:lastRenderedPageBreak/>
        <w:t>in 2022. This highlights China's emergence as a major economic powerhouse and its successful efforts in lifting millions of people out of poverty.</w:t>
      </w:r>
    </w:p>
    <w:p w14:paraId="4EF774A9" w14:textId="77777777" w:rsidR="00470987" w:rsidRPr="001167C1" w:rsidRDefault="00470987" w:rsidP="001167C1">
      <w:pPr>
        <w:adjustRightInd w:val="0"/>
        <w:snapToGrid w:val="0"/>
        <w:spacing w:line="360" w:lineRule="auto"/>
        <w:jc w:val="both"/>
        <w:rPr>
          <w:rFonts w:ascii="Times New Roman" w:hAnsi="Times New Roman"/>
          <w:bCs/>
          <w:szCs w:val="24"/>
        </w:rPr>
      </w:pPr>
    </w:p>
    <w:p w14:paraId="06435163" w14:textId="77777777" w:rsidR="00470987" w:rsidRPr="001167C1" w:rsidRDefault="00470987"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Thirdly, Hong Kong consistently maintains a high level of nominal GDP per capita, positioning itself as one of the wealthiest regions in the dataset. Although it experienced slight fluctuations over the years, its value remained relatively stable, ranging from $23,983.62 in 2022 to $28,224.10 in 2006.</w:t>
      </w:r>
    </w:p>
    <w:p w14:paraId="5F95FC35" w14:textId="77777777" w:rsidR="00470987" w:rsidRPr="001167C1" w:rsidRDefault="00470987" w:rsidP="001167C1">
      <w:pPr>
        <w:adjustRightInd w:val="0"/>
        <w:snapToGrid w:val="0"/>
        <w:spacing w:line="360" w:lineRule="auto"/>
        <w:jc w:val="both"/>
        <w:rPr>
          <w:rFonts w:ascii="Times New Roman" w:hAnsi="Times New Roman"/>
          <w:bCs/>
          <w:szCs w:val="24"/>
        </w:rPr>
      </w:pPr>
    </w:p>
    <w:p w14:paraId="17F974C4" w14:textId="77777777" w:rsidR="00470987" w:rsidRPr="001167C1" w:rsidRDefault="00470987"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Fourthly, the United Kingdom's nominal GDP per capita demonstrates a gradual increase over time, with fluctuations in growth rates. It started at $28,280.93 in 2000, peaking at $46,869.76 in 2021. This suggests a steady economic development and affluence in the country.</w:t>
      </w:r>
    </w:p>
    <w:p w14:paraId="5801522D" w14:textId="77777777" w:rsidR="00470987" w:rsidRPr="001167C1" w:rsidRDefault="00470987" w:rsidP="001167C1">
      <w:pPr>
        <w:adjustRightInd w:val="0"/>
        <w:snapToGrid w:val="0"/>
        <w:spacing w:line="360" w:lineRule="auto"/>
        <w:jc w:val="both"/>
        <w:rPr>
          <w:rFonts w:ascii="Times New Roman" w:hAnsi="Times New Roman"/>
          <w:bCs/>
          <w:szCs w:val="24"/>
        </w:rPr>
      </w:pPr>
    </w:p>
    <w:p w14:paraId="45BA736C" w14:textId="77777777" w:rsidR="00470987" w:rsidRPr="001167C1" w:rsidRDefault="00470987"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Lastly, India's nominal GDP per capita shows a consistent upward trend, albeit from a relatively low starting point of $442.03 in 2000. It experienced significant growth, reaching $2,410.89 in 2022, indicating substantial progress in its economy and living standards.</w:t>
      </w:r>
    </w:p>
    <w:p w14:paraId="7636A432" w14:textId="77777777" w:rsidR="00470987" w:rsidRPr="001167C1" w:rsidRDefault="00470987" w:rsidP="001167C1">
      <w:pPr>
        <w:adjustRightInd w:val="0"/>
        <w:snapToGrid w:val="0"/>
        <w:spacing w:line="360" w:lineRule="auto"/>
        <w:jc w:val="both"/>
        <w:rPr>
          <w:rFonts w:ascii="Times New Roman" w:hAnsi="Times New Roman"/>
          <w:b/>
          <w:bCs/>
          <w:szCs w:val="24"/>
        </w:rPr>
      </w:pPr>
    </w:p>
    <w:p w14:paraId="22468F0C" w14:textId="0C833083" w:rsidR="0027453D" w:rsidRPr="001167C1" w:rsidRDefault="00F5797D" w:rsidP="001167C1">
      <w:pPr>
        <w:adjustRightInd w:val="0"/>
        <w:snapToGrid w:val="0"/>
        <w:spacing w:line="360" w:lineRule="auto"/>
        <w:jc w:val="both"/>
        <w:rPr>
          <w:rFonts w:ascii="Times New Roman" w:hAnsi="Times New Roman"/>
          <w:bCs/>
          <w:szCs w:val="24"/>
        </w:rPr>
      </w:pPr>
      <w:bookmarkStart w:id="4" w:name="_Hlk156036807"/>
      <w:r w:rsidRPr="001167C1">
        <w:rPr>
          <w:rFonts w:ascii="Times New Roman" w:hAnsi="Times New Roman"/>
          <w:bCs/>
          <w:szCs w:val="24"/>
        </w:rPr>
        <w:t xml:space="preserve">To analyze the trends depicted in Table 1, a time plot graph has been constructed to visually represent the data. The time plot graph provides a graphical representation of the dataset, enabling a more comprehensive understanding of the patterns and changes observed over the specified </w:t>
      </w:r>
      <w:proofErr w:type="gramStart"/>
      <w:r w:rsidRPr="001167C1">
        <w:rPr>
          <w:rFonts w:ascii="Times New Roman" w:hAnsi="Times New Roman"/>
          <w:bCs/>
          <w:szCs w:val="24"/>
        </w:rPr>
        <w:t>time period</w:t>
      </w:r>
      <w:proofErr w:type="gramEnd"/>
      <w:r w:rsidRPr="001167C1">
        <w:rPr>
          <w:rFonts w:ascii="Times New Roman" w:hAnsi="Times New Roman"/>
          <w:bCs/>
          <w:szCs w:val="24"/>
        </w:rPr>
        <w:t>.</w:t>
      </w:r>
    </w:p>
    <w:p w14:paraId="0D30F27F" w14:textId="21D1A5AE" w:rsidR="00782BD1" w:rsidRPr="001167C1" w:rsidRDefault="00782BD1" w:rsidP="001167C1">
      <w:pPr>
        <w:widowControl/>
        <w:spacing w:line="360" w:lineRule="auto"/>
        <w:rPr>
          <w:rFonts w:ascii="Times New Roman" w:hAnsi="Times New Roman"/>
          <w:bCs/>
          <w:szCs w:val="24"/>
        </w:rPr>
      </w:pPr>
      <w:r w:rsidRPr="001167C1">
        <w:rPr>
          <w:rFonts w:ascii="Times New Roman" w:hAnsi="Times New Roman"/>
          <w:bCs/>
          <w:szCs w:val="24"/>
        </w:rPr>
        <w:br w:type="page"/>
      </w:r>
    </w:p>
    <w:p w14:paraId="02CDD4C3" w14:textId="77777777" w:rsidR="00CF29E3" w:rsidRPr="001167C1" w:rsidRDefault="00CF29E3" w:rsidP="001167C1">
      <w:pPr>
        <w:adjustRightInd w:val="0"/>
        <w:snapToGrid w:val="0"/>
        <w:spacing w:line="360" w:lineRule="auto"/>
        <w:jc w:val="both"/>
        <w:rPr>
          <w:rFonts w:ascii="Times New Roman" w:hAnsi="Times New Roman"/>
          <w:bCs/>
          <w:szCs w:val="24"/>
        </w:rPr>
      </w:pPr>
    </w:p>
    <w:p w14:paraId="7E7323DC" w14:textId="51B6E608" w:rsidR="00CF29E3" w:rsidRPr="001167C1" w:rsidRDefault="003B6D8C"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Graph</w:t>
      </w:r>
      <w:r w:rsidR="00F24852" w:rsidRPr="001167C1">
        <w:rPr>
          <w:rFonts w:ascii="Times New Roman" w:hAnsi="Times New Roman"/>
          <w:bCs/>
          <w:szCs w:val="24"/>
        </w:rPr>
        <w:t xml:space="preserve"> </w:t>
      </w:r>
      <w:proofErr w:type="gramStart"/>
      <w:r w:rsidR="00F24852" w:rsidRPr="001167C1">
        <w:rPr>
          <w:rFonts w:ascii="Times New Roman" w:hAnsi="Times New Roman"/>
          <w:bCs/>
          <w:szCs w:val="24"/>
        </w:rPr>
        <w:t>2</w:t>
      </w:r>
      <w:r w:rsidRPr="001167C1">
        <w:rPr>
          <w:rFonts w:ascii="Times New Roman" w:hAnsi="Times New Roman"/>
          <w:bCs/>
          <w:szCs w:val="24"/>
        </w:rPr>
        <w:t xml:space="preserve"> :</w:t>
      </w:r>
      <w:proofErr w:type="gramEnd"/>
      <w:r w:rsidRPr="001167C1">
        <w:rPr>
          <w:rFonts w:ascii="Times New Roman" w:hAnsi="Times New Roman"/>
          <w:bCs/>
          <w:szCs w:val="24"/>
        </w:rPr>
        <w:t xml:space="preserve"> Time plot of nominal GDP per capita in the selected countries: 2000 to 2022 (US$,000)</w:t>
      </w:r>
    </w:p>
    <w:tbl>
      <w:tblPr>
        <w:tblStyle w:val="af6"/>
        <w:tblW w:w="0" w:type="auto"/>
        <w:tblLook w:val="04A0" w:firstRow="1" w:lastRow="0" w:firstColumn="1" w:lastColumn="0" w:noHBand="0" w:noVBand="1"/>
      </w:tblPr>
      <w:tblGrid>
        <w:gridCol w:w="9126"/>
      </w:tblGrid>
      <w:tr w:rsidR="00C56EAA" w:rsidRPr="001167C1" w14:paraId="02E14E72" w14:textId="77777777" w:rsidTr="009B217A">
        <w:trPr>
          <w:trHeight w:val="5718"/>
        </w:trPr>
        <w:tc>
          <w:tcPr>
            <w:tcW w:w="9126" w:type="dxa"/>
            <w:vAlign w:val="center"/>
          </w:tcPr>
          <w:p w14:paraId="0A47E322" w14:textId="1399A3FD" w:rsidR="0027453D" w:rsidRPr="001167C1" w:rsidRDefault="00042B67" w:rsidP="001167C1">
            <w:pPr>
              <w:adjustRightInd w:val="0"/>
              <w:snapToGrid w:val="0"/>
              <w:spacing w:line="360" w:lineRule="auto"/>
              <w:jc w:val="center"/>
              <w:rPr>
                <w:rFonts w:ascii="Times New Roman" w:hAnsi="Times New Roman"/>
                <w:bCs/>
                <w:szCs w:val="24"/>
              </w:rPr>
            </w:pPr>
            <w:r w:rsidRPr="001167C1">
              <w:rPr>
                <w:rFonts w:ascii="Times New Roman" w:hAnsi="Times New Roman"/>
                <w:bCs/>
                <w:noProof/>
                <w:szCs w:val="24"/>
              </w:rPr>
              <w:drawing>
                <wp:inline distT="0" distB="0" distL="0" distR="0" wp14:anchorId="0834CFD2" wp14:editId="7EF99E29">
                  <wp:extent cx="5486400" cy="3200400"/>
                  <wp:effectExtent l="0" t="0" r="0" b="0"/>
                  <wp:docPr id="2071949982" name="圖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c>
      </w:tr>
      <w:tr w:rsidR="00C56EAA" w:rsidRPr="001167C1" w14:paraId="2BD6A662" w14:textId="77777777" w:rsidTr="009B217A">
        <w:tc>
          <w:tcPr>
            <w:tcW w:w="9126" w:type="dxa"/>
            <w:vAlign w:val="center"/>
          </w:tcPr>
          <w:p w14:paraId="188B1CA5" w14:textId="0DBEBAB7" w:rsidR="0027453D" w:rsidRPr="001167C1" w:rsidRDefault="0027453D"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Sources</w:t>
            </w:r>
            <w:r w:rsidR="00E846B0" w:rsidRPr="001167C1">
              <w:rPr>
                <w:rFonts w:ascii="Times New Roman" w:hAnsi="Times New Roman"/>
                <w:bCs/>
                <w:szCs w:val="24"/>
              </w:rPr>
              <w:t>:</w:t>
            </w:r>
            <w:r w:rsidR="000F73BB" w:rsidRPr="001167C1">
              <w:rPr>
                <w:rFonts w:ascii="Times New Roman" w:hAnsi="Times New Roman"/>
                <w:bCs/>
                <w:szCs w:val="24"/>
              </w:rPr>
              <w:t xml:space="preserve"> The dataset listed in Table 1</w:t>
            </w:r>
          </w:p>
        </w:tc>
      </w:tr>
      <w:bookmarkEnd w:id="4"/>
    </w:tbl>
    <w:p w14:paraId="10A89DF4" w14:textId="77777777" w:rsidR="00F173F6" w:rsidRPr="001167C1" w:rsidRDefault="00F173F6" w:rsidP="001167C1">
      <w:pPr>
        <w:adjustRightInd w:val="0"/>
        <w:snapToGrid w:val="0"/>
        <w:spacing w:line="360" w:lineRule="auto"/>
        <w:jc w:val="both"/>
        <w:rPr>
          <w:rFonts w:ascii="Times New Roman" w:hAnsi="Times New Roman"/>
          <w:szCs w:val="24"/>
        </w:rPr>
      </w:pPr>
    </w:p>
    <w:p w14:paraId="1C88B647" w14:textId="0629E7A7" w:rsidR="008B1488" w:rsidRPr="001167C1" w:rsidRDefault="00DF35EC"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 xml:space="preserve">The nominal GDP per capita exhibits a persistent upward trend over the years, with occasional declines at specific junctures attributed to </w:t>
      </w:r>
      <w:proofErr w:type="gramStart"/>
      <w:r w:rsidRPr="001167C1">
        <w:rPr>
          <w:rFonts w:ascii="Times New Roman" w:hAnsi="Times New Roman"/>
          <w:szCs w:val="24"/>
        </w:rPr>
        <w:t>particular issues</w:t>
      </w:r>
      <w:proofErr w:type="gramEnd"/>
      <w:r w:rsidRPr="001167C1">
        <w:rPr>
          <w:rFonts w:ascii="Times New Roman" w:hAnsi="Times New Roman"/>
          <w:szCs w:val="24"/>
        </w:rPr>
        <w:t>. However, the overall trajectory indicates a continuous increase, rendering it an indicative measure of progressive growth.</w:t>
      </w:r>
      <w:r w:rsidR="00965593" w:rsidRPr="001167C1">
        <w:rPr>
          <w:rFonts w:ascii="Times New Roman" w:hAnsi="Times New Roman"/>
          <w:szCs w:val="24"/>
        </w:rPr>
        <w:t xml:space="preserve"> </w:t>
      </w:r>
      <w:r w:rsidR="008B1488" w:rsidRPr="001167C1">
        <w:rPr>
          <w:rFonts w:ascii="Times New Roman" w:hAnsi="Times New Roman"/>
          <w:szCs w:val="24"/>
        </w:rPr>
        <w:t>By connecting a line between the initial and final data points within the dataset, it becomes evident that all five countries manifest a discernible upward trend.</w:t>
      </w:r>
    </w:p>
    <w:p w14:paraId="122F27BE" w14:textId="77777777" w:rsidR="0033082C" w:rsidRPr="001167C1" w:rsidRDefault="0033082C" w:rsidP="001167C1">
      <w:pPr>
        <w:adjustRightInd w:val="0"/>
        <w:snapToGrid w:val="0"/>
        <w:spacing w:line="360" w:lineRule="auto"/>
        <w:jc w:val="both"/>
        <w:rPr>
          <w:rFonts w:ascii="Times New Roman" w:hAnsi="Times New Roman"/>
          <w:szCs w:val="24"/>
        </w:rPr>
      </w:pPr>
    </w:p>
    <w:p w14:paraId="45BDAAB2" w14:textId="4E85CDCB" w:rsidR="002A2729" w:rsidRPr="001167C1" w:rsidRDefault="003B6D8C"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 xml:space="preserve">Graph </w:t>
      </w:r>
      <w:r w:rsidR="00F24852" w:rsidRPr="001167C1">
        <w:rPr>
          <w:rFonts w:ascii="Times New Roman" w:hAnsi="Times New Roman"/>
          <w:szCs w:val="24"/>
        </w:rPr>
        <w:t>2</w:t>
      </w:r>
      <w:r w:rsidR="00CF29E3" w:rsidRPr="001167C1">
        <w:rPr>
          <w:rFonts w:ascii="Times New Roman" w:hAnsi="Times New Roman"/>
          <w:szCs w:val="24"/>
        </w:rPr>
        <w:t xml:space="preserve"> </w:t>
      </w:r>
      <w:r w:rsidR="0033082C" w:rsidRPr="001167C1">
        <w:rPr>
          <w:rFonts w:ascii="Times New Roman" w:hAnsi="Times New Roman"/>
          <w:szCs w:val="24"/>
        </w:rPr>
        <w:t xml:space="preserve">illustrates the trend of a variable in Hong Kong over a specific </w:t>
      </w:r>
      <w:proofErr w:type="gramStart"/>
      <w:r w:rsidR="0033082C" w:rsidRPr="001167C1">
        <w:rPr>
          <w:rFonts w:ascii="Times New Roman" w:hAnsi="Times New Roman"/>
          <w:szCs w:val="24"/>
        </w:rPr>
        <w:t>time period</w:t>
      </w:r>
      <w:proofErr w:type="gramEnd"/>
      <w:r w:rsidR="0033082C" w:rsidRPr="001167C1">
        <w:rPr>
          <w:rFonts w:ascii="Times New Roman" w:hAnsi="Times New Roman"/>
          <w:szCs w:val="24"/>
        </w:rPr>
        <w:t xml:space="preserve">. From 2000 to 2003, there was a slight decline in the variable. Subsequently, there was a gradual increase from 2003 to 2008. However, between 2008 and 2009, a slight decrease was observed. </w:t>
      </w:r>
      <w:proofErr w:type="gramStart"/>
      <w:r w:rsidR="0033082C" w:rsidRPr="001167C1">
        <w:rPr>
          <w:rFonts w:ascii="Times New Roman" w:hAnsi="Times New Roman"/>
          <w:szCs w:val="24"/>
        </w:rPr>
        <w:t>Following this, there</w:t>
      </w:r>
      <w:proofErr w:type="gramEnd"/>
      <w:r w:rsidR="0033082C" w:rsidRPr="001167C1">
        <w:rPr>
          <w:rFonts w:ascii="Times New Roman" w:hAnsi="Times New Roman"/>
          <w:szCs w:val="24"/>
        </w:rPr>
        <w:t xml:space="preserve"> was a steady increase in the variable from 2009 to 2018. From 2018 to 2019, the slope of the graph remained relatively flat, indicating no significant increase or decrease. However, between 2019 and 2020, there was a noticeable drop in the variable. From 2020 to 2021, there was an increase, albeit a slightly downward trend was observed from 2021 to 2022.</w:t>
      </w:r>
    </w:p>
    <w:p w14:paraId="126F6A68" w14:textId="77777777" w:rsidR="00F6197B" w:rsidRPr="001167C1" w:rsidRDefault="00F6197B" w:rsidP="001167C1">
      <w:pPr>
        <w:adjustRightInd w:val="0"/>
        <w:snapToGrid w:val="0"/>
        <w:spacing w:line="360" w:lineRule="auto"/>
        <w:jc w:val="both"/>
        <w:rPr>
          <w:rFonts w:ascii="Times New Roman" w:hAnsi="Times New Roman"/>
          <w:szCs w:val="24"/>
        </w:rPr>
      </w:pPr>
    </w:p>
    <w:p w14:paraId="772233A2" w14:textId="6B373E2D" w:rsidR="002A2729" w:rsidRPr="001167C1" w:rsidRDefault="00DE483A"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 xml:space="preserve">Among the countries under consideration, the United Kingdom exhibits the highest level of </w:t>
      </w:r>
      <w:r w:rsidRPr="001167C1">
        <w:rPr>
          <w:rFonts w:ascii="Times New Roman" w:hAnsi="Times New Roman"/>
          <w:szCs w:val="24"/>
        </w:rPr>
        <w:lastRenderedPageBreak/>
        <w:t xml:space="preserve">fluctuation in the given </w:t>
      </w:r>
      <w:proofErr w:type="gramStart"/>
      <w:r w:rsidRPr="001167C1">
        <w:rPr>
          <w:rFonts w:ascii="Times New Roman" w:hAnsi="Times New Roman"/>
          <w:szCs w:val="24"/>
        </w:rPr>
        <w:t>time period</w:t>
      </w:r>
      <w:proofErr w:type="gramEnd"/>
      <w:r w:rsidRPr="001167C1">
        <w:rPr>
          <w:rFonts w:ascii="Times New Roman" w:hAnsi="Times New Roman"/>
          <w:szCs w:val="24"/>
        </w:rPr>
        <w:t>. From 2000 to 2007, the UK experienced a period of significant growth characterized by a higher growth rate compared to Hong Kong. This growth phase is indicated by a steeper slope in the graph. In 2009, the UK witnessed a substantial drop, whereas other advanced countries also experienced declines during this period, albeit not of significant magnitude. Subsequently, the UK demonstrated steady growth from 2009 to 2014. However, the years 2014 to 2017 were marked by a decline in the UK's variable. From 2017 to 2018, there was a growth phase, followed by a drop in the variable from 2018 to 2020. In 2020 to 2021, there was a significant growth observed. Finally, a slight decline was observed in the period 2021 to 2022.</w:t>
      </w:r>
    </w:p>
    <w:p w14:paraId="588BFB56" w14:textId="77777777" w:rsidR="00DE483A" w:rsidRPr="001167C1" w:rsidRDefault="00DE483A" w:rsidP="001167C1">
      <w:pPr>
        <w:adjustRightInd w:val="0"/>
        <w:snapToGrid w:val="0"/>
        <w:spacing w:line="360" w:lineRule="auto"/>
        <w:jc w:val="both"/>
        <w:rPr>
          <w:rFonts w:ascii="Times New Roman" w:hAnsi="Times New Roman"/>
          <w:szCs w:val="24"/>
        </w:rPr>
      </w:pPr>
    </w:p>
    <w:p w14:paraId="68FCFC77" w14:textId="24D342DC" w:rsidR="00F5797D" w:rsidRPr="001167C1" w:rsidRDefault="008B1488"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During the period from 2005 to 2007, the United Kingdom underwent a notable phase of rapid growth, as evidenced by the steepness of the trend line surpassing that of other countries, including the United States, particularly in 2007.</w:t>
      </w:r>
      <w:r w:rsidR="00406242" w:rsidRPr="001167C1">
        <w:rPr>
          <w:rFonts w:ascii="Times New Roman" w:hAnsi="Times New Roman"/>
          <w:szCs w:val="24"/>
        </w:rPr>
        <w:t xml:space="preserve"> This can be contributed by</w:t>
      </w:r>
      <w:r w:rsidR="008C1EDB" w:rsidRPr="001167C1">
        <w:rPr>
          <w:rFonts w:ascii="Times New Roman" w:hAnsi="Times New Roman"/>
          <w:szCs w:val="24"/>
        </w:rPr>
        <w:t xml:space="preserve"> stability and favorable economic conditions created by the </w:t>
      </w:r>
      <w:proofErr w:type="spellStart"/>
      <w:r w:rsidR="008C1EDB" w:rsidRPr="001167C1">
        <w:rPr>
          <w:rFonts w:ascii="Times New Roman" w:hAnsi="Times New Roman"/>
          <w:szCs w:val="24"/>
        </w:rPr>
        <w:t>Labour</w:t>
      </w:r>
      <w:proofErr w:type="spellEnd"/>
      <w:r w:rsidR="008C1EDB" w:rsidRPr="001167C1">
        <w:rPr>
          <w:rFonts w:ascii="Times New Roman" w:hAnsi="Times New Roman"/>
          <w:szCs w:val="24"/>
        </w:rPr>
        <w:t xml:space="preserve"> government under Prime Minister Tony Blair. The government implemented various policies focused on economic growth, including investment in infrastructure, education, and healthcare. These measures contributed to a positive business environment, attracting both domestic and foreign investment (The London School of Economics and Political Science, 2011)</w:t>
      </w:r>
      <w:r w:rsidR="00935932" w:rsidRPr="001167C1">
        <w:rPr>
          <w:rFonts w:ascii="Times New Roman" w:hAnsi="Times New Roman"/>
          <w:szCs w:val="24"/>
        </w:rPr>
        <w:t>.</w:t>
      </w:r>
    </w:p>
    <w:p w14:paraId="6E702692" w14:textId="77777777" w:rsidR="008C1EDB" w:rsidRPr="001167C1" w:rsidRDefault="008C1EDB" w:rsidP="001167C1">
      <w:pPr>
        <w:adjustRightInd w:val="0"/>
        <w:snapToGrid w:val="0"/>
        <w:spacing w:line="360" w:lineRule="auto"/>
        <w:jc w:val="both"/>
        <w:rPr>
          <w:rFonts w:ascii="Times New Roman" w:hAnsi="Times New Roman"/>
          <w:szCs w:val="24"/>
        </w:rPr>
      </w:pPr>
    </w:p>
    <w:p w14:paraId="615BFAEE" w14:textId="2D59E3CA" w:rsidR="003D0964" w:rsidRPr="001167C1" w:rsidRDefault="002F69D7"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 xml:space="preserve">During the early to mid-2000s, the global economy experienced a significant boom characterized by strong economic growth, low interest rates, and increased trade and investment. The United Kingdom, being a prominent player in the global economy, enjoyed the advantages of this favorable international economic environment. This period witnessed a surge in consumer spending and a thriving housing market in the UK. Consumer confidence was boosted by low interest rates and easy credit availability, leading to substantial economic growth. </w:t>
      </w:r>
      <w:r w:rsidR="00970897" w:rsidRPr="001167C1">
        <w:rPr>
          <w:rFonts w:ascii="Times New Roman" w:hAnsi="Times New Roman"/>
          <w:szCs w:val="24"/>
        </w:rPr>
        <w:t>(</w:t>
      </w:r>
      <w:r w:rsidR="003D0964" w:rsidRPr="001167C1">
        <w:rPr>
          <w:rFonts w:ascii="Times New Roman" w:hAnsi="Times New Roman"/>
          <w:szCs w:val="24"/>
        </w:rPr>
        <w:t>Mortgage Strategy, 2018).</w:t>
      </w:r>
    </w:p>
    <w:p w14:paraId="6FC0DDAA" w14:textId="77777777" w:rsidR="00986A2E" w:rsidRPr="001167C1" w:rsidRDefault="00986A2E" w:rsidP="001167C1">
      <w:pPr>
        <w:adjustRightInd w:val="0"/>
        <w:snapToGrid w:val="0"/>
        <w:spacing w:line="360" w:lineRule="auto"/>
        <w:jc w:val="both"/>
        <w:rPr>
          <w:rFonts w:ascii="Times New Roman" w:hAnsi="Times New Roman"/>
          <w:szCs w:val="24"/>
        </w:rPr>
      </w:pPr>
    </w:p>
    <w:p w14:paraId="2E0C5EEA" w14:textId="6C2FD9E3" w:rsidR="00986A2E" w:rsidRPr="001167C1" w:rsidRDefault="00D11C12"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During the period of 2007-2009, the United Kingdom experienced a significant decline in economic performance, whereas the United States and other countries demonstrated relative stability. This divergence in economic trajectories can be attributed to the occurrence of the global financial crisis during that time, which had a profound impact on the UK economy. (TURNER, 2023)</w:t>
      </w:r>
    </w:p>
    <w:p w14:paraId="1C65A047" w14:textId="77777777" w:rsidR="008C1EDB" w:rsidRPr="001167C1" w:rsidRDefault="008C1EDB" w:rsidP="001167C1">
      <w:pPr>
        <w:adjustRightInd w:val="0"/>
        <w:snapToGrid w:val="0"/>
        <w:spacing w:line="360" w:lineRule="auto"/>
        <w:jc w:val="both"/>
        <w:rPr>
          <w:rFonts w:ascii="Times New Roman" w:hAnsi="Times New Roman"/>
          <w:szCs w:val="24"/>
        </w:rPr>
      </w:pPr>
    </w:p>
    <w:p w14:paraId="43D4DF61" w14:textId="6B5B5D2A" w:rsidR="00D11C12" w:rsidRPr="001167C1" w:rsidRDefault="00401A65"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In the observed period, both India and China exhibited a gradual and consistent upward trend in their economic performance. However, it is noteworthy that China's growth rate surpassed that of India during this period.</w:t>
      </w:r>
    </w:p>
    <w:p w14:paraId="6BA592DB" w14:textId="77777777" w:rsidR="00401A65" w:rsidRPr="001167C1" w:rsidRDefault="00401A65" w:rsidP="001167C1">
      <w:pPr>
        <w:adjustRightInd w:val="0"/>
        <w:snapToGrid w:val="0"/>
        <w:spacing w:line="360" w:lineRule="auto"/>
        <w:jc w:val="both"/>
        <w:rPr>
          <w:rFonts w:ascii="Times New Roman" w:hAnsi="Times New Roman"/>
          <w:szCs w:val="24"/>
        </w:rPr>
      </w:pPr>
    </w:p>
    <w:p w14:paraId="04ED93E0" w14:textId="2B2B2FCA" w:rsidR="00401A65" w:rsidRPr="001167C1" w:rsidRDefault="00401A65"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lastRenderedPageBreak/>
        <w:t xml:space="preserve">Table </w:t>
      </w:r>
      <w:r w:rsidR="009768AD" w:rsidRPr="001167C1">
        <w:rPr>
          <w:rFonts w:ascii="Times New Roman" w:hAnsi="Times New Roman"/>
          <w:bCs/>
          <w:szCs w:val="24"/>
        </w:rPr>
        <w:t>6</w:t>
      </w:r>
      <w:r w:rsidRPr="001167C1">
        <w:rPr>
          <w:rFonts w:ascii="Times New Roman" w:hAnsi="Times New Roman"/>
          <w:bCs/>
          <w:szCs w:val="24"/>
        </w:rPr>
        <w:t xml:space="preserve"> Major summary statistics of nominal GDP per capita in selected countries: 2000 to 2022 (US$,000)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5"/>
        <w:gridCol w:w="1344"/>
        <w:gridCol w:w="1375"/>
        <w:gridCol w:w="1605"/>
        <w:gridCol w:w="1506"/>
        <w:gridCol w:w="1623"/>
      </w:tblGrid>
      <w:tr w:rsidR="00401A65" w:rsidRPr="001167C1" w14:paraId="46E2CF2C" w14:textId="77777777" w:rsidTr="003747DD">
        <w:tc>
          <w:tcPr>
            <w:tcW w:w="2175" w:type="dxa"/>
            <w:shd w:val="clear" w:color="auto" w:fill="auto"/>
            <w:vAlign w:val="center"/>
          </w:tcPr>
          <w:p w14:paraId="294E9BAB"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Summar statistics</w:t>
            </w:r>
          </w:p>
        </w:tc>
        <w:tc>
          <w:tcPr>
            <w:tcW w:w="1344" w:type="dxa"/>
            <w:vAlign w:val="center"/>
          </w:tcPr>
          <w:p w14:paraId="47B6B7CD"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Hong Kong</w:t>
            </w:r>
          </w:p>
        </w:tc>
        <w:tc>
          <w:tcPr>
            <w:tcW w:w="1375" w:type="dxa"/>
            <w:vAlign w:val="center"/>
          </w:tcPr>
          <w:p w14:paraId="47B614A8"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United Kingdom</w:t>
            </w:r>
          </w:p>
        </w:tc>
        <w:tc>
          <w:tcPr>
            <w:tcW w:w="1605" w:type="dxa"/>
            <w:shd w:val="clear" w:color="auto" w:fill="auto"/>
            <w:vAlign w:val="center"/>
          </w:tcPr>
          <w:p w14:paraId="2F433B10"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United States</w:t>
            </w:r>
          </w:p>
        </w:tc>
        <w:tc>
          <w:tcPr>
            <w:tcW w:w="1506" w:type="dxa"/>
            <w:shd w:val="clear" w:color="auto" w:fill="auto"/>
            <w:vAlign w:val="center"/>
          </w:tcPr>
          <w:p w14:paraId="413D99F9"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India</w:t>
            </w:r>
          </w:p>
        </w:tc>
        <w:tc>
          <w:tcPr>
            <w:tcW w:w="1623" w:type="dxa"/>
            <w:vAlign w:val="center"/>
          </w:tcPr>
          <w:p w14:paraId="7348B208"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China</w:t>
            </w:r>
          </w:p>
        </w:tc>
      </w:tr>
      <w:tr w:rsidR="00401A65" w:rsidRPr="001167C1" w14:paraId="28791129" w14:textId="77777777" w:rsidTr="003747DD">
        <w:tc>
          <w:tcPr>
            <w:tcW w:w="2175" w:type="dxa"/>
            <w:shd w:val="clear" w:color="auto" w:fill="auto"/>
            <w:vAlign w:val="center"/>
          </w:tcPr>
          <w:p w14:paraId="0632A4FA"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Growth rate from 2000 to 2022</w:t>
            </w:r>
          </w:p>
        </w:tc>
        <w:tc>
          <w:tcPr>
            <w:tcW w:w="1344" w:type="dxa"/>
            <w:vAlign w:val="bottom"/>
          </w:tcPr>
          <w:p w14:paraId="5FEFC410" w14:textId="77777777" w:rsidR="00401A65" w:rsidRPr="001167C1" w:rsidRDefault="00401A65" w:rsidP="001167C1">
            <w:pPr>
              <w:adjustRightInd w:val="0"/>
              <w:snapToGrid w:val="0"/>
              <w:spacing w:line="360" w:lineRule="auto"/>
              <w:jc w:val="center"/>
              <w:rPr>
                <w:rFonts w:ascii="Times New Roman" w:hAnsi="Times New Roman"/>
                <w:szCs w:val="24"/>
              </w:rPr>
            </w:pPr>
            <w:r w:rsidRPr="001167C1">
              <w:rPr>
                <w:rFonts w:ascii="Times New Roman" w:hAnsi="Times New Roman"/>
                <w:color w:val="000000"/>
                <w:szCs w:val="24"/>
              </w:rPr>
              <w:t>90.18%</w:t>
            </w:r>
          </w:p>
        </w:tc>
        <w:tc>
          <w:tcPr>
            <w:tcW w:w="1375" w:type="dxa"/>
            <w:vAlign w:val="bottom"/>
          </w:tcPr>
          <w:p w14:paraId="0C419154" w14:textId="77777777" w:rsidR="00401A65" w:rsidRPr="001167C1" w:rsidRDefault="00401A65" w:rsidP="001167C1">
            <w:pPr>
              <w:adjustRightInd w:val="0"/>
              <w:snapToGrid w:val="0"/>
              <w:spacing w:line="360" w:lineRule="auto"/>
              <w:jc w:val="center"/>
              <w:rPr>
                <w:rFonts w:ascii="Times New Roman" w:hAnsi="Times New Roman"/>
                <w:szCs w:val="24"/>
              </w:rPr>
            </w:pPr>
            <w:r w:rsidRPr="001167C1">
              <w:rPr>
                <w:rFonts w:ascii="Times New Roman" w:hAnsi="Times New Roman"/>
                <w:color w:val="000000"/>
                <w:szCs w:val="24"/>
              </w:rPr>
              <w:t>63.10%</w:t>
            </w:r>
          </w:p>
        </w:tc>
        <w:tc>
          <w:tcPr>
            <w:tcW w:w="1605" w:type="dxa"/>
            <w:shd w:val="clear" w:color="auto" w:fill="auto"/>
            <w:vAlign w:val="bottom"/>
          </w:tcPr>
          <w:p w14:paraId="4A70EC20" w14:textId="77777777" w:rsidR="00401A65" w:rsidRPr="001167C1" w:rsidRDefault="00401A65" w:rsidP="001167C1">
            <w:pPr>
              <w:adjustRightInd w:val="0"/>
              <w:snapToGrid w:val="0"/>
              <w:spacing w:line="360" w:lineRule="auto"/>
              <w:jc w:val="center"/>
              <w:rPr>
                <w:rFonts w:ascii="Times New Roman" w:hAnsi="Times New Roman"/>
                <w:szCs w:val="24"/>
              </w:rPr>
            </w:pPr>
            <w:r w:rsidRPr="001167C1">
              <w:rPr>
                <w:rFonts w:ascii="Times New Roman" w:hAnsi="Times New Roman"/>
                <w:color w:val="000000"/>
                <w:szCs w:val="24"/>
              </w:rPr>
              <w:t>110.10%</w:t>
            </w:r>
          </w:p>
        </w:tc>
        <w:tc>
          <w:tcPr>
            <w:tcW w:w="1506" w:type="dxa"/>
            <w:shd w:val="clear" w:color="auto" w:fill="auto"/>
            <w:vAlign w:val="bottom"/>
          </w:tcPr>
          <w:p w14:paraId="691F72B2" w14:textId="77777777" w:rsidR="00401A65" w:rsidRPr="001167C1" w:rsidRDefault="00401A65" w:rsidP="001167C1">
            <w:pPr>
              <w:adjustRightInd w:val="0"/>
              <w:snapToGrid w:val="0"/>
              <w:spacing w:line="360" w:lineRule="auto"/>
              <w:jc w:val="center"/>
              <w:rPr>
                <w:rFonts w:ascii="Times New Roman" w:hAnsi="Times New Roman"/>
                <w:szCs w:val="24"/>
              </w:rPr>
            </w:pPr>
            <w:r w:rsidRPr="001167C1">
              <w:rPr>
                <w:rFonts w:ascii="Times New Roman" w:hAnsi="Times New Roman"/>
                <w:color w:val="000000"/>
                <w:szCs w:val="24"/>
              </w:rPr>
              <w:t>445.41%</w:t>
            </w:r>
          </w:p>
        </w:tc>
        <w:tc>
          <w:tcPr>
            <w:tcW w:w="1623" w:type="dxa"/>
            <w:vAlign w:val="bottom"/>
          </w:tcPr>
          <w:p w14:paraId="76800628" w14:textId="77777777" w:rsidR="00401A65" w:rsidRPr="001167C1" w:rsidRDefault="00401A65" w:rsidP="001167C1">
            <w:pPr>
              <w:adjustRightInd w:val="0"/>
              <w:snapToGrid w:val="0"/>
              <w:spacing w:line="360" w:lineRule="auto"/>
              <w:jc w:val="center"/>
              <w:rPr>
                <w:rFonts w:ascii="Times New Roman" w:hAnsi="Times New Roman"/>
                <w:szCs w:val="24"/>
              </w:rPr>
            </w:pPr>
            <w:r w:rsidRPr="001167C1">
              <w:rPr>
                <w:rFonts w:ascii="Times New Roman" w:hAnsi="Times New Roman"/>
                <w:color w:val="000000"/>
                <w:szCs w:val="24"/>
              </w:rPr>
              <w:t>1225.91%</w:t>
            </w:r>
          </w:p>
        </w:tc>
      </w:tr>
      <w:tr w:rsidR="00401A65" w:rsidRPr="001167C1" w14:paraId="1F3DE927" w14:textId="77777777" w:rsidTr="003747DD">
        <w:tc>
          <w:tcPr>
            <w:tcW w:w="2175" w:type="dxa"/>
            <w:shd w:val="clear" w:color="auto" w:fill="auto"/>
            <w:vAlign w:val="center"/>
          </w:tcPr>
          <w:p w14:paraId="479429A3" w14:textId="54407710"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 xml:space="preserve">Mean </w:t>
            </w:r>
          </w:p>
        </w:tc>
        <w:tc>
          <w:tcPr>
            <w:tcW w:w="1344" w:type="dxa"/>
            <w:vAlign w:val="center"/>
          </w:tcPr>
          <w:p w14:paraId="1A0E2098"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36063.59</w:t>
            </w:r>
          </w:p>
        </w:tc>
        <w:tc>
          <w:tcPr>
            <w:tcW w:w="1375" w:type="dxa"/>
            <w:vAlign w:val="center"/>
          </w:tcPr>
          <w:p w14:paraId="2B051A8C"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41082.70</w:t>
            </w:r>
          </w:p>
        </w:tc>
        <w:tc>
          <w:tcPr>
            <w:tcW w:w="1605" w:type="dxa"/>
            <w:shd w:val="clear" w:color="auto" w:fill="auto"/>
            <w:vAlign w:val="center"/>
          </w:tcPr>
          <w:p w14:paraId="7DD83097"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52103.98</w:t>
            </w:r>
          </w:p>
        </w:tc>
        <w:tc>
          <w:tcPr>
            <w:tcW w:w="1506" w:type="dxa"/>
            <w:shd w:val="clear" w:color="auto" w:fill="auto"/>
            <w:vAlign w:val="center"/>
          </w:tcPr>
          <w:p w14:paraId="69CD18D9"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1314.59</w:t>
            </w:r>
          </w:p>
        </w:tc>
        <w:tc>
          <w:tcPr>
            <w:tcW w:w="1623" w:type="dxa"/>
            <w:vAlign w:val="center"/>
          </w:tcPr>
          <w:p w14:paraId="7C3F30BE"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5723.95</w:t>
            </w:r>
          </w:p>
        </w:tc>
      </w:tr>
      <w:tr w:rsidR="00401A65" w:rsidRPr="001167C1" w14:paraId="1717088D" w14:textId="77777777" w:rsidTr="003747DD">
        <w:trPr>
          <w:trHeight w:val="526"/>
        </w:trPr>
        <w:tc>
          <w:tcPr>
            <w:tcW w:w="2175" w:type="dxa"/>
            <w:shd w:val="clear" w:color="auto" w:fill="auto"/>
            <w:vAlign w:val="center"/>
          </w:tcPr>
          <w:p w14:paraId="25264806"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Standard deviation</w:t>
            </w:r>
          </w:p>
        </w:tc>
        <w:tc>
          <w:tcPr>
            <w:tcW w:w="1344" w:type="dxa"/>
            <w:vAlign w:val="center"/>
          </w:tcPr>
          <w:p w14:paraId="48A5D343"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9179.85</w:t>
            </w:r>
          </w:p>
        </w:tc>
        <w:tc>
          <w:tcPr>
            <w:tcW w:w="1375" w:type="dxa"/>
            <w:vAlign w:val="center"/>
          </w:tcPr>
          <w:p w14:paraId="1CA69D50"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5959.22</w:t>
            </w:r>
          </w:p>
        </w:tc>
        <w:tc>
          <w:tcPr>
            <w:tcW w:w="1605" w:type="dxa"/>
            <w:shd w:val="clear" w:color="auto" w:fill="auto"/>
            <w:vAlign w:val="center"/>
          </w:tcPr>
          <w:p w14:paraId="3EEDD616"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10790.47</w:t>
            </w:r>
          </w:p>
        </w:tc>
        <w:tc>
          <w:tcPr>
            <w:tcW w:w="1506" w:type="dxa"/>
            <w:shd w:val="clear" w:color="auto" w:fill="auto"/>
            <w:vAlign w:val="center"/>
          </w:tcPr>
          <w:p w14:paraId="453AE388"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614.48</w:t>
            </w:r>
          </w:p>
        </w:tc>
        <w:tc>
          <w:tcPr>
            <w:tcW w:w="1623" w:type="dxa"/>
            <w:vAlign w:val="center"/>
          </w:tcPr>
          <w:p w14:paraId="7F37B491"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3888.10</w:t>
            </w:r>
          </w:p>
        </w:tc>
      </w:tr>
      <w:tr w:rsidR="00401A65" w:rsidRPr="001167C1" w14:paraId="54A73F65" w14:textId="77777777" w:rsidTr="003747DD">
        <w:trPr>
          <w:trHeight w:val="525"/>
        </w:trPr>
        <w:tc>
          <w:tcPr>
            <w:tcW w:w="2175" w:type="dxa"/>
            <w:shd w:val="clear" w:color="auto" w:fill="auto"/>
            <w:vAlign w:val="center"/>
          </w:tcPr>
          <w:p w14:paraId="69AFD606"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Coefficient of variation</w:t>
            </w:r>
          </w:p>
          <w:p w14:paraId="19B284FD"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(CV=SD/Mean)</w:t>
            </w:r>
          </w:p>
        </w:tc>
        <w:tc>
          <w:tcPr>
            <w:tcW w:w="1344" w:type="dxa"/>
            <w:vAlign w:val="center"/>
          </w:tcPr>
          <w:p w14:paraId="70A4AB75" w14:textId="2A73E3DF"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0.25</w:t>
            </w:r>
            <w:r w:rsidR="00F173F6" w:rsidRPr="001167C1">
              <w:rPr>
                <w:rFonts w:ascii="Times New Roman" w:hAnsi="Times New Roman"/>
                <w:bCs/>
                <w:szCs w:val="24"/>
              </w:rPr>
              <w:t>%</w:t>
            </w:r>
          </w:p>
        </w:tc>
        <w:tc>
          <w:tcPr>
            <w:tcW w:w="1375" w:type="dxa"/>
            <w:vAlign w:val="center"/>
          </w:tcPr>
          <w:p w14:paraId="7852A7A1" w14:textId="0D7E83B3"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0.15</w:t>
            </w:r>
            <w:r w:rsidR="00F173F6" w:rsidRPr="001167C1">
              <w:rPr>
                <w:rFonts w:ascii="Times New Roman" w:hAnsi="Times New Roman"/>
                <w:bCs/>
                <w:szCs w:val="24"/>
              </w:rPr>
              <w:t>%</w:t>
            </w:r>
          </w:p>
        </w:tc>
        <w:tc>
          <w:tcPr>
            <w:tcW w:w="1605" w:type="dxa"/>
            <w:shd w:val="clear" w:color="auto" w:fill="auto"/>
            <w:vAlign w:val="center"/>
          </w:tcPr>
          <w:p w14:paraId="15F5BCB5" w14:textId="4FAAFD08"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0.21</w:t>
            </w:r>
            <w:r w:rsidR="00F173F6" w:rsidRPr="001167C1">
              <w:rPr>
                <w:rFonts w:ascii="Times New Roman" w:hAnsi="Times New Roman"/>
                <w:bCs/>
                <w:szCs w:val="24"/>
              </w:rPr>
              <w:t>%</w:t>
            </w:r>
          </w:p>
        </w:tc>
        <w:tc>
          <w:tcPr>
            <w:tcW w:w="1506" w:type="dxa"/>
            <w:shd w:val="clear" w:color="auto" w:fill="auto"/>
            <w:vAlign w:val="center"/>
          </w:tcPr>
          <w:p w14:paraId="0F5530EB" w14:textId="4F70D851"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0.47</w:t>
            </w:r>
            <w:r w:rsidR="00F173F6" w:rsidRPr="001167C1">
              <w:rPr>
                <w:rFonts w:ascii="Times New Roman" w:hAnsi="Times New Roman"/>
                <w:bCs/>
                <w:szCs w:val="24"/>
              </w:rPr>
              <w:t>%</w:t>
            </w:r>
          </w:p>
        </w:tc>
        <w:tc>
          <w:tcPr>
            <w:tcW w:w="1623" w:type="dxa"/>
            <w:vAlign w:val="center"/>
          </w:tcPr>
          <w:p w14:paraId="52424D95" w14:textId="5D690C96"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0.68</w:t>
            </w:r>
            <w:r w:rsidR="00F173F6" w:rsidRPr="001167C1">
              <w:rPr>
                <w:rFonts w:ascii="Times New Roman" w:hAnsi="Times New Roman"/>
                <w:bCs/>
                <w:szCs w:val="24"/>
              </w:rPr>
              <w:t>%</w:t>
            </w:r>
          </w:p>
        </w:tc>
      </w:tr>
      <w:tr w:rsidR="00401A65" w:rsidRPr="001167C1" w14:paraId="2AA31CAF" w14:textId="77777777" w:rsidTr="003747DD">
        <w:tc>
          <w:tcPr>
            <w:tcW w:w="2175" w:type="dxa"/>
            <w:shd w:val="clear" w:color="auto" w:fill="auto"/>
            <w:vAlign w:val="center"/>
          </w:tcPr>
          <w:p w14:paraId="2F37DF9B" w14:textId="48247675"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 xml:space="preserve">Maximum </w:t>
            </w:r>
          </w:p>
        </w:tc>
        <w:tc>
          <w:tcPr>
            <w:tcW w:w="1344" w:type="dxa"/>
            <w:vAlign w:val="center"/>
          </w:tcPr>
          <w:p w14:paraId="0D8A15F4"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49764.79</w:t>
            </w:r>
          </w:p>
        </w:tc>
        <w:tc>
          <w:tcPr>
            <w:tcW w:w="1375" w:type="dxa"/>
            <w:vAlign w:val="center"/>
          </w:tcPr>
          <w:p w14:paraId="0578E08D"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50397.69</w:t>
            </w:r>
          </w:p>
        </w:tc>
        <w:tc>
          <w:tcPr>
            <w:tcW w:w="1605" w:type="dxa"/>
            <w:shd w:val="clear" w:color="auto" w:fill="auto"/>
            <w:vAlign w:val="center"/>
          </w:tcPr>
          <w:p w14:paraId="094B2976"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76329.58</w:t>
            </w:r>
          </w:p>
        </w:tc>
        <w:tc>
          <w:tcPr>
            <w:tcW w:w="1506" w:type="dxa"/>
            <w:shd w:val="clear" w:color="auto" w:fill="auto"/>
            <w:vAlign w:val="center"/>
          </w:tcPr>
          <w:p w14:paraId="23825C1A"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2410.89</w:t>
            </w:r>
          </w:p>
        </w:tc>
        <w:tc>
          <w:tcPr>
            <w:tcW w:w="1623" w:type="dxa"/>
            <w:vAlign w:val="center"/>
          </w:tcPr>
          <w:p w14:paraId="5B1408D1"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12720.22</w:t>
            </w:r>
          </w:p>
        </w:tc>
      </w:tr>
      <w:tr w:rsidR="00401A65" w:rsidRPr="001167C1" w14:paraId="56B3AA55" w14:textId="77777777" w:rsidTr="003747DD">
        <w:tc>
          <w:tcPr>
            <w:tcW w:w="2175" w:type="dxa"/>
            <w:shd w:val="clear" w:color="auto" w:fill="auto"/>
            <w:vAlign w:val="center"/>
          </w:tcPr>
          <w:p w14:paraId="4E90287C" w14:textId="39E13195"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 xml:space="preserve">Minimum </w:t>
            </w:r>
          </w:p>
        </w:tc>
        <w:tc>
          <w:tcPr>
            <w:tcW w:w="1344" w:type="dxa"/>
            <w:vAlign w:val="center"/>
          </w:tcPr>
          <w:p w14:paraId="0B6DFEC2"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23977.17</w:t>
            </w:r>
          </w:p>
        </w:tc>
        <w:tc>
          <w:tcPr>
            <w:tcW w:w="1375" w:type="dxa"/>
            <w:vAlign w:val="center"/>
          </w:tcPr>
          <w:p w14:paraId="15D3068F"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27906.57</w:t>
            </w:r>
          </w:p>
        </w:tc>
        <w:tc>
          <w:tcPr>
            <w:tcW w:w="1605" w:type="dxa"/>
            <w:shd w:val="clear" w:color="auto" w:fill="auto"/>
            <w:vAlign w:val="center"/>
          </w:tcPr>
          <w:p w14:paraId="5BAF6A9F"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36329.96</w:t>
            </w:r>
          </w:p>
        </w:tc>
        <w:tc>
          <w:tcPr>
            <w:tcW w:w="1506" w:type="dxa"/>
            <w:shd w:val="clear" w:color="auto" w:fill="auto"/>
            <w:vAlign w:val="center"/>
          </w:tcPr>
          <w:p w14:paraId="739A4B52"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442.03</w:t>
            </w:r>
          </w:p>
        </w:tc>
        <w:tc>
          <w:tcPr>
            <w:tcW w:w="1623" w:type="dxa"/>
            <w:vAlign w:val="center"/>
          </w:tcPr>
          <w:p w14:paraId="014888C5" w14:textId="77777777" w:rsidR="00401A65" w:rsidRPr="001167C1" w:rsidRDefault="00401A65"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959.36</w:t>
            </w:r>
          </w:p>
        </w:tc>
      </w:tr>
      <w:tr w:rsidR="00401A65" w:rsidRPr="001167C1" w14:paraId="4F13736B" w14:textId="77777777" w:rsidTr="003747DD">
        <w:trPr>
          <w:trHeight w:val="301"/>
        </w:trPr>
        <w:tc>
          <w:tcPr>
            <w:tcW w:w="9628" w:type="dxa"/>
            <w:gridSpan w:val="6"/>
          </w:tcPr>
          <w:p w14:paraId="459A64A2" w14:textId="77777777" w:rsidR="00401A65" w:rsidRPr="001167C1" w:rsidRDefault="00401A65"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Sources: Calculated from the dataset listed in Table 1</w:t>
            </w:r>
          </w:p>
        </w:tc>
      </w:tr>
    </w:tbl>
    <w:p w14:paraId="2CA5E23C" w14:textId="77777777" w:rsidR="00CF29E3" w:rsidRPr="001167C1" w:rsidRDefault="00CF29E3" w:rsidP="001167C1">
      <w:pPr>
        <w:adjustRightInd w:val="0"/>
        <w:snapToGrid w:val="0"/>
        <w:spacing w:line="360" w:lineRule="auto"/>
        <w:jc w:val="both"/>
        <w:rPr>
          <w:rFonts w:ascii="Times New Roman" w:hAnsi="Times New Roman"/>
          <w:szCs w:val="24"/>
        </w:rPr>
      </w:pPr>
    </w:p>
    <w:p w14:paraId="7BA3D0B4" w14:textId="3B4689C7" w:rsidR="00401A65" w:rsidRPr="001167C1" w:rsidRDefault="00F173F6" w:rsidP="001167C1">
      <w:pPr>
        <w:adjustRightInd w:val="0"/>
        <w:snapToGrid w:val="0"/>
        <w:spacing w:line="360" w:lineRule="auto"/>
        <w:jc w:val="both"/>
        <w:rPr>
          <w:rFonts w:ascii="Times New Roman" w:hAnsi="Times New Roman"/>
          <w:szCs w:val="24"/>
        </w:rPr>
      </w:pPr>
      <w:r w:rsidRPr="001167C1">
        <w:rPr>
          <w:rFonts w:ascii="Times New Roman" w:hAnsi="Times New Roman"/>
          <w:szCs w:val="24"/>
        </w:rPr>
        <w:t>T</w:t>
      </w:r>
      <w:r w:rsidR="00401A65" w:rsidRPr="001167C1">
        <w:rPr>
          <w:rFonts w:ascii="Times New Roman" w:hAnsi="Times New Roman"/>
          <w:szCs w:val="24"/>
        </w:rPr>
        <w:t>able</w:t>
      </w:r>
      <w:r w:rsidRPr="001167C1">
        <w:rPr>
          <w:rFonts w:ascii="Times New Roman" w:hAnsi="Times New Roman"/>
          <w:szCs w:val="24"/>
        </w:rPr>
        <w:t xml:space="preserve"> 6</w:t>
      </w:r>
      <w:r w:rsidR="00401A65" w:rsidRPr="001167C1">
        <w:rPr>
          <w:rFonts w:ascii="Times New Roman" w:hAnsi="Times New Roman"/>
          <w:szCs w:val="24"/>
        </w:rPr>
        <w:t xml:space="preserve"> presents the </w:t>
      </w:r>
      <w:r w:rsidRPr="001167C1">
        <w:rPr>
          <w:rFonts w:ascii="Times New Roman" w:hAnsi="Times New Roman"/>
          <w:szCs w:val="24"/>
        </w:rPr>
        <w:t xml:space="preserve">major statistics for rates of change in nominal GDP per capita </w:t>
      </w:r>
      <w:r w:rsidR="00401A65" w:rsidRPr="001167C1">
        <w:rPr>
          <w:rFonts w:ascii="Times New Roman" w:hAnsi="Times New Roman"/>
          <w:szCs w:val="24"/>
        </w:rPr>
        <w:t xml:space="preserve">of </w:t>
      </w:r>
      <w:r w:rsidRPr="001167C1">
        <w:rPr>
          <w:rFonts w:ascii="Times New Roman" w:hAnsi="Times New Roman"/>
          <w:szCs w:val="24"/>
        </w:rPr>
        <w:t xml:space="preserve">the selected countries during the time span of 22 years </w:t>
      </w:r>
      <w:r w:rsidR="00401A65" w:rsidRPr="001167C1">
        <w:rPr>
          <w:rFonts w:ascii="Times New Roman" w:hAnsi="Times New Roman"/>
          <w:szCs w:val="24"/>
        </w:rPr>
        <w:t>from 200</w:t>
      </w:r>
      <w:r w:rsidRPr="001167C1">
        <w:rPr>
          <w:rFonts w:ascii="Times New Roman" w:hAnsi="Times New Roman"/>
          <w:szCs w:val="24"/>
        </w:rPr>
        <w:t>1</w:t>
      </w:r>
      <w:r w:rsidR="00401A65" w:rsidRPr="001167C1">
        <w:rPr>
          <w:rFonts w:ascii="Times New Roman" w:hAnsi="Times New Roman"/>
          <w:szCs w:val="24"/>
        </w:rPr>
        <w:t xml:space="preserve"> to 2022. Notably, China experienced the highest growth rate of 1225.91%, followed by India with 445.41%. The United States had a growth rate of 110.10%, while the United Kingdom and Hong Kong had growth rates of 63.10% and 90.18% respectively</w:t>
      </w:r>
      <w:r w:rsidRPr="001167C1">
        <w:rPr>
          <w:rFonts w:ascii="Times New Roman" w:hAnsi="Times New Roman"/>
          <w:szCs w:val="24"/>
        </w:rPr>
        <w:t xml:space="preserve"> over the 22 years period</w:t>
      </w:r>
      <w:r w:rsidR="00401A65" w:rsidRPr="001167C1">
        <w:rPr>
          <w:rFonts w:ascii="Times New Roman" w:hAnsi="Times New Roman"/>
          <w:szCs w:val="24"/>
        </w:rPr>
        <w:t>. These growth rates reflect the diverse economic performances and development trajectories of the countries over the analyzed period.</w:t>
      </w:r>
    </w:p>
    <w:p w14:paraId="74D75BE7" w14:textId="77777777" w:rsidR="00401A65" w:rsidRPr="001167C1" w:rsidRDefault="00401A65" w:rsidP="001167C1">
      <w:pPr>
        <w:adjustRightInd w:val="0"/>
        <w:snapToGrid w:val="0"/>
        <w:spacing w:line="360" w:lineRule="auto"/>
        <w:jc w:val="both"/>
        <w:rPr>
          <w:rFonts w:ascii="Times New Roman" w:hAnsi="Times New Roman"/>
          <w:szCs w:val="24"/>
        </w:rPr>
      </w:pPr>
    </w:p>
    <w:p w14:paraId="7075967D" w14:textId="2C98980E" w:rsidR="00970897" w:rsidRPr="001167C1" w:rsidRDefault="00BC4EC6"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The mean of a dataset serves as a measure of central tendency, representing the average value of the data points and offering insights into the typical value within the set (Hayes, 2021). In the case of two advanced countries,</w:t>
      </w:r>
      <w:r w:rsidR="00FE33D9" w:rsidRPr="001167C1">
        <w:rPr>
          <w:rFonts w:ascii="Times New Roman" w:hAnsi="Times New Roman"/>
          <w:bCs/>
          <w:szCs w:val="24"/>
        </w:rPr>
        <w:t xml:space="preserve"> </w:t>
      </w:r>
      <w:r w:rsidRPr="001167C1">
        <w:rPr>
          <w:rFonts w:ascii="Times New Roman" w:hAnsi="Times New Roman"/>
          <w:bCs/>
          <w:szCs w:val="24"/>
        </w:rPr>
        <w:t xml:space="preserve">the US exhibits a higher mean nominal GDP per capita. Similarly, among two emerging countries, </w:t>
      </w:r>
      <w:proofErr w:type="gramStart"/>
      <w:r w:rsidRPr="001167C1">
        <w:rPr>
          <w:rFonts w:ascii="Times New Roman" w:hAnsi="Times New Roman"/>
          <w:bCs/>
          <w:szCs w:val="24"/>
        </w:rPr>
        <w:t>India</w:t>
      </w:r>
      <w:proofErr w:type="gramEnd"/>
      <w:r w:rsidRPr="001167C1">
        <w:rPr>
          <w:rFonts w:ascii="Times New Roman" w:hAnsi="Times New Roman"/>
          <w:bCs/>
          <w:szCs w:val="24"/>
        </w:rPr>
        <w:t xml:space="preserve"> and China, it is China that demonstrates a higher mean nominal GDP per capita.</w:t>
      </w:r>
      <w:r w:rsidR="00AE103C" w:rsidRPr="001167C1">
        <w:rPr>
          <w:rFonts w:ascii="Times New Roman" w:hAnsi="Times New Roman"/>
          <w:szCs w:val="24"/>
        </w:rPr>
        <w:t xml:space="preserve"> </w:t>
      </w:r>
      <w:r w:rsidR="00AE103C" w:rsidRPr="001167C1">
        <w:rPr>
          <w:rFonts w:ascii="Times New Roman" w:hAnsi="Times New Roman"/>
          <w:bCs/>
          <w:szCs w:val="24"/>
        </w:rPr>
        <w:t>a higher nominal GDP per capita may suggest a larger market size and potentially greater economic.</w:t>
      </w:r>
    </w:p>
    <w:p w14:paraId="7B0FA176" w14:textId="77777777" w:rsidR="00AE103C" w:rsidRPr="001167C1" w:rsidRDefault="00AE103C" w:rsidP="001167C1">
      <w:pPr>
        <w:adjustRightInd w:val="0"/>
        <w:snapToGrid w:val="0"/>
        <w:spacing w:line="360" w:lineRule="auto"/>
        <w:jc w:val="both"/>
        <w:rPr>
          <w:rFonts w:ascii="Times New Roman" w:hAnsi="Times New Roman"/>
          <w:bCs/>
          <w:szCs w:val="24"/>
        </w:rPr>
      </w:pPr>
    </w:p>
    <w:p w14:paraId="699A8037" w14:textId="77777777" w:rsidR="00E2298D" w:rsidRPr="001167C1" w:rsidRDefault="00E2298D" w:rsidP="001167C1">
      <w:pPr>
        <w:widowControl/>
        <w:spacing w:line="360" w:lineRule="auto"/>
        <w:rPr>
          <w:rFonts w:ascii="Times New Roman" w:hAnsi="Times New Roman"/>
          <w:bCs/>
          <w:szCs w:val="24"/>
        </w:rPr>
      </w:pPr>
      <w:r w:rsidRPr="001167C1">
        <w:rPr>
          <w:rFonts w:ascii="Times New Roman" w:hAnsi="Times New Roman"/>
          <w:bCs/>
          <w:szCs w:val="24"/>
        </w:rPr>
        <w:t xml:space="preserve">Standard deviation is a statistical metric that serves to quantify the dispersion or spread of data points within a given dataset, thereby offering valuable insights into the extent to which the values deviate from the mean (Investopedia, 2019). In the context of a comparison between the United </w:t>
      </w:r>
      <w:r w:rsidRPr="001167C1">
        <w:rPr>
          <w:rFonts w:ascii="Times New Roman" w:hAnsi="Times New Roman"/>
          <w:bCs/>
          <w:szCs w:val="24"/>
        </w:rPr>
        <w:lastRenderedPageBreak/>
        <w:t>States (US) and the United Kingdom (UK), it is observed that the UK exhibits a lower standard deviation, indicating a lower level of risk associated with the expected return. Similarly, when examining India and China, it is apparent that India possesses a lower standard deviation.</w:t>
      </w:r>
    </w:p>
    <w:p w14:paraId="0FB1D215" w14:textId="77777777" w:rsidR="00E2298D" w:rsidRPr="001167C1" w:rsidRDefault="00E2298D" w:rsidP="001167C1">
      <w:pPr>
        <w:widowControl/>
        <w:spacing w:line="360" w:lineRule="auto"/>
        <w:rPr>
          <w:rFonts w:ascii="Times New Roman" w:hAnsi="Times New Roman"/>
          <w:bCs/>
          <w:szCs w:val="24"/>
        </w:rPr>
      </w:pPr>
    </w:p>
    <w:p w14:paraId="68B6D9CB" w14:textId="3D108432" w:rsidR="003E2DA6" w:rsidRPr="001167C1" w:rsidRDefault="003E2DA6" w:rsidP="001167C1">
      <w:pPr>
        <w:widowControl/>
        <w:spacing w:line="360" w:lineRule="auto"/>
        <w:rPr>
          <w:rFonts w:ascii="Times New Roman" w:hAnsi="Times New Roman"/>
          <w:bCs/>
          <w:szCs w:val="24"/>
        </w:rPr>
      </w:pPr>
      <w:r w:rsidRPr="001167C1">
        <w:rPr>
          <w:rFonts w:ascii="Times New Roman" w:hAnsi="Times New Roman"/>
          <w:bCs/>
          <w:szCs w:val="24"/>
        </w:rPr>
        <w:t>The coefficient of variation (CV) is a statistical measure that quantifies the dispersion of data points in relation to the mean. It allows for comparing the degree of variation between different datasets, regardless of their mean values. A lower CV indicates less fluctuation and risk. For example, the UK has a CV of 0.15, suggesting less variability compared to the US with a CV of 0.21. Among the two emerging countries mentioned, India has a lower CV of 0.47, indicating relatively lower fluctuation and risk compared to China, which has a CV of 0.68 (Hayes, 2023).</w:t>
      </w:r>
    </w:p>
    <w:p w14:paraId="1503BE83" w14:textId="77777777" w:rsidR="003E2DA6" w:rsidRPr="001167C1" w:rsidRDefault="003E2DA6" w:rsidP="001167C1">
      <w:pPr>
        <w:widowControl/>
        <w:spacing w:line="360" w:lineRule="auto"/>
        <w:rPr>
          <w:rFonts w:ascii="Times New Roman" w:hAnsi="Times New Roman"/>
          <w:szCs w:val="24"/>
        </w:rPr>
      </w:pPr>
    </w:p>
    <w:p w14:paraId="7B8C0FCF" w14:textId="706A1BA9" w:rsidR="00FD079C" w:rsidRPr="001167C1" w:rsidRDefault="00FD079C" w:rsidP="001167C1">
      <w:pPr>
        <w:widowControl/>
        <w:spacing w:line="360" w:lineRule="auto"/>
        <w:rPr>
          <w:rFonts w:ascii="Times New Roman" w:hAnsi="Times New Roman"/>
          <w:bCs/>
          <w:szCs w:val="24"/>
        </w:rPr>
      </w:pPr>
      <w:r w:rsidRPr="001167C1">
        <w:rPr>
          <w:rFonts w:ascii="Times New Roman" w:hAnsi="Times New Roman"/>
          <w:bCs/>
          <w:szCs w:val="24"/>
        </w:rPr>
        <w:t>The standard deviation is an absolute measure of variability expressed in the original units of the data, while the coefficient of variation is a relative measure expressed as a percentage. The standard deviation measures the spread of values around the mean, while the coefficient of variation compares the relative variability between datasets with different scales or means.</w:t>
      </w:r>
    </w:p>
    <w:p w14:paraId="191B7D02" w14:textId="77777777" w:rsidR="00401A65" w:rsidRPr="001167C1" w:rsidRDefault="00401A65" w:rsidP="001167C1">
      <w:pPr>
        <w:widowControl/>
        <w:spacing w:line="360" w:lineRule="auto"/>
        <w:rPr>
          <w:rFonts w:ascii="Times New Roman" w:hAnsi="Times New Roman"/>
          <w:bCs/>
          <w:szCs w:val="24"/>
        </w:rPr>
      </w:pPr>
    </w:p>
    <w:p w14:paraId="4B646DB3" w14:textId="77777777" w:rsidR="00BF56AA" w:rsidRPr="001167C1" w:rsidRDefault="00BF56AA" w:rsidP="001167C1">
      <w:pPr>
        <w:widowControl/>
        <w:spacing w:line="360" w:lineRule="auto"/>
        <w:rPr>
          <w:rFonts w:ascii="Times New Roman" w:hAnsi="Times New Roman"/>
          <w:bCs/>
          <w:szCs w:val="24"/>
        </w:rPr>
      </w:pPr>
      <w:r w:rsidRPr="001167C1">
        <w:rPr>
          <w:rFonts w:ascii="Times New Roman" w:hAnsi="Times New Roman"/>
          <w:bCs/>
          <w:szCs w:val="24"/>
        </w:rPr>
        <w:t>Based on an analysis of the data spanning the past 22 years, it is recommended to allocate a portion of the investment fund to the United States, as it offers a higher return with a relatively stable coefficient of variation of 21%. While the expected return in the US market does not suggest significant growth potential, it provides a reliable and steady investment option.</w:t>
      </w:r>
    </w:p>
    <w:p w14:paraId="66D1512E" w14:textId="77777777" w:rsidR="00BF56AA" w:rsidRPr="001167C1" w:rsidRDefault="00BF56AA" w:rsidP="001167C1">
      <w:pPr>
        <w:widowControl/>
        <w:spacing w:line="360" w:lineRule="auto"/>
        <w:rPr>
          <w:rFonts w:ascii="Times New Roman" w:hAnsi="Times New Roman"/>
          <w:bCs/>
          <w:szCs w:val="24"/>
        </w:rPr>
      </w:pPr>
    </w:p>
    <w:p w14:paraId="072433CC" w14:textId="77777777" w:rsidR="00BF56AA" w:rsidRPr="001167C1" w:rsidRDefault="00BF56AA" w:rsidP="001167C1">
      <w:pPr>
        <w:widowControl/>
        <w:spacing w:line="360" w:lineRule="auto"/>
        <w:rPr>
          <w:rFonts w:ascii="Times New Roman" w:hAnsi="Times New Roman"/>
          <w:bCs/>
          <w:szCs w:val="24"/>
        </w:rPr>
      </w:pPr>
      <w:r w:rsidRPr="001167C1">
        <w:rPr>
          <w:rFonts w:ascii="Times New Roman" w:hAnsi="Times New Roman"/>
          <w:bCs/>
          <w:szCs w:val="24"/>
        </w:rPr>
        <w:t xml:space="preserve">Additionally, it is advised to allocate another portion of the investment fund to China. Despite a higher coefficient of variation of 0.68 in the dataset, China demonstrates a considerably higher expected return compared to India. By investing in China, the portfolio can capture the potential </w:t>
      </w:r>
      <w:r w:rsidRPr="001167C1">
        <w:rPr>
          <w:rFonts w:ascii="Times New Roman" w:hAnsi="Times New Roman"/>
          <w:bCs/>
          <w:szCs w:val="24"/>
        </w:rPr>
        <w:lastRenderedPageBreak/>
        <w:t>benefits of the catch-up effect observed in emerging countries, which may result in substantial growth opportunities.</w:t>
      </w:r>
    </w:p>
    <w:p w14:paraId="12E3C3AC" w14:textId="77777777" w:rsidR="00BF56AA" w:rsidRPr="001167C1" w:rsidRDefault="00BF56AA" w:rsidP="001167C1">
      <w:pPr>
        <w:widowControl/>
        <w:spacing w:line="360" w:lineRule="auto"/>
        <w:rPr>
          <w:rFonts w:ascii="Times New Roman" w:hAnsi="Times New Roman"/>
          <w:bCs/>
          <w:szCs w:val="24"/>
        </w:rPr>
      </w:pPr>
    </w:p>
    <w:p w14:paraId="33D82747" w14:textId="46D6578E" w:rsidR="00CA628A" w:rsidRPr="001167C1" w:rsidRDefault="00BF56AA" w:rsidP="001167C1">
      <w:pPr>
        <w:widowControl/>
        <w:spacing w:line="360" w:lineRule="auto"/>
        <w:rPr>
          <w:rFonts w:ascii="Times New Roman" w:hAnsi="Times New Roman"/>
          <w:bCs/>
          <w:szCs w:val="24"/>
        </w:rPr>
      </w:pPr>
      <w:r w:rsidRPr="001167C1">
        <w:rPr>
          <w:rFonts w:ascii="Times New Roman" w:hAnsi="Times New Roman"/>
          <w:bCs/>
          <w:szCs w:val="24"/>
        </w:rPr>
        <w:t>In summary, the recommended investment strategy involves allocating funds to the US for stable growth and considering a portion of the portfolio for investment in China to capture the potential higher returns associated with emerging economies. This approach aims to balance the need for stability with the potential for increased returns in the portfolio.</w:t>
      </w:r>
      <w:r w:rsidR="001C0A57" w:rsidRPr="001167C1">
        <w:rPr>
          <w:rFonts w:ascii="Times New Roman" w:hAnsi="Times New Roman"/>
          <w:bCs/>
          <w:szCs w:val="24"/>
        </w:rPr>
        <w:br w:type="page"/>
      </w:r>
    </w:p>
    <w:p w14:paraId="39B6665F" w14:textId="1C205C4E" w:rsidR="00511D68" w:rsidRPr="001167C1" w:rsidRDefault="00F24852"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lastRenderedPageBreak/>
        <w:t>Graph 3</w:t>
      </w:r>
      <w:r w:rsidR="00511D68" w:rsidRPr="001167C1">
        <w:rPr>
          <w:rFonts w:ascii="Times New Roman" w:hAnsi="Times New Roman"/>
          <w:bCs/>
          <w:szCs w:val="24"/>
        </w:rPr>
        <w:t xml:space="preserve"> Time plot of the annual rate of change in </w:t>
      </w:r>
      <w:r w:rsidR="001C0A57" w:rsidRPr="001167C1">
        <w:rPr>
          <w:rFonts w:ascii="Times New Roman" w:hAnsi="Times New Roman"/>
          <w:bCs/>
          <w:szCs w:val="24"/>
        </w:rPr>
        <w:t>nominal</w:t>
      </w:r>
      <w:r w:rsidR="00A83096" w:rsidRPr="001167C1">
        <w:rPr>
          <w:rFonts w:ascii="Times New Roman" w:hAnsi="Times New Roman"/>
          <w:bCs/>
          <w:szCs w:val="24"/>
        </w:rPr>
        <w:t xml:space="preserve"> GDP </w:t>
      </w:r>
      <w:r w:rsidR="001C0A57" w:rsidRPr="001167C1">
        <w:rPr>
          <w:rFonts w:ascii="Times New Roman" w:hAnsi="Times New Roman"/>
          <w:bCs/>
          <w:szCs w:val="24"/>
        </w:rPr>
        <w:t>per</w:t>
      </w:r>
      <w:r w:rsidR="00A83096" w:rsidRPr="001167C1">
        <w:rPr>
          <w:rFonts w:ascii="Times New Roman" w:hAnsi="Times New Roman"/>
          <w:bCs/>
          <w:szCs w:val="24"/>
        </w:rPr>
        <w:t xml:space="preserve"> </w:t>
      </w:r>
      <w:r w:rsidR="001C0A57" w:rsidRPr="001167C1">
        <w:rPr>
          <w:rFonts w:ascii="Times New Roman" w:hAnsi="Times New Roman"/>
          <w:bCs/>
          <w:szCs w:val="24"/>
        </w:rPr>
        <w:t>capita</w:t>
      </w:r>
      <w:r w:rsidR="00511D68" w:rsidRPr="001167C1">
        <w:rPr>
          <w:rFonts w:ascii="Times New Roman" w:hAnsi="Times New Roman"/>
          <w:bCs/>
          <w:szCs w:val="24"/>
        </w:rPr>
        <w:t xml:space="preserve"> in the selected countries</w:t>
      </w:r>
      <w:r w:rsidR="00A5780D" w:rsidRPr="001167C1">
        <w:rPr>
          <w:rFonts w:ascii="Times New Roman" w:hAnsi="Times New Roman"/>
          <w:bCs/>
          <w:szCs w:val="24"/>
        </w:rPr>
        <w:t>: 2000 to 2022</w:t>
      </w:r>
      <w:r w:rsidR="00CF29E3" w:rsidRPr="001167C1">
        <w:rPr>
          <w:rFonts w:ascii="Times New Roman" w:hAnsi="Times New Roman"/>
          <w:bCs/>
          <w:szCs w:val="24"/>
        </w:rPr>
        <w:t xml:space="preserve"> (%) </w:t>
      </w:r>
    </w:p>
    <w:tbl>
      <w:tblPr>
        <w:tblStyle w:val="af6"/>
        <w:tblW w:w="0" w:type="auto"/>
        <w:tblLook w:val="04A0" w:firstRow="1" w:lastRow="0" w:firstColumn="1" w:lastColumn="0" w:noHBand="0" w:noVBand="1"/>
      </w:tblPr>
      <w:tblGrid>
        <w:gridCol w:w="9126"/>
      </w:tblGrid>
      <w:tr w:rsidR="00511D68" w:rsidRPr="001167C1" w14:paraId="0BAB2E87" w14:textId="77777777" w:rsidTr="004E2973">
        <w:trPr>
          <w:trHeight w:val="5718"/>
        </w:trPr>
        <w:tc>
          <w:tcPr>
            <w:tcW w:w="9126" w:type="dxa"/>
            <w:vAlign w:val="center"/>
          </w:tcPr>
          <w:p w14:paraId="25821D4F" w14:textId="0736A9CE" w:rsidR="00511D68" w:rsidRPr="001167C1" w:rsidRDefault="001C0A57" w:rsidP="001167C1">
            <w:pPr>
              <w:adjustRightInd w:val="0"/>
              <w:snapToGrid w:val="0"/>
              <w:spacing w:line="360" w:lineRule="auto"/>
              <w:jc w:val="center"/>
              <w:rPr>
                <w:rFonts w:ascii="Times New Roman" w:hAnsi="Times New Roman"/>
                <w:bCs/>
                <w:color w:val="0000CC"/>
                <w:szCs w:val="24"/>
              </w:rPr>
            </w:pPr>
            <w:r w:rsidRPr="001167C1">
              <w:rPr>
                <w:rFonts w:ascii="Times New Roman" w:hAnsi="Times New Roman"/>
                <w:bCs/>
                <w:noProof/>
                <w:color w:val="0000CC"/>
                <w:szCs w:val="24"/>
              </w:rPr>
              <w:drawing>
                <wp:inline distT="0" distB="0" distL="0" distR="0" wp14:anchorId="571CF450" wp14:editId="417396F5">
                  <wp:extent cx="5486400" cy="3200400"/>
                  <wp:effectExtent l="0" t="0" r="0" b="0"/>
                  <wp:docPr id="602473436" name="圖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r>
      <w:tr w:rsidR="00511D68" w:rsidRPr="001167C1" w14:paraId="3646CE4C" w14:textId="77777777" w:rsidTr="004E2973">
        <w:tc>
          <w:tcPr>
            <w:tcW w:w="9126" w:type="dxa"/>
            <w:vAlign w:val="center"/>
          </w:tcPr>
          <w:p w14:paraId="4124A7D1" w14:textId="37849797" w:rsidR="00511D68" w:rsidRPr="001167C1" w:rsidRDefault="00511D68"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Sources: Calculated from the dataset listed in Table 1</w:t>
            </w:r>
          </w:p>
        </w:tc>
      </w:tr>
    </w:tbl>
    <w:p w14:paraId="19895138" w14:textId="77777777" w:rsidR="00F173F6" w:rsidRPr="001167C1" w:rsidRDefault="00F173F6" w:rsidP="001167C1">
      <w:pPr>
        <w:adjustRightInd w:val="0"/>
        <w:snapToGrid w:val="0"/>
        <w:spacing w:line="360" w:lineRule="auto"/>
        <w:jc w:val="both"/>
        <w:rPr>
          <w:rFonts w:ascii="Times New Roman" w:hAnsi="Times New Roman"/>
          <w:bCs/>
          <w:szCs w:val="24"/>
        </w:rPr>
      </w:pPr>
    </w:p>
    <w:p w14:paraId="7603B687" w14:textId="2A4DCC4D" w:rsidR="00FF524F" w:rsidRPr="001167C1" w:rsidRDefault="000A6857" w:rsidP="001167C1">
      <w:pPr>
        <w:adjustRightInd w:val="0"/>
        <w:snapToGrid w:val="0"/>
        <w:spacing w:line="360" w:lineRule="auto"/>
        <w:jc w:val="both"/>
        <w:rPr>
          <w:rFonts w:ascii="Times New Roman" w:hAnsi="Times New Roman"/>
          <w:bCs/>
          <w:color w:val="0000CC"/>
          <w:szCs w:val="24"/>
        </w:rPr>
      </w:pPr>
      <w:r w:rsidRPr="001167C1">
        <w:rPr>
          <w:rFonts w:ascii="Times New Roman" w:hAnsi="Times New Roman"/>
          <w:bCs/>
          <w:szCs w:val="24"/>
        </w:rPr>
        <w:t>The growth rate of nominal GDP per capita exhibits considerable fluctuations over the observed period. Several notable declines can be observed, specifically during the years 2004-2005, 2007-2009, and 2014-2015 in the United Kingdom. In contrast, the United States and Hong Kong demonstrate relatively stable growth patterns without significant downturns. Notably, China experiences a lag in its growth, often observing declines in nominal GDP per capita after other countries have already experienced similar drops. Consequently, if recent data reveals a decline in the UK and US, it is advisable to reallocate investments from China to other countries to mitigate potential risks and maximize returns.</w:t>
      </w:r>
    </w:p>
    <w:p w14:paraId="6CC9FBF7" w14:textId="1BD41D95" w:rsidR="00B27071" w:rsidRPr="001167C1" w:rsidRDefault="00B27071" w:rsidP="001167C1">
      <w:pPr>
        <w:widowControl/>
        <w:spacing w:line="360" w:lineRule="auto"/>
        <w:rPr>
          <w:rFonts w:ascii="Times New Roman" w:hAnsi="Times New Roman"/>
          <w:bCs/>
          <w:color w:val="0000CC"/>
          <w:szCs w:val="24"/>
        </w:rPr>
      </w:pPr>
      <w:r w:rsidRPr="001167C1">
        <w:rPr>
          <w:rFonts w:ascii="Times New Roman" w:hAnsi="Times New Roman"/>
          <w:bCs/>
          <w:color w:val="0000CC"/>
          <w:szCs w:val="24"/>
        </w:rPr>
        <w:br w:type="page"/>
      </w:r>
    </w:p>
    <w:p w14:paraId="13A632C2" w14:textId="2379A9B0" w:rsidR="00511D68" w:rsidRPr="001167C1" w:rsidRDefault="00CC0AA6" w:rsidP="001167C1">
      <w:pPr>
        <w:adjustRightInd w:val="0"/>
        <w:snapToGrid w:val="0"/>
        <w:spacing w:line="360" w:lineRule="auto"/>
        <w:jc w:val="both"/>
        <w:rPr>
          <w:rFonts w:ascii="Times New Roman" w:hAnsi="Times New Roman"/>
          <w:b/>
          <w:bCs/>
          <w:szCs w:val="24"/>
        </w:rPr>
      </w:pPr>
      <w:r w:rsidRPr="001167C1">
        <w:rPr>
          <w:rFonts w:ascii="Times New Roman" w:hAnsi="Times New Roman"/>
          <w:b/>
          <w:bCs/>
          <w:szCs w:val="24"/>
        </w:rPr>
        <w:lastRenderedPageBreak/>
        <w:t xml:space="preserve">3.2 </w:t>
      </w:r>
      <w:r w:rsidR="00617F7E" w:rsidRPr="001167C1">
        <w:rPr>
          <w:rFonts w:ascii="Times New Roman" w:hAnsi="Times New Roman"/>
          <w:b/>
          <w:bCs/>
          <w:szCs w:val="24"/>
        </w:rPr>
        <w:t>P</w:t>
      </w:r>
      <w:r w:rsidRPr="001167C1">
        <w:rPr>
          <w:rFonts w:ascii="Times New Roman" w:hAnsi="Times New Roman"/>
          <w:b/>
          <w:bCs/>
          <w:szCs w:val="24"/>
        </w:rPr>
        <w:t xml:space="preserve">attern of </w:t>
      </w:r>
      <w:r w:rsidR="00617F7E" w:rsidRPr="001167C1">
        <w:rPr>
          <w:rFonts w:ascii="Times New Roman" w:hAnsi="Times New Roman"/>
          <w:b/>
          <w:bCs/>
          <w:szCs w:val="24"/>
        </w:rPr>
        <w:t xml:space="preserve">the </w:t>
      </w:r>
      <w:r w:rsidRPr="001167C1">
        <w:rPr>
          <w:rFonts w:ascii="Times New Roman" w:hAnsi="Times New Roman"/>
          <w:b/>
          <w:bCs/>
          <w:szCs w:val="24"/>
        </w:rPr>
        <w:t>local trend</w:t>
      </w:r>
      <w:r w:rsidR="00617F7E" w:rsidRPr="001167C1">
        <w:rPr>
          <w:rFonts w:ascii="Times New Roman" w:hAnsi="Times New Roman"/>
          <w:b/>
          <w:bCs/>
          <w:szCs w:val="24"/>
        </w:rPr>
        <w:t xml:space="preserve"> movement</w:t>
      </w:r>
    </w:p>
    <w:p w14:paraId="6287DCC0" w14:textId="77777777" w:rsidR="00F173F6" w:rsidRPr="001167C1" w:rsidRDefault="00F173F6" w:rsidP="001167C1">
      <w:pPr>
        <w:adjustRightInd w:val="0"/>
        <w:snapToGrid w:val="0"/>
        <w:spacing w:line="360" w:lineRule="auto"/>
        <w:jc w:val="both"/>
        <w:rPr>
          <w:rFonts w:ascii="Times New Roman" w:hAnsi="Times New Roman"/>
          <w:bCs/>
          <w:szCs w:val="24"/>
        </w:rPr>
      </w:pPr>
    </w:p>
    <w:p w14:paraId="7B2E370A" w14:textId="5C84824E" w:rsidR="007E6F9A" w:rsidRPr="001167C1" w:rsidRDefault="007E6F9A"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Table </w:t>
      </w:r>
      <w:r w:rsidR="009768AD" w:rsidRPr="001167C1">
        <w:rPr>
          <w:rFonts w:ascii="Times New Roman" w:hAnsi="Times New Roman"/>
          <w:bCs/>
          <w:szCs w:val="24"/>
        </w:rPr>
        <w:t>7</w:t>
      </w:r>
      <w:r w:rsidRPr="001167C1">
        <w:rPr>
          <w:rFonts w:ascii="Times New Roman" w:hAnsi="Times New Roman"/>
          <w:bCs/>
          <w:szCs w:val="24"/>
        </w:rPr>
        <w:t xml:space="preserve"> The annual data of nominal GDP per capita in Hong Kong, United Kingdom, United States, India, and China: 20</w:t>
      </w:r>
      <w:r w:rsidR="00836934" w:rsidRPr="001167C1">
        <w:rPr>
          <w:rFonts w:ascii="Times New Roman" w:hAnsi="Times New Roman"/>
          <w:bCs/>
          <w:szCs w:val="24"/>
        </w:rPr>
        <w:t>19</w:t>
      </w:r>
      <w:r w:rsidRPr="001167C1">
        <w:rPr>
          <w:rFonts w:ascii="Times New Roman" w:hAnsi="Times New Roman"/>
          <w:bCs/>
          <w:szCs w:val="24"/>
        </w:rPr>
        <w:t xml:space="preserve"> to 2022 (US$,000)</w:t>
      </w:r>
    </w:p>
    <w:tbl>
      <w:tblPr>
        <w:tblW w:w="9329" w:type="dxa"/>
        <w:tblInd w:w="38" w:type="dxa"/>
        <w:tblCellMar>
          <w:left w:w="28" w:type="dxa"/>
          <w:right w:w="28" w:type="dxa"/>
        </w:tblCellMar>
        <w:tblLook w:val="04A0" w:firstRow="1" w:lastRow="0" w:firstColumn="1" w:lastColumn="0" w:noHBand="0" w:noVBand="1"/>
      </w:tblPr>
      <w:tblGrid>
        <w:gridCol w:w="1325"/>
        <w:gridCol w:w="1593"/>
        <w:gridCol w:w="1741"/>
        <w:gridCol w:w="1593"/>
        <w:gridCol w:w="1484"/>
        <w:gridCol w:w="1593"/>
      </w:tblGrid>
      <w:tr w:rsidR="002563FD" w:rsidRPr="001167C1" w14:paraId="5AC1543E" w14:textId="77777777" w:rsidTr="00847EFA">
        <w:trPr>
          <w:trHeight w:val="999"/>
        </w:trPr>
        <w:tc>
          <w:tcPr>
            <w:tcW w:w="1325"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5A841238"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Year</w:t>
            </w:r>
          </w:p>
        </w:tc>
        <w:tc>
          <w:tcPr>
            <w:tcW w:w="1593" w:type="dxa"/>
            <w:tcBorders>
              <w:top w:val="single" w:sz="8" w:space="0" w:color="auto"/>
              <w:left w:val="nil"/>
              <w:bottom w:val="single" w:sz="8" w:space="0" w:color="auto"/>
              <w:right w:val="single" w:sz="8" w:space="0" w:color="auto"/>
            </w:tcBorders>
            <w:shd w:val="clear" w:color="auto" w:fill="auto"/>
            <w:vAlign w:val="center"/>
            <w:hideMark/>
          </w:tcPr>
          <w:p w14:paraId="17BBE46F"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Hong Kong</w:t>
            </w:r>
          </w:p>
        </w:tc>
        <w:tc>
          <w:tcPr>
            <w:tcW w:w="1741" w:type="dxa"/>
            <w:tcBorders>
              <w:top w:val="single" w:sz="8" w:space="0" w:color="auto"/>
              <w:left w:val="nil"/>
              <w:bottom w:val="single" w:sz="8" w:space="0" w:color="auto"/>
              <w:right w:val="single" w:sz="8" w:space="0" w:color="auto"/>
            </w:tcBorders>
            <w:shd w:val="clear" w:color="auto" w:fill="auto"/>
            <w:vAlign w:val="center"/>
            <w:hideMark/>
          </w:tcPr>
          <w:p w14:paraId="1E3733FE"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United Kingdom</w:t>
            </w:r>
          </w:p>
        </w:tc>
        <w:tc>
          <w:tcPr>
            <w:tcW w:w="1593" w:type="dxa"/>
            <w:tcBorders>
              <w:top w:val="single" w:sz="8" w:space="0" w:color="auto"/>
              <w:left w:val="nil"/>
              <w:bottom w:val="single" w:sz="8" w:space="0" w:color="auto"/>
              <w:right w:val="single" w:sz="8" w:space="0" w:color="auto"/>
            </w:tcBorders>
            <w:shd w:val="clear" w:color="auto" w:fill="auto"/>
            <w:vAlign w:val="center"/>
            <w:hideMark/>
          </w:tcPr>
          <w:p w14:paraId="46D25D8E"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United States</w:t>
            </w:r>
          </w:p>
        </w:tc>
        <w:tc>
          <w:tcPr>
            <w:tcW w:w="1484" w:type="dxa"/>
            <w:tcBorders>
              <w:top w:val="single" w:sz="8" w:space="0" w:color="auto"/>
              <w:left w:val="nil"/>
              <w:bottom w:val="single" w:sz="8" w:space="0" w:color="auto"/>
              <w:right w:val="single" w:sz="8" w:space="0" w:color="auto"/>
            </w:tcBorders>
            <w:shd w:val="clear" w:color="auto" w:fill="auto"/>
            <w:vAlign w:val="center"/>
            <w:hideMark/>
          </w:tcPr>
          <w:p w14:paraId="0F5BF8F7"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India</w:t>
            </w:r>
          </w:p>
        </w:tc>
        <w:tc>
          <w:tcPr>
            <w:tcW w:w="1593" w:type="dxa"/>
            <w:tcBorders>
              <w:top w:val="single" w:sz="8" w:space="0" w:color="auto"/>
              <w:left w:val="nil"/>
              <w:bottom w:val="single" w:sz="8" w:space="0" w:color="auto"/>
              <w:right w:val="single" w:sz="8" w:space="0" w:color="auto"/>
            </w:tcBorders>
            <w:shd w:val="clear" w:color="auto" w:fill="auto"/>
            <w:vAlign w:val="center"/>
            <w:hideMark/>
          </w:tcPr>
          <w:p w14:paraId="566AD02E"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China</w:t>
            </w:r>
          </w:p>
        </w:tc>
      </w:tr>
      <w:tr w:rsidR="002563FD" w:rsidRPr="001167C1" w14:paraId="0576E206" w14:textId="77777777" w:rsidTr="00847EFA">
        <w:trPr>
          <w:trHeight w:val="345"/>
        </w:trPr>
        <w:tc>
          <w:tcPr>
            <w:tcW w:w="1325" w:type="dxa"/>
            <w:tcBorders>
              <w:top w:val="nil"/>
              <w:left w:val="single" w:sz="8" w:space="0" w:color="auto"/>
              <w:bottom w:val="single" w:sz="8" w:space="0" w:color="auto"/>
              <w:right w:val="single" w:sz="8" w:space="0" w:color="auto"/>
            </w:tcBorders>
            <w:shd w:val="clear" w:color="auto" w:fill="auto"/>
            <w:vAlign w:val="center"/>
            <w:hideMark/>
          </w:tcPr>
          <w:p w14:paraId="45C9BF11"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2019</w:t>
            </w:r>
          </w:p>
        </w:tc>
        <w:tc>
          <w:tcPr>
            <w:tcW w:w="1593" w:type="dxa"/>
            <w:tcBorders>
              <w:top w:val="nil"/>
              <w:left w:val="nil"/>
              <w:bottom w:val="single" w:sz="8" w:space="0" w:color="auto"/>
              <w:right w:val="single" w:sz="8" w:space="0" w:color="auto"/>
            </w:tcBorders>
            <w:shd w:val="clear" w:color="auto" w:fill="auto"/>
            <w:vAlign w:val="center"/>
            <w:hideMark/>
          </w:tcPr>
          <w:p w14:paraId="67B3C245"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48359</w:t>
            </w:r>
          </w:p>
        </w:tc>
        <w:tc>
          <w:tcPr>
            <w:tcW w:w="1741" w:type="dxa"/>
            <w:tcBorders>
              <w:top w:val="nil"/>
              <w:left w:val="nil"/>
              <w:bottom w:val="single" w:sz="8" w:space="0" w:color="auto"/>
              <w:right w:val="single" w:sz="8" w:space="0" w:color="auto"/>
            </w:tcBorders>
            <w:shd w:val="clear" w:color="auto" w:fill="auto"/>
            <w:vAlign w:val="center"/>
            <w:hideMark/>
          </w:tcPr>
          <w:p w14:paraId="7630BBC3"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42662.54</w:t>
            </w:r>
          </w:p>
        </w:tc>
        <w:tc>
          <w:tcPr>
            <w:tcW w:w="1593" w:type="dxa"/>
            <w:tcBorders>
              <w:top w:val="nil"/>
              <w:left w:val="nil"/>
              <w:bottom w:val="single" w:sz="8" w:space="0" w:color="auto"/>
              <w:right w:val="single" w:sz="8" w:space="0" w:color="auto"/>
            </w:tcBorders>
            <w:shd w:val="clear" w:color="auto" w:fill="auto"/>
            <w:vAlign w:val="center"/>
            <w:hideMark/>
          </w:tcPr>
          <w:p w14:paraId="46A01ADB"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65120.39</w:t>
            </w:r>
          </w:p>
        </w:tc>
        <w:tc>
          <w:tcPr>
            <w:tcW w:w="1484" w:type="dxa"/>
            <w:tcBorders>
              <w:top w:val="nil"/>
              <w:left w:val="nil"/>
              <w:bottom w:val="single" w:sz="8" w:space="0" w:color="auto"/>
              <w:right w:val="single" w:sz="8" w:space="0" w:color="auto"/>
            </w:tcBorders>
            <w:shd w:val="clear" w:color="auto" w:fill="auto"/>
            <w:vAlign w:val="center"/>
            <w:hideMark/>
          </w:tcPr>
          <w:p w14:paraId="07331682"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2050.16</w:t>
            </w:r>
          </w:p>
        </w:tc>
        <w:tc>
          <w:tcPr>
            <w:tcW w:w="1593" w:type="dxa"/>
            <w:tcBorders>
              <w:top w:val="nil"/>
              <w:left w:val="nil"/>
              <w:bottom w:val="single" w:sz="8" w:space="0" w:color="auto"/>
              <w:right w:val="single" w:sz="8" w:space="0" w:color="auto"/>
            </w:tcBorders>
            <w:shd w:val="clear" w:color="auto" w:fill="auto"/>
            <w:vAlign w:val="center"/>
            <w:hideMark/>
          </w:tcPr>
          <w:p w14:paraId="4DF32FA0"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10143.86</w:t>
            </w:r>
          </w:p>
        </w:tc>
      </w:tr>
      <w:tr w:rsidR="002563FD" w:rsidRPr="001167C1" w14:paraId="1CB32DA3" w14:textId="77777777" w:rsidTr="00847EFA">
        <w:trPr>
          <w:trHeight w:val="345"/>
        </w:trPr>
        <w:tc>
          <w:tcPr>
            <w:tcW w:w="1325" w:type="dxa"/>
            <w:tcBorders>
              <w:top w:val="nil"/>
              <w:left w:val="single" w:sz="8" w:space="0" w:color="auto"/>
              <w:bottom w:val="single" w:sz="8" w:space="0" w:color="auto"/>
              <w:right w:val="single" w:sz="8" w:space="0" w:color="auto"/>
            </w:tcBorders>
            <w:shd w:val="clear" w:color="auto" w:fill="auto"/>
            <w:vAlign w:val="center"/>
            <w:hideMark/>
          </w:tcPr>
          <w:p w14:paraId="3CC9ABF0"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2020</w:t>
            </w:r>
          </w:p>
        </w:tc>
        <w:tc>
          <w:tcPr>
            <w:tcW w:w="1593" w:type="dxa"/>
            <w:tcBorders>
              <w:top w:val="nil"/>
              <w:left w:val="nil"/>
              <w:bottom w:val="single" w:sz="8" w:space="0" w:color="auto"/>
              <w:right w:val="single" w:sz="8" w:space="0" w:color="auto"/>
            </w:tcBorders>
            <w:shd w:val="clear" w:color="auto" w:fill="auto"/>
            <w:vAlign w:val="center"/>
            <w:hideMark/>
          </w:tcPr>
          <w:p w14:paraId="1FD5F307"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46109.23</w:t>
            </w:r>
          </w:p>
        </w:tc>
        <w:tc>
          <w:tcPr>
            <w:tcW w:w="1741" w:type="dxa"/>
            <w:tcBorders>
              <w:top w:val="nil"/>
              <w:left w:val="nil"/>
              <w:bottom w:val="single" w:sz="8" w:space="0" w:color="auto"/>
              <w:right w:val="single" w:sz="8" w:space="0" w:color="auto"/>
            </w:tcBorders>
            <w:shd w:val="clear" w:color="auto" w:fill="auto"/>
            <w:vAlign w:val="center"/>
            <w:hideMark/>
          </w:tcPr>
          <w:p w14:paraId="6DD9090A"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40217.01</w:t>
            </w:r>
          </w:p>
        </w:tc>
        <w:tc>
          <w:tcPr>
            <w:tcW w:w="1593" w:type="dxa"/>
            <w:tcBorders>
              <w:top w:val="nil"/>
              <w:left w:val="nil"/>
              <w:bottom w:val="single" w:sz="8" w:space="0" w:color="auto"/>
              <w:right w:val="single" w:sz="8" w:space="0" w:color="auto"/>
            </w:tcBorders>
            <w:shd w:val="clear" w:color="auto" w:fill="auto"/>
            <w:vAlign w:val="center"/>
            <w:hideMark/>
          </w:tcPr>
          <w:p w14:paraId="3A3CB8FF"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63528.63</w:t>
            </w:r>
          </w:p>
        </w:tc>
        <w:tc>
          <w:tcPr>
            <w:tcW w:w="1484" w:type="dxa"/>
            <w:tcBorders>
              <w:top w:val="nil"/>
              <w:left w:val="nil"/>
              <w:bottom w:val="single" w:sz="8" w:space="0" w:color="auto"/>
              <w:right w:val="single" w:sz="8" w:space="0" w:color="auto"/>
            </w:tcBorders>
            <w:shd w:val="clear" w:color="auto" w:fill="auto"/>
            <w:vAlign w:val="center"/>
            <w:hideMark/>
          </w:tcPr>
          <w:p w14:paraId="4691EBEC"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1913.22</w:t>
            </w:r>
          </w:p>
        </w:tc>
        <w:tc>
          <w:tcPr>
            <w:tcW w:w="1593" w:type="dxa"/>
            <w:tcBorders>
              <w:top w:val="nil"/>
              <w:left w:val="nil"/>
              <w:bottom w:val="single" w:sz="8" w:space="0" w:color="auto"/>
              <w:right w:val="single" w:sz="8" w:space="0" w:color="auto"/>
            </w:tcBorders>
            <w:shd w:val="clear" w:color="auto" w:fill="auto"/>
            <w:vAlign w:val="center"/>
            <w:hideMark/>
          </w:tcPr>
          <w:p w14:paraId="67149C0B"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10408.72</w:t>
            </w:r>
          </w:p>
        </w:tc>
      </w:tr>
      <w:tr w:rsidR="002563FD" w:rsidRPr="001167C1" w14:paraId="39A20631" w14:textId="77777777" w:rsidTr="00847EFA">
        <w:trPr>
          <w:trHeight w:val="345"/>
        </w:trPr>
        <w:tc>
          <w:tcPr>
            <w:tcW w:w="1325" w:type="dxa"/>
            <w:tcBorders>
              <w:top w:val="nil"/>
              <w:left w:val="single" w:sz="8" w:space="0" w:color="auto"/>
              <w:bottom w:val="single" w:sz="8" w:space="0" w:color="auto"/>
              <w:right w:val="single" w:sz="8" w:space="0" w:color="auto"/>
            </w:tcBorders>
            <w:shd w:val="clear" w:color="auto" w:fill="auto"/>
            <w:vAlign w:val="center"/>
            <w:hideMark/>
          </w:tcPr>
          <w:p w14:paraId="20EA7F50"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2021</w:t>
            </w:r>
          </w:p>
        </w:tc>
        <w:tc>
          <w:tcPr>
            <w:tcW w:w="1593" w:type="dxa"/>
            <w:tcBorders>
              <w:top w:val="nil"/>
              <w:left w:val="nil"/>
              <w:bottom w:val="single" w:sz="8" w:space="0" w:color="auto"/>
              <w:right w:val="single" w:sz="8" w:space="0" w:color="auto"/>
            </w:tcBorders>
            <w:shd w:val="clear" w:color="auto" w:fill="auto"/>
            <w:vAlign w:val="center"/>
            <w:hideMark/>
          </w:tcPr>
          <w:p w14:paraId="5F22E346"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49764.79</w:t>
            </w:r>
          </w:p>
        </w:tc>
        <w:tc>
          <w:tcPr>
            <w:tcW w:w="1741" w:type="dxa"/>
            <w:tcBorders>
              <w:top w:val="nil"/>
              <w:left w:val="nil"/>
              <w:bottom w:val="single" w:sz="8" w:space="0" w:color="auto"/>
              <w:right w:val="single" w:sz="8" w:space="0" w:color="auto"/>
            </w:tcBorders>
            <w:shd w:val="clear" w:color="auto" w:fill="auto"/>
            <w:vAlign w:val="center"/>
            <w:hideMark/>
          </w:tcPr>
          <w:p w14:paraId="5875CBA5"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46869.76</w:t>
            </w:r>
          </w:p>
        </w:tc>
        <w:tc>
          <w:tcPr>
            <w:tcW w:w="1593" w:type="dxa"/>
            <w:tcBorders>
              <w:top w:val="nil"/>
              <w:left w:val="nil"/>
              <w:bottom w:val="single" w:sz="8" w:space="0" w:color="auto"/>
              <w:right w:val="single" w:sz="8" w:space="0" w:color="auto"/>
            </w:tcBorders>
            <w:shd w:val="clear" w:color="auto" w:fill="auto"/>
            <w:vAlign w:val="center"/>
            <w:hideMark/>
          </w:tcPr>
          <w:p w14:paraId="3A126344"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70219.47</w:t>
            </w:r>
          </w:p>
        </w:tc>
        <w:tc>
          <w:tcPr>
            <w:tcW w:w="1484" w:type="dxa"/>
            <w:tcBorders>
              <w:top w:val="nil"/>
              <w:left w:val="nil"/>
              <w:bottom w:val="single" w:sz="8" w:space="0" w:color="auto"/>
              <w:right w:val="single" w:sz="8" w:space="0" w:color="auto"/>
            </w:tcBorders>
            <w:shd w:val="clear" w:color="auto" w:fill="auto"/>
            <w:vAlign w:val="center"/>
            <w:hideMark/>
          </w:tcPr>
          <w:p w14:paraId="6E76F7E0"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2238.13</w:t>
            </w:r>
          </w:p>
        </w:tc>
        <w:tc>
          <w:tcPr>
            <w:tcW w:w="1593" w:type="dxa"/>
            <w:tcBorders>
              <w:top w:val="nil"/>
              <w:left w:val="nil"/>
              <w:bottom w:val="single" w:sz="8" w:space="0" w:color="auto"/>
              <w:right w:val="single" w:sz="8" w:space="0" w:color="auto"/>
            </w:tcBorders>
            <w:shd w:val="clear" w:color="auto" w:fill="auto"/>
            <w:vAlign w:val="center"/>
            <w:hideMark/>
          </w:tcPr>
          <w:p w14:paraId="651033D9"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12617.51</w:t>
            </w:r>
          </w:p>
        </w:tc>
      </w:tr>
      <w:tr w:rsidR="002563FD" w:rsidRPr="001167C1" w14:paraId="2CAB4125" w14:textId="77777777" w:rsidTr="00847EFA">
        <w:trPr>
          <w:trHeight w:val="345"/>
        </w:trPr>
        <w:tc>
          <w:tcPr>
            <w:tcW w:w="1325" w:type="dxa"/>
            <w:tcBorders>
              <w:top w:val="nil"/>
              <w:left w:val="single" w:sz="8" w:space="0" w:color="auto"/>
              <w:bottom w:val="single" w:sz="8" w:space="0" w:color="auto"/>
              <w:right w:val="single" w:sz="8" w:space="0" w:color="auto"/>
            </w:tcBorders>
            <w:shd w:val="clear" w:color="auto" w:fill="auto"/>
            <w:vAlign w:val="center"/>
            <w:hideMark/>
          </w:tcPr>
          <w:p w14:paraId="17D45108"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2022</w:t>
            </w:r>
          </w:p>
        </w:tc>
        <w:tc>
          <w:tcPr>
            <w:tcW w:w="1593" w:type="dxa"/>
            <w:tcBorders>
              <w:top w:val="nil"/>
              <w:left w:val="nil"/>
              <w:bottom w:val="single" w:sz="8" w:space="0" w:color="auto"/>
              <w:right w:val="single" w:sz="8" w:space="0" w:color="auto"/>
            </w:tcBorders>
            <w:shd w:val="clear" w:color="auto" w:fill="auto"/>
            <w:vAlign w:val="center"/>
            <w:hideMark/>
          </w:tcPr>
          <w:p w14:paraId="47356178"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48983.62</w:t>
            </w:r>
          </w:p>
        </w:tc>
        <w:tc>
          <w:tcPr>
            <w:tcW w:w="1741" w:type="dxa"/>
            <w:tcBorders>
              <w:top w:val="nil"/>
              <w:left w:val="nil"/>
              <w:bottom w:val="single" w:sz="8" w:space="0" w:color="auto"/>
              <w:right w:val="single" w:sz="8" w:space="0" w:color="auto"/>
            </w:tcBorders>
            <w:shd w:val="clear" w:color="auto" w:fill="auto"/>
            <w:vAlign w:val="center"/>
            <w:hideMark/>
          </w:tcPr>
          <w:p w14:paraId="65E90FF5"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46125.26</w:t>
            </w:r>
          </w:p>
        </w:tc>
        <w:tc>
          <w:tcPr>
            <w:tcW w:w="1593" w:type="dxa"/>
            <w:tcBorders>
              <w:top w:val="nil"/>
              <w:left w:val="nil"/>
              <w:bottom w:val="single" w:sz="8" w:space="0" w:color="auto"/>
              <w:right w:val="single" w:sz="8" w:space="0" w:color="auto"/>
            </w:tcBorders>
            <w:shd w:val="clear" w:color="auto" w:fill="auto"/>
            <w:vAlign w:val="center"/>
            <w:hideMark/>
          </w:tcPr>
          <w:p w14:paraId="39162244"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76329.58</w:t>
            </w:r>
          </w:p>
        </w:tc>
        <w:tc>
          <w:tcPr>
            <w:tcW w:w="1484" w:type="dxa"/>
            <w:tcBorders>
              <w:top w:val="nil"/>
              <w:left w:val="nil"/>
              <w:bottom w:val="single" w:sz="8" w:space="0" w:color="auto"/>
              <w:right w:val="single" w:sz="8" w:space="0" w:color="auto"/>
            </w:tcBorders>
            <w:shd w:val="clear" w:color="auto" w:fill="auto"/>
            <w:vAlign w:val="center"/>
            <w:hideMark/>
          </w:tcPr>
          <w:p w14:paraId="212D52A3"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2410.89</w:t>
            </w:r>
          </w:p>
        </w:tc>
        <w:tc>
          <w:tcPr>
            <w:tcW w:w="1593" w:type="dxa"/>
            <w:tcBorders>
              <w:top w:val="nil"/>
              <w:left w:val="nil"/>
              <w:bottom w:val="single" w:sz="8" w:space="0" w:color="auto"/>
              <w:right w:val="single" w:sz="8" w:space="0" w:color="auto"/>
            </w:tcBorders>
            <w:shd w:val="clear" w:color="auto" w:fill="auto"/>
            <w:vAlign w:val="center"/>
            <w:hideMark/>
          </w:tcPr>
          <w:p w14:paraId="62C7F913" w14:textId="77777777" w:rsidR="002563FD" w:rsidRPr="001167C1" w:rsidRDefault="002563FD"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kern w:val="0"/>
                <w:szCs w:val="24"/>
              </w:rPr>
              <w:t>12720.22</w:t>
            </w:r>
          </w:p>
        </w:tc>
      </w:tr>
    </w:tbl>
    <w:p w14:paraId="4B3A5581" w14:textId="77777777" w:rsidR="00836934" w:rsidRPr="001167C1" w:rsidRDefault="00836934"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Hong Kong demonstrates a relatively stable trend in nominal GDP per capita, with no significant increases or drops observed over the examined period.</w:t>
      </w:r>
    </w:p>
    <w:p w14:paraId="17EF20B7" w14:textId="77777777" w:rsidR="00836934" w:rsidRPr="001167C1" w:rsidRDefault="00836934" w:rsidP="001167C1">
      <w:pPr>
        <w:adjustRightInd w:val="0"/>
        <w:snapToGrid w:val="0"/>
        <w:spacing w:line="360" w:lineRule="auto"/>
        <w:jc w:val="both"/>
        <w:rPr>
          <w:rFonts w:ascii="Times New Roman" w:hAnsi="Times New Roman"/>
          <w:bCs/>
          <w:szCs w:val="24"/>
        </w:rPr>
      </w:pPr>
    </w:p>
    <w:p w14:paraId="4BC6C0B5" w14:textId="77777777" w:rsidR="00836934" w:rsidRPr="001167C1" w:rsidRDefault="00836934"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Among advanced countries, there was a notable decline in 2020 followed by a rebound in 2021, indicating a temporary setback due to various economic factors. Conversely, emerging countries exhibit an overall increasing trend in nominal GDP per capita, suggesting sustained economic growth.</w:t>
      </w:r>
    </w:p>
    <w:p w14:paraId="534E3896" w14:textId="731E85F8" w:rsidR="00836934" w:rsidRPr="001167C1" w:rsidRDefault="00836934"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The United States consistently maintains a higher level of nominal GDP per capita compared to other advanced countries, reflecting its relatively robust economic performance within this </w:t>
      </w:r>
      <w:r w:rsidR="001167C1" w:rsidRPr="001167C1">
        <w:rPr>
          <w:rFonts w:ascii="Times New Roman" w:hAnsi="Times New Roman"/>
          <w:bCs/>
          <w:szCs w:val="24"/>
        </w:rPr>
        <w:t>group. Similarly</w:t>
      </w:r>
      <w:r w:rsidRPr="001167C1">
        <w:rPr>
          <w:rFonts w:ascii="Times New Roman" w:hAnsi="Times New Roman"/>
          <w:bCs/>
          <w:szCs w:val="24"/>
        </w:rPr>
        <w:t>, China demonstrates a higher level of nominal GDP per capita when compared to other emerging countries, highlighting its economic advancement and stronger position within this cohort.</w:t>
      </w:r>
    </w:p>
    <w:p w14:paraId="261A7FB0" w14:textId="61A15B93" w:rsidR="00836934" w:rsidRPr="001167C1" w:rsidRDefault="00836934" w:rsidP="001167C1">
      <w:pPr>
        <w:widowControl/>
        <w:spacing w:line="360" w:lineRule="auto"/>
        <w:rPr>
          <w:rFonts w:ascii="Times New Roman" w:hAnsi="Times New Roman"/>
          <w:bCs/>
          <w:szCs w:val="24"/>
        </w:rPr>
      </w:pPr>
      <w:r w:rsidRPr="001167C1">
        <w:rPr>
          <w:rFonts w:ascii="Times New Roman" w:hAnsi="Times New Roman"/>
          <w:bCs/>
          <w:szCs w:val="24"/>
        </w:rPr>
        <w:br w:type="page"/>
      </w:r>
    </w:p>
    <w:p w14:paraId="2B2C09B9" w14:textId="79BD02F7" w:rsidR="00CF29E3" w:rsidRPr="001167C1" w:rsidRDefault="00F24852"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lastRenderedPageBreak/>
        <w:t xml:space="preserve">Graph 4 </w:t>
      </w:r>
      <w:r w:rsidR="00CC0AA6" w:rsidRPr="001167C1">
        <w:rPr>
          <w:rFonts w:ascii="Times New Roman" w:hAnsi="Times New Roman"/>
          <w:bCs/>
          <w:szCs w:val="24"/>
        </w:rPr>
        <w:t>Time plot of</w:t>
      </w:r>
      <w:r w:rsidR="00D46FF6" w:rsidRPr="001167C1">
        <w:rPr>
          <w:rFonts w:ascii="Times New Roman" w:hAnsi="Times New Roman"/>
          <w:bCs/>
          <w:szCs w:val="24"/>
        </w:rPr>
        <w:t xml:space="preserve"> nominal </w:t>
      </w:r>
      <w:r w:rsidR="00A83096" w:rsidRPr="001167C1">
        <w:rPr>
          <w:rFonts w:ascii="Times New Roman" w:hAnsi="Times New Roman"/>
          <w:bCs/>
          <w:szCs w:val="24"/>
        </w:rPr>
        <w:t>GDP</w:t>
      </w:r>
      <w:r w:rsidR="00D46FF6" w:rsidRPr="001167C1">
        <w:rPr>
          <w:rFonts w:ascii="Times New Roman" w:hAnsi="Times New Roman"/>
          <w:bCs/>
          <w:szCs w:val="24"/>
        </w:rPr>
        <w:t xml:space="preserve"> per</w:t>
      </w:r>
      <w:r w:rsidR="00A83096" w:rsidRPr="001167C1">
        <w:rPr>
          <w:rFonts w:ascii="Times New Roman" w:hAnsi="Times New Roman"/>
          <w:bCs/>
          <w:szCs w:val="24"/>
        </w:rPr>
        <w:t xml:space="preserve"> </w:t>
      </w:r>
      <w:r w:rsidR="00D46FF6" w:rsidRPr="001167C1">
        <w:rPr>
          <w:rFonts w:ascii="Times New Roman" w:hAnsi="Times New Roman"/>
          <w:bCs/>
          <w:szCs w:val="24"/>
        </w:rPr>
        <w:t>capita</w:t>
      </w:r>
      <w:r w:rsidR="00CC0AA6" w:rsidRPr="001167C1">
        <w:rPr>
          <w:rFonts w:ascii="Times New Roman" w:hAnsi="Times New Roman"/>
          <w:bCs/>
          <w:szCs w:val="24"/>
        </w:rPr>
        <w:t xml:space="preserve"> in the selected countries</w:t>
      </w:r>
      <w:r w:rsidR="00A5780D" w:rsidRPr="001167C1">
        <w:rPr>
          <w:rFonts w:ascii="Times New Roman" w:hAnsi="Times New Roman"/>
          <w:bCs/>
          <w:szCs w:val="24"/>
        </w:rPr>
        <w:t>: 2019 to 2022</w:t>
      </w:r>
    </w:p>
    <w:tbl>
      <w:tblPr>
        <w:tblStyle w:val="af6"/>
        <w:tblW w:w="0" w:type="auto"/>
        <w:tblLook w:val="04A0" w:firstRow="1" w:lastRow="0" w:firstColumn="1" w:lastColumn="0" w:noHBand="0" w:noVBand="1"/>
      </w:tblPr>
      <w:tblGrid>
        <w:gridCol w:w="9126"/>
      </w:tblGrid>
      <w:tr w:rsidR="002563FD" w:rsidRPr="001167C1" w14:paraId="31248263" w14:textId="77777777" w:rsidTr="004E2973">
        <w:trPr>
          <w:trHeight w:val="5718"/>
        </w:trPr>
        <w:tc>
          <w:tcPr>
            <w:tcW w:w="9126" w:type="dxa"/>
            <w:vAlign w:val="center"/>
          </w:tcPr>
          <w:p w14:paraId="7BE59225" w14:textId="201B24D0" w:rsidR="00CC0AA6" w:rsidRPr="001167C1" w:rsidRDefault="002563FD" w:rsidP="001167C1">
            <w:pPr>
              <w:adjustRightInd w:val="0"/>
              <w:snapToGrid w:val="0"/>
              <w:spacing w:line="360" w:lineRule="auto"/>
              <w:jc w:val="center"/>
              <w:rPr>
                <w:rFonts w:ascii="Times New Roman" w:hAnsi="Times New Roman"/>
                <w:bCs/>
                <w:szCs w:val="24"/>
              </w:rPr>
            </w:pPr>
            <w:r w:rsidRPr="001167C1">
              <w:rPr>
                <w:rFonts w:ascii="Times New Roman" w:hAnsi="Times New Roman"/>
                <w:bCs/>
                <w:noProof/>
                <w:szCs w:val="24"/>
              </w:rPr>
              <w:drawing>
                <wp:inline distT="0" distB="0" distL="0" distR="0" wp14:anchorId="4C601368" wp14:editId="25CB41BF">
                  <wp:extent cx="5486400" cy="3200400"/>
                  <wp:effectExtent l="0" t="0" r="0" b="0"/>
                  <wp:docPr id="1606267316" name="圖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c>
      </w:tr>
      <w:tr w:rsidR="002563FD" w:rsidRPr="001167C1" w14:paraId="18794E45" w14:textId="77777777" w:rsidTr="004E2973">
        <w:tc>
          <w:tcPr>
            <w:tcW w:w="9126" w:type="dxa"/>
            <w:vAlign w:val="center"/>
          </w:tcPr>
          <w:p w14:paraId="60AAEE00" w14:textId="77777777" w:rsidR="00CC0AA6" w:rsidRPr="001167C1" w:rsidRDefault="00CC0AA6"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Sources: The dataset listed in Table 1</w:t>
            </w:r>
          </w:p>
        </w:tc>
      </w:tr>
    </w:tbl>
    <w:p w14:paraId="4EA03EF6" w14:textId="41A9A361" w:rsidR="00072599" w:rsidRPr="001167C1" w:rsidRDefault="00072599" w:rsidP="00232DBE">
      <w:pPr>
        <w:adjustRightInd w:val="0"/>
        <w:snapToGrid w:val="0"/>
        <w:spacing w:line="360" w:lineRule="auto"/>
        <w:jc w:val="both"/>
        <w:rPr>
          <w:rFonts w:ascii="Times New Roman" w:hAnsi="Times New Roman"/>
          <w:bCs/>
          <w:szCs w:val="24"/>
        </w:rPr>
      </w:pPr>
      <w:r w:rsidRPr="001167C1">
        <w:rPr>
          <w:rFonts w:ascii="Times New Roman" w:hAnsi="Times New Roman"/>
          <w:bCs/>
          <w:szCs w:val="24"/>
        </w:rPr>
        <w:t>From 2019 to 2021, Hong Kong, the United States, and the United Kingdom) exhibit a similar trend pattern in their nominal GDP per capita. However, a notable shift occurs in 2021, acting as a trigger point for these economies. In 2021, the US experiences an increasing trend in nominal GDP per capita, suggesting positive economic growth. On the other hand, both HK and the UK show a slight decline in this metric during the same year.</w:t>
      </w:r>
    </w:p>
    <w:p w14:paraId="749C5136" w14:textId="77777777" w:rsidR="00072599" w:rsidRPr="001167C1" w:rsidRDefault="00072599" w:rsidP="00232DBE">
      <w:pPr>
        <w:adjustRightInd w:val="0"/>
        <w:snapToGrid w:val="0"/>
        <w:spacing w:line="360" w:lineRule="auto"/>
        <w:jc w:val="both"/>
        <w:rPr>
          <w:rFonts w:ascii="Times New Roman" w:hAnsi="Times New Roman"/>
          <w:bCs/>
          <w:szCs w:val="24"/>
        </w:rPr>
      </w:pPr>
    </w:p>
    <w:p w14:paraId="3997AB9F" w14:textId="2BE46966" w:rsidR="00072599" w:rsidRPr="001167C1" w:rsidRDefault="00072599" w:rsidP="00232DBE">
      <w:pPr>
        <w:adjustRightInd w:val="0"/>
        <w:snapToGrid w:val="0"/>
        <w:spacing w:line="360" w:lineRule="auto"/>
        <w:jc w:val="both"/>
        <w:rPr>
          <w:rFonts w:ascii="Times New Roman" w:hAnsi="Times New Roman"/>
          <w:bCs/>
          <w:szCs w:val="24"/>
        </w:rPr>
      </w:pPr>
      <w:r w:rsidRPr="001167C1">
        <w:rPr>
          <w:rFonts w:ascii="Times New Roman" w:hAnsi="Times New Roman"/>
          <w:bCs/>
          <w:szCs w:val="24"/>
        </w:rPr>
        <w:t>Regarding India and China, these two countries share a similar pattern of trend movement in nominal GDP per capita. However, it is important to note that China maintains a higher level of nominal GDP per capita compared to India, indicating its relatively stronger economic position.</w:t>
      </w:r>
    </w:p>
    <w:p w14:paraId="6E9E5307" w14:textId="2915AF12" w:rsidR="0081320F" w:rsidRPr="001167C1" w:rsidRDefault="0081320F" w:rsidP="001167C1">
      <w:pPr>
        <w:widowControl/>
        <w:spacing w:line="360" w:lineRule="auto"/>
        <w:rPr>
          <w:rFonts w:ascii="Times New Roman" w:hAnsi="Times New Roman"/>
          <w:bCs/>
          <w:szCs w:val="24"/>
        </w:rPr>
      </w:pPr>
      <w:r w:rsidRPr="001167C1">
        <w:rPr>
          <w:rFonts w:ascii="Times New Roman" w:hAnsi="Times New Roman"/>
          <w:bCs/>
          <w:szCs w:val="24"/>
        </w:rPr>
        <w:br w:type="page"/>
      </w:r>
    </w:p>
    <w:p w14:paraId="30575C92" w14:textId="0497507D" w:rsidR="00CC0AA6" w:rsidRPr="001167C1" w:rsidRDefault="00CC0AA6" w:rsidP="001167C1">
      <w:pPr>
        <w:adjustRightInd w:val="0"/>
        <w:snapToGrid w:val="0"/>
        <w:spacing w:line="360" w:lineRule="auto"/>
        <w:rPr>
          <w:rFonts w:ascii="Times New Roman" w:hAnsi="Times New Roman"/>
          <w:bCs/>
          <w:szCs w:val="24"/>
        </w:rPr>
      </w:pPr>
      <w:r w:rsidRPr="001167C1">
        <w:rPr>
          <w:rFonts w:ascii="Times New Roman" w:hAnsi="Times New Roman"/>
          <w:bCs/>
          <w:szCs w:val="24"/>
        </w:rPr>
        <w:lastRenderedPageBreak/>
        <w:t xml:space="preserve">Table </w:t>
      </w:r>
      <w:r w:rsidR="009768AD" w:rsidRPr="001167C1">
        <w:rPr>
          <w:rFonts w:ascii="Times New Roman" w:hAnsi="Times New Roman"/>
          <w:bCs/>
          <w:szCs w:val="24"/>
        </w:rPr>
        <w:t>8</w:t>
      </w:r>
      <w:r w:rsidRPr="001167C1">
        <w:rPr>
          <w:rFonts w:ascii="Times New Roman" w:hAnsi="Times New Roman"/>
          <w:bCs/>
          <w:szCs w:val="24"/>
        </w:rPr>
        <w:t xml:space="preserve"> Major summary statistics of </w:t>
      </w:r>
      <w:r w:rsidR="00D46FF6" w:rsidRPr="001167C1">
        <w:rPr>
          <w:rFonts w:ascii="Times New Roman" w:hAnsi="Times New Roman"/>
          <w:bCs/>
          <w:szCs w:val="24"/>
        </w:rPr>
        <w:t>nominal GDP per capita</w:t>
      </w:r>
      <w:r w:rsidRPr="001167C1">
        <w:rPr>
          <w:rFonts w:ascii="Times New Roman" w:hAnsi="Times New Roman"/>
          <w:bCs/>
          <w:szCs w:val="24"/>
        </w:rPr>
        <w:t xml:space="preserve"> in</w:t>
      </w:r>
      <w:r w:rsidR="00A0488C" w:rsidRPr="001167C1">
        <w:rPr>
          <w:rFonts w:ascii="Times New Roman" w:hAnsi="Times New Roman"/>
          <w:bCs/>
          <w:szCs w:val="24"/>
        </w:rPr>
        <w:t xml:space="preserve"> selected countries</w:t>
      </w:r>
      <w:r w:rsidRPr="001167C1">
        <w:rPr>
          <w:rFonts w:ascii="Times New Roman" w:hAnsi="Times New Roman"/>
          <w:bCs/>
          <w:szCs w:val="24"/>
        </w:rPr>
        <w:t xml:space="preserve">: </w:t>
      </w:r>
      <w:r w:rsidR="00A5780D" w:rsidRPr="001167C1">
        <w:rPr>
          <w:rFonts w:ascii="Times New Roman" w:hAnsi="Times New Roman"/>
          <w:bCs/>
          <w:szCs w:val="24"/>
        </w:rPr>
        <w:t>2019</w:t>
      </w:r>
      <w:r w:rsidRPr="001167C1">
        <w:rPr>
          <w:rFonts w:ascii="Times New Roman" w:hAnsi="Times New Roman"/>
          <w:bCs/>
          <w:szCs w:val="24"/>
        </w:rPr>
        <w:t xml:space="preserve"> to 2022</w:t>
      </w:r>
      <w:r w:rsidR="00D46FF6" w:rsidRPr="001167C1">
        <w:rPr>
          <w:rFonts w:ascii="Times New Roman" w:hAnsi="Times New Roman"/>
          <w:bCs/>
          <w:szCs w:val="24"/>
        </w:rPr>
        <w:t xml:space="preserve"> (US$,000)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5"/>
        <w:gridCol w:w="1344"/>
        <w:gridCol w:w="1375"/>
        <w:gridCol w:w="1605"/>
        <w:gridCol w:w="1506"/>
        <w:gridCol w:w="1623"/>
      </w:tblGrid>
      <w:tr w:rsidR="00F353A4" w:rsidRPr="001167C1" w14:paraId="630C5E46" w14:textId="77777777" w:rsidTr="00836934">
        <w:tc>
          <w:tcPr>
            <w:tcW w:w="2175" w:type="dxa"/>
            <w:shd w:val="clear" w:color="auto" w:fill="auto"/>
          </w:tcPr>
          <w:p w14:paraId="22871AE4" w14:textId="77777777" w:rsidR="00D46FF6" w:rsidRPr="001167C1" w:rsidRDefault="00D46FF6"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Summar statistics</w:t>
            </w:r>
          </w:p>
        </w:tc>
        <w:tc>
          <w:tcPr>
            <w:tcW w:w="1344" w:type="dxa"/>
            <w:vAlign w:val="center"/>
          </w:tcPr>
          <w:p w14:paraId="1F395054" w14:textId="012BBADA" w:rsidR="00D46FF6" w:rsidRPr="001167C1" w:rsidRDefault="00D46FF6"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Hong Kong</w:t>
            </w:r>
          </w:p>
        </w:tc>
        <w:tc>
          <w:tcPr>
            <w:tcW w:w="1375" w:type="dxa"/>
            <w:vAlign w:val="center"/>
          </w:tcPr>
          <w:p w14:paraId="341F6C1A" w14:textId="2EA1BAA7" w:rsidR="00D46FF6" w:rsidRPr="001167C1" w:rsidRDefault="00D46FF6"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United Kingdom</w:t>
            </w:r>
          </w:p>
        </w:tc>
        <w:tc>
          <w:tcPr>
            <w:tcW w:w="1605" w:type="dxa"/>
            <w:shd w:val="clear" w:color="auto" w:fill="auto"/>
            <w:vAlign w:val="center"/>
          </w:tcPr>
          <w:p w14:paraId="34830207" w14:textId="5E6B901B" w:rsidR="00D46FF6" w:rsidRPr="001167C1" w:rsidRDefault="00D46FF6"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United States</w:t>
            </w:r>
          </w:p>
        </w:tc>
        <w:tc>
          <w:tcPr>
            <w:tcW w:w="1506" w:type="dxa"/>
            <w:shd w:val="clear" w:color="auto" w:fill="auto"/>
            <w:vAlign w:val="center"/>
          </w:tcPr>
          <w:p w14:paraId="20F1A58E" w14:textId="6F70D2D6" w:rsidR="00D46FF6" w:rsidRPr="001167C1" w:rsidRDefault="00D46FF6"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India</w:t>
            </w:r>
          </w:p>
        </w:tc>
        <w:tc>
          <w:tcPr>
            <w:tcW w:w="1623" w:type="dxa"/>
            <w:vAlign w:val="center"/>
          </w:tcPr>
          <w:p w14:paraId="7168F859" w14:textId="20F7C438" w:rsidR="00D46FF6" w:rsidRPr="001167C1" w:rsidRDefault="00D46FF6" w:rsidP="001167C1">
            <w:pPr>
              <w:adjustRightInd w:val="0"/>
              <w:snapToGrid w:val="0"/>
              <w:spacing w:line="360" w:lineRule="auto"/>
              <w:rPr>
                <w:rFonts w:ascii="Times New Roman" w:hAnsi="Times New Roman"/>
                <w:bCs/>
                <w:szCs w:val="24"/>
              </w:rPr>
            </w:pPr>
            <w:r w:rsidRPr="001167C1">
              <w:rPr>
                <w:rFonts w:ascii="Times New Roman" w:hAnsi="Times New Roman"/>
                <w:kern w:val="0"/>
                <w:szCs w:val="24"/>
              </w:rPr>
              <w:t>China</w:t>
            </w:r>
          </w:p>
        </w:tc>
      </w:tr>
      <w:tr w:rsidR="00836934" w:rsidRPr="001167C1" w14:paraId="4E236727" w14:textId="77777777" w:rsidTr="00836934">
        <w:tc>
          <w:tcPr>
            <w:tcW w:w="2175" w:type="dxa"/>
            <w:shd w:val="clear" w:color="auto" w:fill="auto"/>
          </w:tcPr>
          <w:p w14:paraId="11FC446D" w14:textId="74838E75" w:rsidR="00836934" w:rsidRPr="001167C1" w:rsidRDefault="00836934"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Growth rate from 2019 to 2022</w:t>
            </w:r>
          </w:p>
        </w:tc>
        <w:tc>
          <w:tcPr>
            <w:tcW w:w="1344" w:type="dxa"/>
          </w:tcPr>
          <w:p w14:paraId="15D9D3DB" w14:textId="463644BA" w:rsidR="00836934" w:rsidRPr="001167C1" w:rsidRDefault="00836934" w:rsidP="001167C1">
            <w:pPr>
              <w:adjustRightInd w:val="0"/>
              <w:snapToGrid w:val="0"/>
              <w:spacing w:line="360" w:lineRule="auto"/>
              <w:jc w:val="center"/>
              <w:rPr>
                <w:rFonts w:ascii="Times New Roman" w:hAnsi="Times New Roman"/>
                <w:kern w:val="0"/>
                <w:szCs w:val="24"/>
              </w:rPr>
            </w:pPr>
            <w:r w:rsidRPr="001167C1">
              <w:rPr>
                <w:rFonts w:ascii="Times New Roman" w:hAnsi="Times New Roman"/>
                <w:szCs w:val="24"/>
              </w:rPr>
              <w:t>1%</w:t>
            </w:r>
          </w:p>
        </w:tc>
        <w:tc>
          <w:tcPr>
            <w:tcW w:w="1375" w:type="dxa"/>
          </w:tcPr>
          <w:p w14:paraId="60A12C42" w14:textId="2AF76DC9" w:rsidR="00836934" w:rsidRPr="001167C1" w:rsidRDefault="00836934" w:rsidP="001167C1">
            <w:pPr>
              <w:adjustRightInd w:val="0"/>
              <w:snapToGrid w:val="0"/>
              <w:spacing w:line="360" w:lineRule="auto"/>
              <w:jc w:val="center"/>
              <w:rPr>
                <w:rFonts w:ascii="Times New Roman" w:hAnsi="Times New Roman"/>
                <w:kern w:val="0"/>
                <w:szCs w:val="24"/>
              </w:rPr>
            </w:pPr>
            <w:r w:rsidRPr="001167C1">
              <w:rPr>
                <w:rFonts w:ascii="Times New Roman" w:hAnsi="Times New Roman"/>
                <w:szCs w:val="24"/>
              </w:rPr>
              <w:t>8%</w:t>
            </w:r>
          </w:p>
        </w:tc>
        <w:tc>
          <w:tcPr>
            <w:tcW w:w="1605" w:type="dxa"/>
            <w:shd w:val="clear" w:color="auto" w:fill="auto"/>
          </w:tcPr>
          <w:p w14:paraId="222BC68E" w14:textId="713B862B" w:rsidR="00836934" w:rsidRPr="001167C1" w:rsidRDefault="00836934" w:rsidP="001167C1">
            <w:pPr>
              <w:adjustRightInd w:val="0"/>
              <w:snapToGrid w:val="0"/>
              <w:spacing w:line="360" w:lineRule="auto"/>
              <w:jc w:val="center"/>
              <w:rPr>
                <w:rFonts w:ascii="Times New Roman" w:hAnsi="Times New Roman"/>
                <w:kern w:val="0"/>
                <w:szCs w:val="24"/>
              </w:rPr>
            </w:pPr>
            <w:r w:rsidRPr="001167C1">
              <w:rPr>
                <w:rFonts w:ascii="Times New Roman" w:hAnsi="Times New Roman"/>
                <w:szCs w:val="24"/>
              </w:rPr>
              <w:t>17%</w:t>
            </w:r>
          </w:p>
        </w:tc>
        <w:tc>
          <w:tcPr>
            <w:tcW w:w="1506" w:type="dxa"/>
            <w:shd w:val="clear" w:color="auto" w:fill="auto"/>
          </w:tcPr>
          <w:p w14:paraId="046D029E" w14:textId="13970AC6" w:rsidR="00836934" w:rsidRPr="001167C1" w:rsidRDefault="00836934" w:rsidP="001167C1">
            <w:pPr>
              <w:adjustRightInd w:val="0"/>
              <w:snapToGrid w:val="0"/>
              <w:spacing w:line="360" w:lineRule="auto"/>
              <w:jc w:val="center"/>
              <w:rPr>
                <w:rFonts w:ascii="Times New Roman" w:hAnsi="Times New Roman"/>
                <w:kern w:val="0"/>
                <w:szCs w:val="24"/>
              </w:rPr>
            </w:pPr>
            <w:r w:rsidRPr="001167C1">
              <w:rPr>
                <w:rFonts w:ascii="Times New Roman" w:hAnsi="Times New Roman"/>
                <w:szCs w:val="24"/>
              </w:rPr>
              <w:t>18%</w:t>
            </w:r>
          </w:p>
        </w:tc>
        <w:tc>
          <w:tcPr>
            <w:tcW w:w="1623" w:type="dxa"/>
          </w:tcPr>
          <w:p w14:paraId="650A1062" w14:textId="2484F7D1" w:rsidR="00836934" w:rsidRPr="001167C1" w:rsidRDefault="00836934" w:rsidP="001167C1">
            <w:pPr>
              <w:adjustRightInd w:val="0"/>
              <w:snapToGrid w:val="0"/>
              <w:spacing w:line="360" w:lineRule="auto"/>
              <w:jc w:val="center"/>
              <w:rPr>
                <w:rFonts w:ascii="Times New Roman" w:hAnsi="Times New Roman"/>
                <w:kern w:val="0"/>
                <w:szCs w:val="24"/>
              </w:rPr>
            </w:pPr>
            <w:r w:rsidRPr="001167C1">
              <w:rPr>
                <w:rFonts w:ascii="Times New Roman" w:hAnsi="Times New Roman"/>
                <w:szCs w:val="24"/>
              </w:rPr>
              <w:t>25%</w:t>
            </w:r>
          </w:p>
        </w:tc>
      </w:tr>
      <w:tr w:rsidR="00F353A4" w:rsidRPr="001167C1" w14:paraId="3C1AD238" w14:textId="77777777" w:rsidTr="00836934">
        <w:tc>
          <w:tcPr>
            <w:tcW w:w="2175" w:type="dxa"/>
            <w:shd w:val="clear" w:color="auto" w:fill="auto"/>
          </w:tcPr>
          <w:p w14:paraId="6C898BA7" w14:textId="2B0395E4" w:rsidR="007E5997" w:rsidRPr="001167C1" w:rsidRDefault="007E599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 xml:space="preserve">Mean </w:t>
            </w:r>
            <w:r w:rsidR="00D46FF6" w:rsidRPr="001167C1">
              <w:rPr>
                <w:rFonts w:ascii="Times New Roman" w:hAnsi="Times New Roman"/>
                <w:bCs/>
                <w:szCs w:val="24"/>
              </w:rPr>
              <w:t>(US$,000)</w:t>
            </w:r>
          </w:p>
        </w:tc>
        <w:tc>
          <w:tcPr>
            <w:tcW w:w="1344" w:type="dxa"/>
            <w:vAlign w:val="center"/>
          </w:tcPr>
          <w:p w14:paraId="3BA3B047" w14:textId="26D252D2" w:rsidR="007E5997"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48304.16</w:t>
            </w:r>
          </w:p>
        </w:tc>
        <w:tc>
          <w:tcPr>
            <w:tcW w:w="1375" w:type="dxa"/>
            <w:vAlign w:val="center"/>
          </w:tcPr>
          <w:p w14:paraId="73BF78E8" w14:textId="02BE3E8A" w:rsidR="007E5997" w:rsidRPr="001167C1" w:rsidRDefault="00D46FF6" w:rsidP="001167C1">
            <w:pPr>
              <w:widowControl/>
              <w:spacing w:line="360" w:lineRule="auto"/>
              <w:jc w:val="center"/>
              <w:rPr>
                <w:rFonts w:ascii="Times New Roman" w:hAnsi="Times New Roman"/>
                <w:kern w:val="0"/>
                <w:szCs w:val="24"/>
              </w:rPr>
            </w:pPr>
            <w:r w:rsidRPr="001167C1">
              <w:rPr>
                <w:rFonts w:ascii="Times New Roman" w:hAnsi="Times New Roman"/>
                <w:szCs w:val="24"/>
              </w:rPr>
              <w:t>43968.64</w:t>
            </w:r>
          </w:p>
        </w:tc>
        <w:tc>
          <w:tcPr>
            <w:tcW w:w="1605" w:type="dxa"/>
            <w:shd w:val="clear" w:color="auto" w:fill="auto"/>
            <w:vAlign w:val="center"/>
          </w:tcPr>
          <w:p w14:paraId="138E4436" w14:textId="4DD2D54A" w:rsidR="007E5997"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68799.52</w:t>
            </w:r>
          </w:p>
        </w:tc>
        <w:tc>
          <w:tcPr>
            <w:tcW w:w="1506" w:type="dxa"/>
            <w:shd w:val="clear" w:color="auto" w:fill="auto"/>
            <w:vAlign w:val="center"/>
          </w:tcPr>
          <w:p w14:paraId="53DB7CB2" w14:textId="30147529" w:rsidR="007E5997"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2153.10</w:t>
            </w:r>
          </w:p>
        </w:tc>
        <w:tc>
          <w:tcPr>
            <w:tcW w:w="1623" w:type="dxa"/>
            <w:vAlign w:val="center"/>
          </w:tcPr>
          <w:p w14:paraId="264B9188" w14:textId="2B07D904" w:rsidR="007E5997"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11472.58</w:t>
            </w:r>
          </w:p>
        </w:tc>
      </w:tr>
      <w:tr w:rsidR="00F353A4" w:rsidRPr="001167C1" w14:paraId="09CFC049" w14:textId="77777777" w:rsidTr="00836934">
        <w:trPr>
          <w:trHeight w:val="526"/>
        </w:trPr>
        <w:tc>
          <w:tcPr>
            <w:tcW w:w="2175" w:type="dxa"/>
            <w:shd w:val="clear" w:color="auto" w:fill="auto"/>
          </w:tcPr>
          <w:p w14:paraId="1E6DE14B" w14:textId="0D5E6EB1" w:rsidR="00D46FF6" w:rsidRPr="001167C1" w:rsidRDefault="00D46FF6"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Standard deviation</w:t>
            </w:r>
          </w:p>
        </w:tc>
        <w:tc>
          <w:tcPr>
            <w:tcW w:w="1344" w:type="dxa"/>
            <w:vAlign w:val="center"/>
          </w:tcPr>
          <w:p w14:paraId="6AF2FA0E" w14:textId="40F3ACC0" w:rsidR="00D46FF6"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1572.24</w:t>
            </w:r>
          </w:p>
        </w:tc>
        <w:tc>
          <w:tcPr>
            <w:tcW w:w="1375" w:type="dxa"/>
            <w:vAlign w:val="center"/>
          </w:tcPr>
          <w:p w14:paraId="7868CC84" w14:textId="2DD35557" w:rsidR="00D46FF6"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3100.97</w:t>
            </w:r>
          </w:p>
        </w:tc>
        <w:tc>
          <w:tcPr>
            <w:tcW w:w="1605" w:type="dxa"/>
            <w:shd w:val="clear" w:color="auto" w:fill="auto"/>
            <w:vAlign w:val="center"/>
          </w:tcPr>
          <w:p w14:paraId="677ACEB9" w14:textId="3628EC46" w:rsidR="00D46FF6" w:rsidRPr="001167C1" w:rsidRDefault="00D46FF6" w:rsidP="001167C1">
            <w:pPr>
              <w:widowControl/>
              <w:spacing w:line="360" w:lineRule="auto"/>
              <w:jc w:val="center"/>
              <w:rPr>
                <w:rFonts w:ascii="Times New Roman" w:hAnsi="Times New Roman"/>
                <w:kern w:val="0"/>
                <w:szCs w:val="24"/>
              </w:rPr>
            </w:pPr>
            <w:r w:rsidRPr="001167C1">
              <w:rPr>
                <w:rFonts w:ascii="Times New Roman" w:hAnsi="Times New Roman"/>
                <w:szCs w:val="24"/>
              </w:rPr>
              <w:t>5774.55</w:t>
            </w:r>
          </w:p>
        </w:tc>
        <w:tc>
          <w:tcPr>
            <w:tcW w:w="1506" w:type="dxa"/>
            <w:shd w:val="clear" w:color="auto" w:fill="auto"/>
            <w:vAlign w:val="center"/>
          </w:tcPr>
          <w:p w14:paraId="6D598943" w14:textId="1BDF7EB0" w:rsidR="00D46FF6"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217.43</w:t>
            </w:r>
          </w:p>
        </w:tc>
        <w:tc>
          <w:tcPr>
            <w:tcW w:w="1623" w:type="dxa"/>
            <w:vAlign w:val="center"/>
          </w:tcPr>
          <w:p w14:paraId="1EF3CB6C" w14:textId="671D376E" w:rsidR="00D46FF6"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1386.21</w:t>
            </w:r>
          </w:p>
        </w:tc>
      </w:tr>
      <w:tr w:rsidR="00F353A4" w:rsidRPr="001167C1" w14:paraId="730745AB" w14:textId="77777777" w:rsidTr="00836934">
        <w:trPr>
          <w:trHeight w:val="525"/>
        </w:trPr>
        <w:tc>
          <w:tcPr>
            <w:tcW w:w="2175" w:type="dxa"/>
            <w:shd w:val="clear" w:color="auto" w:fill="auto"/>
          </w:tcPr>
          <w:p w14:paraId="6A770021" w14:textId="77777777" w:rsidR="00D46FF6" w:rsidRPr="001167C1" w:rsidRDefault="00D46FF6"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Coefficient of variation</w:t>
            </w:r>
          </w:p>
          <w:p w14:paraId="22C81D08" w14:textId="724CF4F6" w:rsidR="00D46FF6" w:rsidRPr="001167C1" w:rsidRDefault="00D46FF6"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(CV=SD/Mean)</w:t>
            </w:r>
          </w:p>
        </w:tc>
        <w:tc>
          <w:tcPr>
            <w:tcW w:w="1344" w:type="dxa"/>
            <w:vAlign w:val="center"/>
          </w:tcPr>
          <w:p w14:paraId="720E8AE1" w14:textId="21E23D04" w:rsidR="00D46FF6"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0.03</w:t>
            </w:r>
          </w:p>
        </w:tc>
        <w:tc>
          <w:tcPr>
            <w:tcW w:w="1375" w:type="dxa"/>
            <w:vAlign w:val="center"/>
          </w:tcPr>
          <w:p w14:paraId="32F2C4D0" w14:textId="43461123" w:rsidR="00D46FF6"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0.07</w:t>
            </w:r>
          </w:p>
        </w:tc>
        <w:tc>
          <w:tcPr>
            <w:tcW w:w="1605" w:type="dxa"/>
            <w:shd w:val="clear" w:color="auto" w:fill="auto"/>
            <w:vAlign w:val="center"/>
          </w:tcPr>
          <w:p w14:paraId="267528C5" w14:textId="6E6FD364" w:rsidR="00D46FF6"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0.08</w:t>
            </w:r>
          </w:p>
        </w:tc>
        <w:tc>
          <w:tcPr>
            <w:tcW w:w="1506" w:type="dxa"/>
            <w:shd w:val="clear" w:color="auto" w:fill="auto"/>
            <w:vAlign w:val="center"/>
          </w:tcPr>
          <w:p w14:paraId="77A9D2CC" w14:textId="680BE2C7" w:rsidR="00D46FF6"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0.10</w:t>
            </w:r>
          </w:p>
        </w:tc>
        <w:tc>
          <w:tcPr>
            <w:tcW w:w="1623" w:type="dxa"/>
            <w:vAlign w:val="center"/>
          </w:tcPr>
          <w:p w14:paraId="4908D604" w14:textId="66E47404" w:rsidR="00D46FF6"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0.12</w:t>
            </w:r>
          </w:p>
        </w:tc>
      </w:tr>
      <w:tr w:rsidR="00F353A4" w:rsidRPr="001167C1" w14:paraId="478EEE79" w14:textId="77777777" w:rsidTr="00836934">
        <w:tc>
          <w:tcPr>
            <w:tcW w:w="2175" w:type="dxa"/>
            <w:shd w:val="clear" w:color="auto" w:fill="auto"/>
          </w:tcPr>
          <w:p w14:paraId="02106007" w14:textId="07319603" w:rsidR="007E5997" w:rsidRPr="001167C1" w:rsidRDefault="007E599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 xml:space="preserve">Maximum </w:t>
            </w:r>
            <w:r w:rsidR="00D46FF6" w:rsidRPr="001167C1">
              <w:rPr>
                <w:rFonts w:ascii="Times New Roman" w:hAnsi="Times New Roman"/>
                <w:bCs/>
                <w:szCs w:val="24"/>
              </w:rPr>
              <w:t>(US$,000)</w:t>
            </w:r>
          </w:p>
        </w:tc>
        <w:tc>
          <w:tcPr>
            <w:tcW w:w="1344" w:type="dxa"/>
            <w:vAlign w:val="center"/>
          </w:tcPr>
          <w:p w14:paraId="0F154276" w14:textId="1ACA138F" w:rsidR="007E5997"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49764.79</w:t>
            </w:r>
          </w:p>
        </w:tc>
        <w:tc>
          <w:tcPr>
            <w:tcW w:w="1375" w:type="dxa"/>
            <w:vAlign w:val="center"/>
          </w:tcPr>
          <w:p w14:paraId="4940A62A" w14:textId="3DC71589" w:rsidR="007E5997"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46869.76</w:t>
            </w:r>
          </w:p>
        </w:tc>
        <w:tc>
          <w:tcPr>
            <w:tcW w:w="1605" w:type="dxa"/>
            <w:shd w:val="clear" w:color="auto" w:fill="auto"/>
            <w:vAlign w:val="center"/>
          </w:tcPr>
          <w:p w14:paraId="503366E3" w14:textId="65439D5C" w:rsidR="007E5997"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76329.58</w:t>
            </w:r>
          </w:p>
        </w:tc>
        <w:tc>
          <w:tcPr>
            <w:tcW w:w="1506" w:type="dxa"/>
            <w:shd w:val="clear" w:color="auto" w:fill="auto"/>
            <w:vAlign w:val="center"/>
          </w:tcPr>
          <w:p w14:paraId="5EFEE3D6" w14:textId="6DF8BF71" w:rsidR="007E5997"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2410.89</w:t>
            </w:r>
          </w:p>
        </w:tc>
        <w:tc>
          <w:tcPr>
            <w:tcW w:w="1623" w:type="dxa"/>
            <w:vAlign w:val="center"/>
          </w:tcPr>
          <w:p w14:paraId="73776C9E" w14:textId="7AD536E7" w:rsidR="007E5997"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12720.22</w:t>
            </w:r>
          </w:p>
        </w:tc>
      </w:tr>
      <w:tr w:rsidR="00F353A4" w:rsidRPr="001167C1" w14:paraId="1BDBC254" w14:textId="77777777" w:rsidTr="00836934">
        <w:tc>
          <w:tcPr>
            <w:tcW w:w="2175" w:type="dxa"/>
            <w:shd w:val="clear" w:color="auto" w:fill="auto"/>
          </w:tcPr>
          <w:p w14:paraId="515F6236" w14:textId="0B827FA6" w:rsidR="007E5997" w:rsidRPr="001167C1" w:rsidRDefault="007E599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 xml:space="preserve">Minimum </w:t>
            </w:r>
            <w:r w:rsidR="00D46FF6" w:rsidRPr="001167C1">
              <w:rPr>
                <w:rFonts w:ascii="Times New Roman" w:hAnsi="Times New Roman"/>
                <w:bCs/>
                <w:szCs w:val="24"/>
              </w:rPr>
              <w:t>(US$,000)</w:t>
            </w:r>
          </w:p>
        </w:tc>
        <w:tc>
          <w:tcPr>
            <w:tcW w:w="1344" w:type="dxa"/>
            <w:vAlign w:val="center"/>
          </w:tcPr>
          <w:p w14:paraId="3E5F960C" w14:textId="42659789" w:rsidR="007E5997"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46109.23</w:t>
            </w:r>
          </w:p>
        </w:tc>
        <w:tc>
          <w:tcPr>
            <w:tcW w:w="1375" w:type="dxa"/>
            <w:vAlign w:val="center"/>
          </w:tcPr>
          <w:p w14:paraId="53478BAE" w14:textId="6675AD5B" w:rsidR="007E5997" w:rsidRPr="001167C1" w:rsidRDefault="00D46FF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40217.01</w:t>
            </w:r>
          </w:p>
        </w:tc>
        <w:tc>
          <w:tcPr>
            <w:tcW w:w="1605" w:type="dxa"/>
            <w:shd w:val="clear" w:color="auto" w:fill="auto"/>
            <w:vAlign w:val="center"/>
          </w:tcPr>
          <w:p w14:paraId="7AC678C9" w14:textId="64EEF883" w:rsidR="007E5997"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63528.63</w:t>
            </w:r>
          </w:p>
        </w:tc>
        <w:tc>
          <w:tcPr>
            <w:tcW w:w="1506" w:type="dxa"/>
            <w:shd w:val="clear" w:color="auto" w:fill="auto"/>
            <w:vAlign w:val="center"/>
          </w:tcPr>
          <w:p w14:paraId="2B14AA69" w14:textId="2E2BE4A2" w:rsidR="007E5997"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1913.22</w:t>
            </w:r>
          </w:p>
        </w:tc>
        <w:tc>
          <w:tcPr>
            <w:tcW w:w="1623" w:type="dxa"/>
            <w:vAlign w:val="center"/>
          </w:tcPr>
          <w:p w14:paraId="52DA4D7E" w14:textId="60A828A3" w:rsidR="007E5997" w:rsidRPr="001167C1" w:rsidRDefault="00F353A4" w:rsidP="001167C1">
            <w:pPr>
              <w:widowControl/>
              <w:spacing w:line="360" w:lineRule="auto"/>
              <w:jc w:val="center"/>
              <w:rPr>
                <w:rFonts w:ascii="Times New Roman" w:hAnsi="Times New Roman"/>
                <w:kern w:val="0"/>
                <w:szCs w:val="24"/>
              </w:rPr>
            </w:pPr>
            <w:r w:rsidRPr="001167C1">
              <w:rPr>
                <w:rFonts w:ascii="Times New Roman" w:hAnsi="Times New Roman"/>
                <w:szCs w:val="24"/>
              </w:rPr>
              <w:t>10143.86</w:t>
            </w:r>
          </w:p>
        </w:tc>
      </w:tr>
      <w:tr w:rsidR="00F353A4" w:rsidRPr="001167C1" w14:paraId="1025F723" w14:textId="77777777" w:rsidTr="00836934">
        <w:trPr>
          <w:trHeight w:val="301"/>
        </w:trPr>
        <w:tc>
          <w:tcPr>
            <w:tcW w:w="9628" w:type="dxa"/>
            <w:gridSpan w:val="6"/>
          </w:tcPr>
          <w:p w14:paraId="58BAC50A" w14:textId="740C2312" w:rsidR="007E5997" w:rsidRPr="001167C1" w:rsidRDefault="007E5997" w:rsidP="001167C1">
            <w:pPr>
              <w:adjustRightInd w:val="0"/>
              <w:snapToGrid w:val="0"/>
              <w:spacing w:line="360" w:lineRule="auto"/>
              <w:rPr>
                <w:rFonts w:ascii="Times New Roman" w:hAnsi="Times New Roman"/>
                <w:bCs/>
                <w:szCs w:val="24"/>
              </w:rPr>
            </w:pPr>
            <w:r w:rsidRPr="001167C1">
              <w:rPr>
                <w:rFonts w:ascii="Times New Roman" w:hAnsi="Times New Roman"/>
                <w:bCs/>
                <w:szCs w:val="24"/>
              </w:rPr>
              <w:t>Sources: Calculated from the dataset listed in Table 1</w:t>
            </w:r>
          </w:p>
        </w:tc>
      </w:tr>
    </w:tbl>
    <w:p w14:paraId="6E9E6890" w14:textId="77777777" w:rsidR="0081320F" w:rsidRPr="001167C1" w:rsidRDefault="0081320F" w:rsidP="00232DBE">
      <w:pPr>
        <w:adjustRightInd w:val="0"/>
        <w:snapToGrid w:val="0"/>
        <w:spacing w:line="360" w:lineRule="auto"/>
        <w:jc w:val="both"/>
        <w:rPr>
          <w:rFonts w:ascii="Times New Roman" w:hAnsi="Times New Roman"/>
          <w:szCs w:val="24"/>
        </w:rPr>
      </w:pPr>
      <w:r w:rsidRPr="001167C1">
        <w:rPr>
          <w:rFonts w:ascii="Times New Roman" w:hAnsi="Times New Roman"/>
          <w:szCs w:val="24"/>
        </w:rPr>
        <w:t>Among the countries under consideration, China has exhibited the highest growth rate over the past four years, with a remarkable increase of 25%.</w:t>
      </w:r>
    </w:p>
    <w:p w14:paraId="4E1E54DF" w14:textId="77777777" w:rsidR="0081320F" w:rsidRPr="001167C1" w:rsidRDefault="0081320F" w:rsidP="00232DBE">
      <w:pPr>
        <w:adjustRightInd w:val="0"/>
        <w:snapToGrid w:val="0"/>
        <w:spacing w:line="360" w:lineRule="auto"/>
        <w:jc w:val="both"/>
        <w:rPr>
          <w:rFonts w:ascii="Times New Roman" w:hAnsi="Times New Roman"/>
          <w:szCs w:val="24"/>
        </w:rPr>
      </w:pPr>
    </w:p>
    <w:p w14:paraId="7CAAD2E3" w14:textId="77777777" w:rsidR="0081320F" w:rsidRPr="001167C1" w:rsidRDefault="0081320F" w:rsidP="00232DBE">
      <w:pPr>
        <w:adjustRightInd w:val="0"/>
        <w:snapToGrid w:val="0"/>
        <w:spacing w:line="360" w:lineRule="auto"/>
        <w:jc w:val="both"/>
        <w:rPr>
          <w:rFonts w:ascii="Times New Roman" w:hAnsi="Times New Roman"/>
          <w:szCs w:val="24"/>
        </w:rPr>
      </w:pPr>
      <w:r w:rsidRPr="001167C1">
        <w:rPr>
          <w:rFonts w:ascii="Times New Roman" w:hAnsi="Times New Roman"/>
          <w:szCs w:val="24"/>
        </w:rPr>
        <w:t>When comparing the mean values of nominal GDP per capita, the United States (US) demonstrates a higher mean in comparison to the United Kingdom (UK). Similarly, China exhibits a higher mean when compared to India.</w:t>
      </w:r>
    </w:p>
    <w:p w14:paraId="4069538A" w14:textId="77777777" w:rsidR="0081320F" w:rsidRPr="001167C1" w:rsidRDefault="0081320F" w:rsidP="00232DBE">
      <w:pPr>
        <w:adjustRightInd w:val="0"/>
        <w:snapToGrid w:val="0"/>
        <w:spacing w:line="360" w:lineRule="auto"/>
        <w:jc w:val="both"/>
        <w:rPr>
          <w:rFonts w:ascii="Times New Roman" w:hAnsi="Times New Roman"/>
          <w:szCs w:val="24"/>
        </w:rPr>
      </w:pPr>
    </w:p>
    <w:p w14:paraId="5E4A75E0" w14:textId="23B69F64" w:rsidR="0081320F" w:rsidRPr="001167C1" w:rsidRDefault="0081320F" w:rsidP="00232DBE">
      <w:pPr>
        <w:adjustRightInd w:val="0"/>
        <w:snapToGrid w:val="0"/>
        <w:spacing w:line="360" w:lineRule="auto"/>
        <w:jc w:val="both"/>
        <w:rPr>
          <w:rFonts w:ascii="Times New Roman" w:hAnsi="Times New Roman"/>
          <w:szCs w:val="24"/>
        </w:rPr>
      </w:pPr>
      <w:r w:rsidRPr="001167C1">
        <w:rPr>
          <w:rFonts w:ascii="Times New Roman" w:hAnsi="Times New Roman"/>
          <w:szCs w:val="24"/>
        </w:rPr>
        <w:t>In terms of variability, the coefficient of variation provides insights into the dispersion of the data. The US displays a 1% higher coefficient of variation compared to the UK, indicating a slightly greater degree of variability in the US data. Similarly, China has a 2% higher coefficient of variation when compared to India, suggesting a relatively higher level of variability in China's nominal GDP per capita data.</w:t>
      </w:r>
    </w:p>
    <w:p w14:paraId="0F02BA20" w14:textId="6450F9A0" w:rsidR="0081320F" w:rsidRPr="001167C1" w:rsidRDefault="0081320F" w:rsidP="001167C1">
      <w:pPr>
        <w:widowControl/>
        <w:spacing w:line="360" w:lineRule="auto"/>
        <w:rPr>
          <w:rFonts w:ascii="Times New Roman" w:hAnsi="Times New Roman"/>
          <w:szCs w:val="24"/>
        </w:rPr>
      </w:pPr>
      <w:r w:rsidRPr="001167C1">
        <w:rPr>
          <w:rFonts w:ascii="Times New Roman" w:hAnsi="Times New Roman"/>
          <w:szCs w:val="24"/>
        </w:rPr>
        <w:br w:type="page"/>
      </w:r>
    </w:p>
    <w:p w14:paraId="4D566F4C" w14:textId="443413FE" w:rsidR="00F353A4" w:rsidRPr="001167C1" w:rsidRDefault="0081320F" w:rsidP="001167C1">
      <w:pPr>
        <w:adjustRightInd w:val="0"/>
        <w:snapToGrid w:val="0"/>
        <w:spacing w:line="360" w:lineRule="auto"/>
        <w:jc w:val="both"/>
        <w:rPr>
          <w:rFonts w:ascii="Times New Roman" w:hAnsi="Times New Roman"/>
          <w:bCs/>
          <w:color w:val="0000CC"/>
          <w:szCs w:val="24"/>
        </w:rPr>
      </w:pPr>
      <w:r w:rsidRPr="001167C1">
        <w:rPr>
          <w:rFonts w:ascii="Times New Roman" w:hAnsi="Times New Roman"/>
          <w:bCs/>
          <w:szCs w:val="24"/>
        </w:rPr>
        <w:lastRenderedPageBreak/>
        <w:t>Table</w:t>
      </w:r>
      <w:r w:rsidR="009768AD" w:rsidRPr="001167C1">
        <w:rPr>
          <w:rFonts w:ascii="Times New Roman" w:hAnsi="Times New Roman"/>
          <w:bCs/>
          <w:szCs w:val="24"/>
        </w:rPr>
        <w:t xml:space="preserve"> 9 </w:t>
      </w:r>
      <w:r w:rsidR="00F353A4" w:rsidRPr="001167C1">
        <w:rPr>
          <w:rFonts w:ascii="Times New Roman" w:hAnsi="Times New Roman"/>
          <w:bCs/>
          <w:szCs w:val="24"/>
        </w:rPr>
        <w:t>Growth rate of the nominal GDP per capita in selected counties</w:t>
      </w:r>
      <w:r w:rsidR="00CF29E3" w:rsidRPr="001167C1">
        <w:rPr>
          <w:rFonts w:ascii="Times New Roman" w:hAnsi="Times New Roman"/>
          <w:bCs/>
          <w:szCs w:val="24"/>
        </w:rPr>
        <w:t>:</w:t>
      </w:r>
      <w:r w:rsidR="00F353A4" w:rsidRPr="001167C1">
        <w:rPr>
          <w:rFonts w:ascii="Times New Roman" w:hAnsi="Times New Roman"/>
          <w:bCs/>
          <w:szCs w:val="24"/>
        </w:rPr>
        <w:t xml:space="preserve">  2019 to 2022 (%)</w:t>
      </w:r>
    </w:p>
    <w:tbl>
      <w:tblPr>
        <w:tblW w:w="9119"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8" w:type="dxa"/>
          <w:right w:w="28" w:type="dxa"/>
        </w:tblCellMar>
        <w:tblLook w:val="04A0" w:firstRow="1" w:lastRow="0" w:firstColumn="1" w:lastColumn="0" w:noHBand="0" w:noVBand="1"/>
      </w:tblPr>
      <w:tblGrid>
        <w:gridCol w:w="1357"/>
        <w:gridCol w:w="1483"/>
        <w:gridCol w:w="1641"/>
        <w:gridCol w:w="1546"/>
        <w:gridCol w:w="1546"/>
        <w:gridCol w:w="1546"/>
      </w:tblGrid>
      <w:tr w:rsidR="00F353A4" w:rsidRPr="001167C1" w14:paraId="247B69E1" w14:textId="77777777" w:rsidTr="00886977">
        <w:trPr>
          <w:trHeight w:val="938"/>
        </w:trPr>
        <w:tc>
          <w:tcPr>
            <w:tcW w:w="1357" w:type="dxa"/>
            <w:shd w:val="clear" w:color="auto" w:fill="auto"/>
            <w:vAlign w:val="center"/>
            <w:hideMark/>
          </w:tcPr>
          <w:p w14:paraId="0836A181"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Year</w:t>
            </w:r>
          </w:p>
        </w:tc>
        <w:tc>
          <w:tcPr>
            <w:tcW w:w="1483" w:type="dxa"/>
            <w:shd w:val="clear" w:color="auto" w:fill="auto"/>
            <w:vAlign w:val="center"/>
            <w:hideMark/>
          </w:tcPr>
          <w:p w14:paraId="32DE984C"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Hong Kong</w:t>
            </w:r>
          </w:p>
        </w:tc>
        <w:tc>
          <w:tcPr>
            <w:tcW w:w="1641" w:type="dxa"/>
            <w:shd w:val="clear" w:color="auto" w:fill="auto"/>
            <w:vAlign w:val="center"/>
            <w:hideMark/>
          </w:tcPr>
          <w:p w14:paraId="20856B8F"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United Kingdom</w:t>
            </w:r>
          </w:p>
        </w:tc>
        <w:tc>
          <w:tcPr>
            <w:tcW w:w="1546" w:type="dxa"/>
            <w:shd w:val="clear" w:color="auto" w:fill="auto"/>
            <w:vAlign w:val="center"/>
            <w:hideMark/>
          </w:tcPr>
          <w:p w14:paraId="397C1F85"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United States</w:t>
            </w:r>
          </w:p>
        </w:tc>
        <w:tc>
          <w:tcPr>
            <w:tcW w:w="1546" w:type="dxa"/>
            <w:shd w:val="clear" w:color="auto" w:fill="auto"/>
            <w:vAlign w:val="center"/>
            <w:hideMark/>
          </w:tcPr>
          <w:p w14:paraId="69D21199"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India</w:t>
            </w:r>
          </w:p>
        </w:tc>
        <w:tc>
          <w:tcPr>
            <w:tcW w:w="1546" w:type="dxa"/>
            <w:shd w:val="clear" w:color="auto" w:fill="auto"/>
            <w:vAlign w:val="center"/>
            <w:hideMark/>
          </w:tcPr>
          <w:p w14:paraId="3AFA0415"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China</w:t>
            </w:r>
          </w:p>
        </w:tc>
      </w:tr>
      <w:tr w:rsidR="00F353A4" w:rsidRPr="001167C1" w14:paraId="2247E33B" w14:textId="77777777" w:rsidTr="00886977">
        <w:trPr>
          <w:trHeight w:val="320"/>
        </w:trPr>
        <w:tc>
          <w:tcPr>
            <w:tcW w:w="1357" w:type="dxa"/>
            <w:shd w:val="clear" w:color="auto" w:fill="auto"/>
            <w:vAlign w:val="center"/>
            <w:hideMark/>
          </w:tcPr>
          <w:p w14:paraId="650ACE66"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2019</w:t>
            </w:r>
          </w:p>
        </w:tc>
        <w:tc>
          <w:tcPr>
            <w:tcW w:w="1483" w:type="dxa"/>
            <w:shd w:val="clear" w:color="auto" w:fill="auto"/>
            <w:noWrap/>
            <w:vAlign w:val="bottom"/>
            <w:hideMark/>
          </w:tcPr>
          <w:p w14:paraId="6A9D18D0"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-0.37</w:t>
            </w:r>
          </w:p>
        </w:tc>
        <w:tc>
          <w:tcPr>
            <w:tcW w:w="1641" w:type="dxa"/>
            <w:shd w:val="clear" w:color="auto" w:fill="auto"/>
            <w:noWrap/>
            <w:vAlign w:val="bottom"/>
            <w:hideMark/>
          </w:tcPr>
          <w:p w14:paraId="27CDC3C6"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-1.25</w:t>
            </w:r>
          </w:p>
        </w:tc>
        <w:tc>
          <w:tcPr>
            <w:tcW w:w="1546" w:type="dxa"/>
            <w:shd w:val="clear" w:color="auto" w:fill="auto"/>
            <w:noWrap/>
            <w:vAlign w:val="bottom"/>
            <w:hideMark/>
          </w:tcPr>
          <w:p w14:paraId="1BDC3F1A"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3.66</w:t>
            </w:r>
          </w:p>
        </w:tc>
        <w:tc>
          <w:tcPr>
            <w:tcW w:w="1546" w:type="dxa"/>
            <w:shd w:val="clear" w:color="auto" w:fill="auto"/>
            <w:noWrap/>
            <w:vAlign w:val="bottom"/>
            <w:hideMark/>
          </w:tcPr>
          <w:p w14:paraId="6B6D7673"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3.84</w:t>
            </w:r>
          </w:p>
        </w:tc>
        <w:tc>
          <w:tcPr>
            <w:tcW w:w="1546" w:type="dxa"/>
            <w:shd w:val="clear" w:color="auto" w:fill="auto"/>
            <w:noWrap/>
            <w:vAlign w:val="bottom"/>
            <w:hideMark/>
          </w:tcPr>
          <w:p w14:paraId="616607D8"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2.41</w:t>
            </w:r>
          </w:p>
        </w:tc>
      </w:tr>
      <w:tr w:rsidR="00F353A4" w:rsidRPr="001167C1" w14:paraId="0C4CB547" w14:textId="77777777" w:rsidTr="00886977">
        <w:trPr>
          <w:trHeight w:val="320"/>
        </w:trPr>
        <w:tc>
          <w:tcPr>
            <w:tcW w:w="1357" w:type="dxa"/>
            <w:shd w:val="clear" w:color="auto" w:fill="auto"/>
            <w:vAlign w:val="center"/>
            <w:hideMark/>
          </w:tcPr>
          <w:p w14:paraId="3AE50847"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2020</w:t>
            </w:r>
          </w:p>
        </w:tc>
        <w:tc>
          <w:tcPr>
            <w:tcW w:w="1483" w:type="dxa"/>
            <w:shd w:val="clear" w:color="auto" w:fill="auto"/>
            <w:noWrap/>
            <w:vAlign w:val="bottom"/>
            <w:hideMark/>
          </w:tcPr>
          <w:p w14:paraId="7F7B6E52"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-4.65</w:t>
            </w:r>
          </w:p>
        </w:tc>
        <w:tc>
          <w:tcPr>
            <w:tcW w:w="1641" w:type="dxa"/>
            <w:shd w:val="clear" w:color="auto" w:fill="auto"/>
            <w:noWrap/>
            <w:vAlign w:val="bottom"/>
            <w:hideMark/>
          </w:tcPr>
          <w:p w14:paraId="3D443A86"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-5.73</w:t>
            </w:r>
          </w:p>
        </w:tc>
        <w:tc>
          <w:tcPr>
            <w:tcW w:w="1546" w:type="dxa"/>
            <w:shd w:val="clear" w:color="auto" w:fill="auto"/>
            <w:noWrap/>
            <w:vAlign w:val="bottom"/>
            <w:hideMark/>
          </w:tcPr>
          <w:p w14:paraId="7D85EE88"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-2.44</w:t>
            </w:r>
          </w:p>
        </w:tc>
        <w:tc>
          <w:tcPr>
            <w:tcW w:w="1546" w:type="dxa"/>
            <w:shd w:val="clear" w:color="auto" w:fill="auto"/>
            <w:noWrap/>
            <w:vAlign w:val="bottom"/>
            <w:hideMark/>
          </w:tcPr>
          <w:p w14:paraId="161CDF08"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-6.68</w:t>
            </w:r>
          </w:p>
        </w:tc>
        <w:tc>
          <w:tcPr>
            <w:tcW w:w="1546" w:type="dxa"/>
            <w:shd w:val="clear" w:color="auto" w:fill="auto"/>
            <w:noWrap/>
            <w:vAlign w:val="bottom"/>
            <w:hideMark/>
          </w:tcPr>
          <w:p w14:paraId="6CA4E0B0"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2.61</w:t>
            </w:r>
          </w:p>
        </w:tc>
      </w:tr>
      <w:tr w:rsidR="00F353A4" w:rsidRPr="001167C1" w14:paraId="6111498E" w14:textId="77777777" w:rsidTr="00886977">
        <w:trPr>
          <w:trHeight w:val="320"/>
        </w:trPr>
        <w:tc>
          <w:tcPr>
            <w:tcW w:w="1357" w:type="dxa"/>
            <w:shd w:val="clear" w:color="auto" w:fill="auto"/>
            <w:vAlign w:val="center"/>
            <w:hideMark/>
          </w:tcPr>
          <w:p w14:paraId="75D329A6"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2021</w:t>
            </w:r>
          </w:p>
        </w:tc>
        <w:tc>
          <w:tcPr>
            <w:tcW w:w="1483" w:type="dxa"/>
            <w:shd w:val="clear" w:color="auto" w:fill="auto"/>
            <w:noWrap/>
            <w:vAlign w:val="bottom"/>
            <w:hideMark/>
          </w:tcPr>
          <w:p w14:paraId="40F1C2BC"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7.93</w:t>
            </w:r>
          </w:p>
        </w:tc>
        <w:tc>
          <w:tcPr>
            <w:tcW w:w="1641" w:type="dxa"/>
            <w:shd w:val="clear" w:color="auto" w:fill="auto"/>
            <w:noWrap/>
            <w:vAlign w:val="bottom"/>
            <w:hideMark/>
          </w:tcPr>
          <w:p w14:paraId="15C882D6"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16.54</w:t>
            </w:r>
          </w:p>
        </w:tc>
        <w:tc>
          <w:tcPr>
            <w:tcW w:w="1546" w:type="dxa"/>
            <w:shd w:val="clear" w:color="auto" w:fill="auto"/>
            <w:noWrap/>
            <w:vAlign w:val="bottom"/>
            <w:hideMark/>
          </w:tcPr>
          <w:p w14:paraId="48500BBB"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10.53</w:t>
            </w:r>
          </w:p>
        </w:tc>
        <w:tc>
          <w:tcPr>
            <w:tcW w:w="1546" w:type="dxa"/>
            <w:shd w:val="clear" w:color="auto" w:fill="auto"/>
            <w:noWrap/>
            <w:vAlign w:val="bottom"/>
            <w:hideMark/>
          </w:tcPr>
          <w:p w14:paraId="41DEE36B"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16.98</w:t>
            </w:r>
          </w:p>
        </w:tc>
        <w:tc>
          <w:tcPr>
            <w:tcW w:w="1546" w:type="dxa"/>
            <w:shd w:val="clear" w:color="auto" w:fill="auto"/>
            <w:noWrap/>
            <w:vAlign w:val="bottom"/>
            <w:hideMark/>
          </w:tcPr>
          <w:p w14:paraId="1EC75B96"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21.22</w:t>
            </w:r>
          </w:p>
        </w:tc>
      </w:tr>
      <w:tr w:rsidR="00F353A4" w:rsidRPr="001167C1" w14:paraId="22615868" w14:textId="77777777" w:rsidTr="00886977">
        <w:trPr>
          <w:trHeight w:val="320"/>
        </w:trPr>
        <w:tc>
          <w:tcPr>
            <w:tcW w:w="1357" w:type="dxa"/>
            <w:shd w:val="clear" w:color="auto" w:fill="auto"/>
            <w:vAlign w:val="center"/>
            <w:hideMark/>
          </w:tcPr>
          <w:p w14:paraId="6F3FB209" w14:textId="77777777" w:rsidR="00F353A4" w:rsidRPr="001167C1" w:rsidRDefault="00F353A4" w:rsidP="001167C1">
            <w:pPr>
              <w:widowControl/>
              <w:spacing w:line="360" w:lineRule="auto"/>
              <w:jc w:val="center"/>
              <w:rPr>
                <w:rFonts w:ascii="Times New Roman" w:hAnsi="Times New Roman"/>
                <w:color w:val="000000"/>
                <w:kern w:val="0"/>
                <w:szCs w:val="24"/>
              </w:rPr>
            </w:pPr>
            <w:r w:rsidRPr="001167C1">
              <w:rPr>
                <w:rFonts w:ascii="Times New Roman" w:hAnsi="Times New Roman"/>
                <w:color w:val="000000"/>
                <w:szCs w:val="24"/>
              </w:rPr>
              <w:t>2022</w:t>
            </w:r>
          </w:p>
        </w:tc>
        <w:tc>
          <w:tcPr>
            <w:tcW w:w="1483" w:type="dxa"/>
            <w:shd w:val="clear" w:color="auto" w:fill="auto"/>
            <w:noWrap/>
            <w:vAlign w:val="bottom"/>
            <w:hideMark/>
          </w:tcPr>
          <w:p w14:paraId="799E0139"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-1.57</w:t>
            </w:r>
          </w:p>
        </w:tc>
        <w:tc>
          <w:tcPr>
            <w:tcW w:w="1641" w:type="dxa"/>
            <w:shd w:val="clear" w:color="auto" w:fill="auto"/>
            <w:noWrap/>
            <w:vAlign w:val="bottom"/>
            <w:hideMark/>
          </w:tcPr>
          <w:p w14:paraId="3DA1CE96"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-1.59</w:t>
            </w:r>
          </w:p>
        </w:tc>
        <w:tc>
          <w:tcPr>
            <w:tcW w:w="1546" w:type="dxa"/>
            <w:shd w:val="clear" w:color="auto" w:fill="auto"/>
            <w:noWrap/>
            <w:vAlign w:val="bottom"/>
            <w:hideMark/>
          </w:tcPr>
          <w:p w14:paraId="037F131C"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8.70</w:t>
            </w:r>
          </w:p>
        </w:tc>
        <w:tc>
          <w:tcPr>
            <w:tcW w:w="1546" w:type="dxa"/>
            <w:shd w:val="clear" w:color="auto" w:fill="auto"/>
            <w:noWrap/>
            <w:vAlign w:val="bottom"/>
            <w:hideMark/>
          </w:tcPr>
          <w:p w14:paraId="3D0CB8A4"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7.72</w:t>
            </w:r>
          </w:p>
        </w:tc>
        <w:tc>
          <w:tcPr>
            <w:tcW w:w="1546" w:type="dxa"/>
            <w:shd w:val="clear" w:color="auto" w:fill="auto"/>
            <w:noWrap/>
            <w:vAlign w:val="bottom"/>
            <w:hideMark/>
          </w:tcPr>
          <w:p w14:paraId="2C145082" w14:textId="77777777" w:rsidR="00F353A4" w:rsidRPr="001167C1" w:rsidRDefault="00F353A4" w:rsidP="001167C1">
            <w:pPr>
              <w:widowControl/>
              <w:spacing w:line="360" w:lineRule="auto"/>
              <w:jc w:val="right"/>
              <w:rPr>
                <w:rFonts w:ascii="Times New Roman" w:hAnsi="Times New Roman"/>
                <w:color w:val="000000"/>
                <w:kern w:val="0"/>
                <w:szCs w:val="24"/>
              </w:rPr>
            </w:pPr>
            <w:r w:rsidRPr="001167C1">
              <w:rPr>
                <w:rFonts w:ascii="Times New Roman" w:hAnsi="Times New Roman"/>
                <w:color w:val="000000"/>
                <w:szCs w:val="24"/>
              </w:rPr>
              <w:t>0.81</w:t>
            </w:r>
          </w:p>
        </w:tc>
      </w:tr>
    </w:tbl>
    <w:p w14:paraId="114C3648" w14:textId="19658781" w:rsidR="00491FB5" w:rsidRPr="001167C1" w:rsidRDefault="00491FB5" w:rsidP="00232DBE">
      <w:pPr>
        <w:adjustRightInd w:val="0"/>
        <w:snapToGrid w:val="0"/>
        <w:spacing w:line="360" w:lineRule="auto"/>
        <w:jc w:val="both"/>
        <w:rPr>
          <w:rFonts w:ascii="Times New Roman" w:hAnsi="Times New Roman"/>
          <w:szCs w:val="24"/>
        </w:rPr>
      </w:pPr>
      <w:r w:rsidRPr="001167C1">
        <w:rPr>
          <w:rFonts w:ascii="Times New Roman" w:hAnsi="Times New Roman"/>
          <w:szCs w:val="24"/>
        </w:rPr>
        <w:t>In terms of negative growth rates, both Hong Kong and the United Kingdom (UK) exhibit three instances of negative sign over the given period. However, the United States (US) experiences only one instance of negative growth. When comparing India and China, India demonstrates one negative sign, indicating a single occurrence of negative growth. In contrast, China does not display any negative growth rates, with all observed growth rates being positive. Worth to note that China has the highest growth rate, 21.22% in 2021.</w:t>
      </w:r>
    </w:p>
    <w:p w14:paraId="4AE821F2" w14:textId="77777777" w:rsidR="00491FB5" w:rsidRPr="001167C1" w:rsidRDefault="00491FB5" w:rsidP="001167C1">
      <w:pPr>
        <w:adjustRightInd w:val="0"/>
        <w:snapToGrid w:val="0"/>
        <w:spacing w:line="360" w:lineRule="auto"/>
        <w:jc w:val="both"/>
        <w:rPr>
          <w:rFonts w:ascii="Times New Roman" w:hAnsi="Times New Roman"/>
          <w:szCs w:val="24"/>
        </w:rPr>
      </w:pPr>
    </w:p>
    <w:p w14:paraId="4CFB89D4" w14:textId="41DF69BE" w:rsidR="00CC0AA6" w:rsidRPr="001167C1" w:rsidRDefault="00F24852"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Graph 5</w:t>
      </w:r>
      <w:r w:rsidR="00A5780D" w:rsidRPr="001167C1">
        <w:rPr>
          <w:rFonts w:ascii="Times New Roman" w:hAnsi="Times New Roman"/>
          <w:bCs/>
          <w:szCs w:val="24"/>
        </w:rPr>
        <w:t xml:space="preserve"> </w:t>
      </w:r>
      <w:r w:rsidR="00CC0AA6" w:rsidRPr="001167C1">
        <w:rPr>
          <w:rFonts w:ascii="Times New Roman" w:hAnsi="Times New Roman"/>
          <w:bCs/>
          <w:szCs w:val="24"/>
        </w:rPr>
        <w:t xml:space="preserve">Time plot of the annual rate of change in </w:t>
      </w:r>
      <w:r w:rsidR="00F353A4" w:rsidRPr="001167C1">
        <w:rPr>
          <w:rFonts w:ascii="Times New Roman" w:hAnsi="Times New Roman"/>
          <w:bCs/>
          <w:szCs w:val="24"/>
        </w:rPr>
        <w:t>nominal GDP per capita</w:t>
      </w:r>
      <w:r w:rsidR="00CC0AA6" w:rsidRPr="001167C1">
        <w:rPr>
          <w:rFonts w:ascii="Times New Roman" w:hAnsi="Times New Roman"/>
          <w:bCs/>
          <w:szCs w:val="24"/>
        </w:rPr>
        <w:t xml:space="preserve"> in the selected </w:t>
      </w:r>
      <w:proofErr w:type="gramStart"/>
      <w:r w:rsidR="00CC0AA6" w:rsidRPr="001167C1">
        <w:rPr>
          <w:rFonts w:ascii="Times New Roman" w:hAnsi="Times New Roman"/>
          <w:bCs/>
          <w:szCs w:val="24"/>
        </w:rPr>
        <w:t xml:space="preserve">countries </w:t>
      </w:r>
      <w:r w:rsidR="00A5780D" w:rsidRPr="001167C1">
        <w:rPr>
          <w:rFonts w:ascii="Times New Roman" w:hAnsi="Times New Roman"/>
          <w:bCs/>
          <w:szCs w:val="24"/>
        </w:rPr>
        <w:t>:</w:t>
      </w:r>
      <w:proofErr w:type="gramEnd"/>
      <w:r w:rsidR="00A5780D" w:rsidRPr="001167C1">
        <w:rPr>
          <w:rFonts w:ascii="Times New Roman" w:hAnsi="Times New Roman"/>
          <w:bCs/>
          <w:szCs w:val="24"/>
        </w:rPr>
        <w:t xml:space="preserve"> 2019 to 2022</w:t>
      </w:r>
      <w:r w:rsidR="00CF29E3" w:rsidRPr="001167C1">
        <w:rPr>
          <w:rFonts w:ascii="Times New Roman" w:hAnsi="Times New Roman"/>
          <w:bCs/>
          <w:szCs w:val="24"/>
        </w:rPr>
        <w:t xml:space="preserve"> (%)</w:t>
      </w:r>
    </w:p>
    <w:tbl>
      <w:tblPr>
        <w:tblStyle w:val="af6"/>
        <w:tblW w:w="0" w:type="auto"/>
        <w:tblLook w:val="04A0" w:firstRow="1" w:lastRow="0" w:firstColumn="1" w:lastColumn="0" w:noHBand="0" w:noVBand="1"/>
      </w:tblPr>
      <w:tblGrid>
        <w:gridCol w:w="9126"/>
      </w:tblGrid>
      <w:tr w:rsidR="0049120D" w:rsidRPr="001167C1" w14:paraId="794EF9A3" w14:textId="77777777" w:rsidTr="004E2973">
        <w:trPr>
          <w:trHeight w:val="5718"/>
        </w:trPr>
        <w:tc>
          <w:tcPr>
            <w:tcW w:w="9126" w:type="dxa"/>
            <w:vAlign w:val="center"/>
          </w:tcPr>
          <w:p w14:paraId="68E376BC" w14:textId="4AA34C78" w:rsidR="00CC0AA6" w:rsidRPr="001167C1" w:rsidRDefault="00F353A4" w:rsidP="001167C1">
            <w:pPr>
              <w:adjustRightInd w:val="0"/>
              <w:snapToGrid w:val="0"/>
              <w:spacing w:line="360" w:lineRule="auto"/>
              <w:jc w:val="center"/>
              <w:rPr>
                <w:rFonts w:ascii="Times New Roman" w:hAnsi="Times New Roman"/>
                <w:bCs/>
                <w:szCs w:val="24"/>
              </w:rPr>
            </w:pPr>
            <w:r w:rsidRPr="001167C1">
              <w:rPr>
                <w:rFonts w:ascii="Times New Roman" w:hAnsi="Times New Roman"/>
                <w:bCs/>
                <w:noProof/>
                <w:szCs w:val="24"/>
              </w:rPr>
              <w:drawing>
                <wp:inline distT="0" distB="0" distL="0" distR="0" wp14:anchorId="75B9690A" wp14:editId="723982DA">
                  <wp:extent cx="5486400" cy="3200400"/>
                  <wp:effectExtent l="0" t="0" r="0" b="0"/>
                  <wp:docPr id="1726250482" name="圖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c>
      </w:tr>
      <w:tr w:rsidR="0049120D" w:rsidRPr="001167C1" w14:paraId="59413A0C" w14:textId="77777777" w:rsidTr="004E2973">
        <w:tc>
          <w:tcPr>
            <w:tcW w:w="9126" w:type="dxa"/>
            <w:vAlign w:val="center"/>
          </w:tcPr>
          <w:p w14:paraId="65CBDF45" w14:textId="77777777" w:rsidR="00CC0AA6" w:rsidRPr="001167C1" w:rsidRDefault="00CC0AA6"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Sources: Calculated from the dataset listed in Table 1</w:t>
            </w:r>
          </w:p>
        </w:tc>
      </w:tr>
    </w:tbl>
    <w:p w14:paraId="7039791C" w14:textId="77777777" w:rsidR="00BE5FC7" w:rsidRPr="001167C1" w:rsidRDefault="00BE5FC7" w:rsidP="00232DBE">
      <w:pPr>
        <w:adjustRightInd w:val="0"/>
        <w:snapToGrid w:val="0"/>
        <w:spacing w:line="360" w:lineRule="auto"/>
        <w:jc w:val="both"/>
        <w:rPr>
          <w:rFonts w:ascii="Times New Roman" w:hAnsi="Times New Roman"/>
          <w:bCs/>
          <w:szCs w:val="24"/>
        </w:rPr>
      </w:pPr>
      <w:r w:rsidRPr="001167C1">
        <w:rPr>
          <w:rFonts w:ascii="Times New Roman" w:hAnsi="Times New Roman"/>
          <w:bCs/>
          <w:szCs w:val="24"/>
        </w:rPr>
        <w:lastRenderedPageBreak/>
        <w:t>China and India exhibit a synchronized trend movement in nominal GDP per capita. The directional changes in their respective lines are consistent. However, in the year 2022, China experiences a steeper decline in growth compared to India, as indicated by the steeper slope of China's line.</w:t>
      </w:r>
    </w:p>
    <w:p w14:paraId="67E81BD5" w14:textId="77777777" w:rsidR="00BE5FC7" w:rsidRPr="001167C1" w:rsidRDefault="00BE5FC7" w:rsidP="00232DBE">
      <w:pPr>
        <w:adjustRightInd w:val="0"/>
        <w:snapToGrid w:val="0"/>
        <w:spacing w:line="360" w:lineRule="auto"/>
        <w:jc w:val="both"/>
        <w:rPr>
          <w:rFonts w:ascii="Times New Roman" w:hAnsi="Times New Roman"/>
          <w:bCs/>
          <w:szCs w:val="24"/>
        </w:rPr>
      </w:pPr>
    </w:p>
    <w:p w14:paraId="0D13BFDF" w14:textId="4E80B38A" w:rsidR="00A5780D" w:rsidRPr="001167C1" w:rsidRDefault="00BE5FC7" w:rsidP="00232DBE">
      <w:pPr>
        <w:adjustRightInd w:val="0"/>
        <w:snapToGrid w:val="0"/>
        <w:spacing w:line="360" w:lineRule="auto"/>
        <w:jc w:val="both"/>
        <w:rPr>
          <w:rFonts w:ascii="Times New Roman" w:hAnsi="Times New Roman"/>
          <w:bCs/>
          <w:szCs w:val="24"/>
        </w:rPr>
      </w:pPr>
      <w:r w:rsidRPr="001167C1">
        <w:rPr>
          <w:rFonts w:ascii="Times New Roman" w:hAnsi="Times New Roman"/>
          <w:bCs/>
          <w:szCs w:val="24"/>
        </w:rPr>
        <w:t>From 2019 to 2020, all countries encountered a decline in the growth rate of nominal GDP per capita. Notably, China stands out as the only country with a slight increasing trend during this period, demonstrating a divergence from the overall downward trend observed in other nations.</w:t>
      </w:r>
    </w:p>
    <w:p w14:paraId="22F72B24" w14:textId="77777777" w:rsidR="00BE5FC7" w:rsidRPr="001167C1" w:rsidRDefault="00BE5FC7" w:rsidP="00232DBE">
      <w:pPr>
        <w:adjustRightInd w:val="0"/>
        <w:snapToGrid w:val="0"/>
        <w:spacing w:line="360" w:lineRule="auto"/>
        <w:jc w:val="both"/>
        <w:rPr>
          <w:rFonts w:ascii="Times New Roman" w:hAnsi="Times New Roman"/>
          <w:bCs/>
          <w:color w:val="0000CC"/>
          <w:szCs w:val="24"/>
        </w:rPr>
      </w:pPr>
    </w:p>
    <w:p w14:paraId="76284970" w14:textId="341CB068" w:rsidR="00CC0AA6" w:rsidRPr="001167C1" w:rsidRDefault="00CC0AA6" w:rsidP="00232DBE">
      <w:pPr>
        <w:adjustRightInd w:val="0"/>
        <w:snapToGrid w:val="0"/>
        <w:spacing w:line="360" w:lineRule="auto"/>
        <w:jc w:val="both"/>
        <w:rPr>
          <w:rFonts w:ascii="Times New Roman" w:hAnsi="Times New Roman"/>
          <w:bCs/>
          <w:szCs w:val="24"/>
        </w:rPr>
      </w:pPr>
      <w:r w:rsidRPr="001167C1">
        <w:rPr>
          <w:rFonts w:ascii="Times New Roman" w:hAnsi="Times New Roman"/>
          <w:bCs/>
          <w:szCs w:val="24"/>
        </w:rPr>
        <w:t xml:space="preserve">Table </w:t>
      </w:r>
      <w:r w:rsidR="009768AD" w:rsidRPr="001167C1">
        <w:rPr>
          <w:rFonts w:ascii="Times New Roman" w:hAnsi="Times New Roman"/>
          <w:bCs/>
          <w:szCs w:val="24"/>
        </w:rPr>
        <w:t xml:space="preserve">10 </w:t>
      </w:r>
      <w:r w:rsidRPr="001167C1">
        <w:rPr>
          <w:rFonts w:ascii="Times New Roman" w:hAnsi="Times New Roman"/>
          <w:bCs/>
          <w:szCs w:val="24"/>
        </w:rPr>
        <w:t xml:space="preserve">Major summary statistics of annual rate of change in </w:t>
      </w:r>
      <w:r w:rsidR="0049120D" w:rsidRPr="001167C1">
        <w:rPr>
          <w:rFonts w:ascii="Times New Roman" w:hAnsi="Times New Roman"/>
          <w:bCs/>
          <w:szCs w:val="24"/>
        </w:rPr>
        <w:t>nominal GDP per capita</w:t>
      </w:r>
      <w:r w:rsidRPr="001167C1">
        <w:rPr>
          <w:rFonts w:ascii="Times New Roman" w:hAnsi="Times New Roman"/>
          <w:bCs/>
          <w:szCs w:val="24"/>
        </w:rPr>
        <w:t xml:space="preserve"> in </w:t>
      </w:r>
      <w:r w:rsidR="00A0488C" w:rsidRPr="001167C1">
        <w:rPr>
          <w:rFonts w:ascii="Times New Roman" w:hAnsi="Times New Roman"/>
          <w:bCs/>
          <w:szCs w:val="24"/>
        </w:rPr>
        <w:t>the selected countries</w:t>
      </w:r>
      <w:r w:rsidRPr="001167C1">
        <w:rPr>
          <w:rFonts w:ascii="Times New Roman" w:hAnsi="Times New Roman"/>
          <w:bCs/>
          <w:szCs w:val="24"/>
        </w:rPr>
        <w:t xml:space="preserve">: </w:t>
      </w:r>
      <w:r w:rsidR="00320E26" w:rsidRPr="001167C1">
        <w:rPr>
          <w:rFonts w:ascii="Times New Roman" w:hAnsi="Times New Roman"/>
          <w:bCs/>
          <w:szCs w:val="24"/>
        </w:rPr>
        <w:t>2019</w:t>
      </w:r>
      <w:r w:rsidRPr="001167C1">
        <w:rPr>
          <w:rFonts w:ascii="Times New Roman" w:hAnsi="Times New Roman"/>
          <w:bCs/>
          <w:szCs w:val="24"/>
        </w:rPr>
        <w:t xml:space="preserve"> to 2022</w:t>
      </w:r>
      <w:r w:rsidR="00301726" w:rsidRPr="001167C1">
        <w:rPr>
          <w:rFonts w:ascii="Times New Roman" w:hAnsi="Times New Roman"/>
          <w:bCs/>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7"/>
        <w:gridCol w:w="1329"/>
        <w:gridCol w:w="1383"/>
        <w:gridCol w:w="1604"/>
        <w:gridCol w:w="1506"/>
        <w:gridCol w:w="1619"/>
      </w:tblGrid>
      <w:tr w:rsidR="002E2CA9" w:rsidRPr="001167C1" w14:paraId="0CFDE690" w14:textId="77777777" w:rsidTr="00135C68">
        <w:tc>
          <w:tcPr>
            <w:tcW w:w="2187" w:type="dxa"/>
            <w:shd w:val="clear" w:color="auto" w:fill="auto"/>
            <w:vAlign w:val="center"/>
          </w:tcPr>
          <w:p w14:paraId="029647C0" w14:textId="77777777" w:rsidR="00301726" w:rsidRPr="001167C1" w:rsidRDefault="00301726"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Summar statistics</w:t>
            </w:r>
          </w:p>
        </w:tc>
        <w:tc>
          <w:tcPr>
            <w:tcW w:w="1329" w:type="dxa"/>
            <w:vAlign w:val="center"/>
          </w:tcPr>
          <w:p w14:paraId="0840B75C" w14:textId="2F3E9716" w:rsidR="00301726" w:rsidRPr="001167C1" w:rsidRDefault="00301726"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Hong Kong</w:t>
            </w:r>
          </w:p>
        </w:tc>
        <w:tc>
          <w:tcPr>
            <w:tcW w:w="1383" w:type="dxa"/>
            <w:vAlign w:val="center"/>
          </w:tcPr>
          <w:p w14:paraId="5A4B402E" w14:textId="4C921844" w:rsidR="00301726" w:rsidRPr="001167C1" w:rsidRDefault="00301726"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United Kingdom</w:t>
            </w:r>
          </w:p>
        </w:tc>
        <w:tc>
          <w:tcPr>
            <w:tcW w:w="1604" w:type="dxa"/>
            <w:shd w:val="clear" w:color="auto" w:fill="auto"/>
            <w:vAlign w:val="center"/>
          </w:tcPr>
          <w:p w14:paraId="13E9FDBB" w14:textId="407D3F43" w:rsidR="00301726" w:rsidRPr="001167C1" w:rsidRDefault="00301726"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United States</w:t>
            </w:r>
          </w:p>
        </w:tc>
        <w:tc>
          <w:tcPr>
            <w:tcW w:w="1506" w:type="dxa"/>
            <w:shd w:val="clear" w:color="auto" w:fill="auto"/>
            <w:vAlign w:val="center"/>
          </w:tcPr>
          <w:p w14:paraId="12B7B153" w14:textId="7471D1BB" w:rsidR="00301726" w:rsidRPr="001167C1" w:rsidRDefault="00301726"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India</w:t>
            </w:r>
          </w:p>
        </w:tc>
        <w:tc>
          <w:tcPr>
            <w:tcW w:w="1619" w:type="dxa"/>
            <w:vAlign w:val="center"/>
          </w:tcPr>
          <w:p w14:paraId="2C1A6E15" w14:textId="7378F82E" w:rsidR="00301726" w:rsidRPr="001167C1" w:rsidRDefault="00301726" w:rsidP="001167C1">
            <w:pPr>
              <w:adjustRightInd w:val="0"/>
              <w:snapToGrid w:val="0"/>
              <w:spacing w:line="360" w:lineRule="auto"/>
              <w:jc w:val="center"/>
              <w:rPr>
                <w:rFonts w:ascii="Times New Roman" w:hAnsi="Times New Roman"/>
                <w:bCs/>
                <w:szCs w:val="24"/>
              </w:rPr>
            </w:pPr>
            <w:r w:rsidRPr="001167C1">
              <w:rPr>
                <w:rFonts w:ascii="Times New Roman" w:hAnsi="Times New Roman"/>
                <w:szCs w:val="24"/>
              </w:rPr>
              <w:t>China</w:t>
            </w:r>
          </w:p>
        </w:tc>
      </w:tr>
      <w:tr w:rsidR="002E2CA9" w:rsidRPr="001167C1" w14:paraId="4248224D" w14:textId="77777777" w:rsidTr="00135C68">
        <w:tc>
          <w:tcPr>
            <w:tcW w:w="2187" w:type="dxa"/>
            <w:shd w:val="clear" w:color="auto" w:fill="auto"/>
            <w:vAlign w:val="center"/>
          </w:tcPr>
          <w:p w14:paraId="0382C801" w14:textId="77777777" w:rsidR="007E5997" w:rsidRPr="001167C1" w:rsidRDefault="007E599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Mean (%)</w:t>
            </w:r>
          </w:p>
        </w:tc>
        <w:tc>
          <w:tcPr>
            <w:tcW w:w="1329" w:type="dxa"/>
            <w:vAlign w:val="center"/>
          </w:tcPr>
          <w:p w14:paraId="2B4C794F" w14:textId="09784A18"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0.33</w:t>
            </w:r>
          </w:p>
        </w:tc>
        <w:tc>
          <w:tcPr>
            <w:tcW w:w="1383" w:type="dxa"/>
            <w:vAlign w:val="center"/>
          </w:tcPr>
          <w:p w14:paraId="4B3F8FDA" w14:textId="0B61A1B8"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1.99</w:t>
            </w:r>
          </w:p>
        </w:tc>
        <w:tc>
          <w:tcPr>
            <w:tcW w:w="1604" w:type="dxa"/>
            <w:shd w:val="clear" w:color="auto" w:fill="auto"/>
            <w:vAlign w:val="center"/>
          </w:tcPr>
          <w:p w14:paraId="607E6E97" w14:textId="21ABC85B"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5.11</w:t>
            </w:r>
          </w:p>
        </w:tc>
        <w:tc>
          <w:tcPr>
            <w:tcW w:w="1506" w:type="dxa"/>
            <w:shd w:val="clear" w:color="auto" w:fill="auto"/>
            <w:vAlign w:val="center"/>
          </w:tcPr>
          <w:p w14:paraId="6D65933C" w14:textId="365B5B27"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5.46</w:t>
            </w:r>
          </w:p>
        </w:tc>
        <w:tc>
          <w:tcPr>
            <w:tcW w:w="1619" w:type="dxa"/>
            <w:vAlign w:val="center"/>
          </w:tcPr>
          <w:p w14:paraId="6CCE52B7" w14:textId="03BDD5AC"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6.76</w:t>
            </w:r>
          </w:p>
        </w:tc>
      </w:tr>
      <w:tr w:rsidR="002E2CA9" w:rsidRPr="001167C1" w14:paraId="27D11424" w14:textId="77777777" w:rsidTr="00135C68">
        <w:trPr>
          <w:trHeight w:val="526"/>
        </w:trPr>
        <w:tc>
          <w:tcPr>
            <w:tcW w:w="2187" w:type="dxa"/>
            <w:shd w:val="clear" w:color="auto" w:fill="auto"/>
            <w:vAlign w:val="center"/>
          </w:tcPr>
          <w:p w14:paraId="3FBD37C2" w14:textId="4CEF8DB2" w:rsidR="00F8010B" w:rsidRPr="001167C1" w:rsidRDefault="00F8010B"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Standard deviation</w:t>
            </w:r>
          </w:p>
        </w:tc>
        <w:tc>
          <w:tcPr>
            <w:tcW w:w="1329" w:type="dxa"/>
            <w:vAlign w:val="center"/>
          </w:tcPr>
          <w:p w14:paraId="55B6B20A" w14:textId="27214218"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5.37</w:t>
            </w:r>
          </w:p>
        </w:tc>
        <w:tc>
          <w:tcPr>
            <w:tcW w:w="1383" w:type="dxa"/>
            <w:vAlign w:val="center"/>
          </w:tcPr>
          <w:p w14:paraId="5910D867" w14:textId="60BDB488"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9.91</w:t>
            </w:r>
          </w:p>
        </w:tc>
        <w:tc>
          <w:tcPr>
            <w:tcW w:w="1604" w:type="dxa"/>
            <w:shd w:val="clear" w:color="auto" w:fill="auto"/>
            <w:vAlign w:val="center"/>
          </w:tcPr>
          <w:p w14:paraId="764AD9D5" w14:textId="6FA9ADC0"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5.82</w:t>
            </w:r>
          </w:p>
        </w:tc>
        <w:tc>
          <w:tcPr>
            <w:tcW w:w="1506" w:type="dxa"/>
            <w:shd w:val="clear" w:color="auto" w:fill="auto"/>
            <w:vAlign w:val="center"/>
          </w:tcPr>
          <w:p w14:paraId="3093A83B" w14:textId="21D75A41"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9.80</w:t>
            </w:r>
          </w:p>
        </w:tc>
        <w:tc>
          <w:tcPr>
            <w:tcW w:w="1619" w:type="dxa"/>
            <w:vAlign w:val="center"/>
          </w:tcPr>
          <w:p w14:paraId="2BA9AFFC" w14:textId="43AC96F8"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9.67</w:t>
            </w:r>
          </w:p>
        </w:tc>
      </w:tr>
      <w:tr w:rsidR="002E2CA9" w:rsidRPr="001167C1" w14:paraId="49FF58A8" w14:textId="77777777" w:rsidTr="00135C68">
        <w:trPr>
          <w:trHeight w:val="525"/>
        </w:trPr>
        <w:tc>
          <w:tcPr>
            <w:tcW w:w="2187" w:type="dxa"/>
            <w:shd w:val="clear" w:color="auto" w:fill="auto"/>
            <w:vAlign w:val="center"/>
          </w:tcPr>
          <w:p w14:paraId="70C0B864" w14:textId="77777777" w:rsidR="00F8010B" w:rsidRPr="001167C1" w:rsidRDefault="00F8010B"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Coefficient of variation</w:t>
            </w:r>
          </w:p>
          <w:p w14:paraId="09774DF3" w14:textId="2C6EBD74" w:rsidR="00F8010B" w:rsidRPr="001167C1" w:rsidRDefault="00F8010B"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(CV=SD/Mean)</w:t>
            </w:r>
          </w:p>
        </w:tc>
        <w:tc>
          <w:tcPr>
            <w:tcW w:w="1329" w:type="dxa"/>
            <w:vAlign w:val="center"/>
          </w:tcPr>
          <w:p w14:paraId="40F6213E" w14:textId="0BAF01CE"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16.06</w:t>
            </w:r>
          </w:p>
        </w:tc>
        <w:tc>
          <w:tcPr>
            <w:tcW w:w="1383" w:type="dxa"/>
            <w:vAlign w:val="center"/>
          </w:tcPr>
          <w:p w14:paraId="3D6629AE" w14:textId="7D888FE7"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4.98</w:t>
            </w:r>
          </w:p>
        </w:tc>
        <w:tc>
          <w:tcPr>
            <w:tcW w:w="1604" w:type="dxa"/>
            <w:shd w:val="clear" w:color="auto" w:fill="auto"/>
            <w:vAlign w:val="center"/>
          </w:tcPr>
          <w:p w14:paraId="1359D01B" w14:textId="084D90C7"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1.14</w:t>
            </w:r>
          </w:p>
        </w:tc>
        <w:tc>
          <w:tcPr>
            <w:tcW w:w="1506" w:type="dxa"/>
            <w:shd w:val="clear" w:color="auto" w:fill="auto"/>
            <w:vAlign w:val="center"/>
          </w:tcPr>
          <w:p w14:paraId="779151C1" w14:textId="58AF13BB"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1.79</w:t>
            </w:r>
          </w:p>
        </w:tc>
        <w:tc>
          <w:tcPr>
            <w:tcW w:w="1619" w:type="dxa"/>
            <w:vAlign w:val="center"/>
          </w:tcPr>
          <w:p w14:paraId="1CFA50ED" w14:textId="02BDD3A8" w:rsidR="00F8010B"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1.43</w:t>
            </w:r>
          </w:p>
        </w:tc>
      </w:tr>
      <w:tr w:rsidR="002E2CA9" w:rsidRPr="001167C1" w14:paraId="4C7137AF" w14:textId="77777777" w:rsidTr="00135C68">
        <w:tc>
          <w:tcPr>
            <w:tcW w:w="2187" w:type="dxa"/>
            <w:shd w:val="clear" w:color="auto" w:fill="auto"/>
            <w:vAlign w:val="center"/>
          </w:tcPr>
          <w:p w14:paraId="1AFE6865" w14:textId="77777777" w:rsidR="007E5997" w:rsidRPr="001167C1" w:rsidRDefault="007E599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Maximum (%)</w:t>
            </w:r>
          </w:p>
        </w:tc>
        <w:tc>
          <w:tcPr>
            <w:tcW w:w="1329" w:type="dxa"/>
            <w:vAlign w:val="center"/>
          </w:tcPr>
          <w:p w14:paraId="0FD3C330" w14:textId="26CBADCE"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7.93</w:t>
            </w:r>
          </w:p>
        </w:tc>
        <w:tc>
          <w:tcPr>
            <w:tcW w:w="1383" w:type="dxa"/>
            <w:vAlign w:val="center"/>
          </w:tcPr>
          <w:p w14:paraId="2CF7B0D3" w14:textId="2A8838F2"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16.54</w:t>
            </w:r>
          </w:p>
        </w:tc>
        <w:tc>
          <w:tcPr>
            <w:tcW w:w="1604" w:type="dxa"/>
            <w:shd w:val="clear" w:color="auto" w:fill="auto"/>
            <w:vAlign w:val="center"/>
          </w:tcPr>
          <w:p w14:paraId="35476917" w14:textId="172F1F4B"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10.53</w:t>
            </w:r>
          </w:p>
        </w:tc>
        <w:tc>
          <w:tcPr>
            <w:tcW w:w="1506" w:type="dxa"/>
            <w:shd w:val="clear" w:color="auto" w:fill="auto"/>
            <w:vAlign w:val="center"/>
          </w:tcPr>
          <w:p w14:paraId="0F977A6A" w14:textId="1DD7D4EF"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16.98</w:t>
            </w:r>
          </w:p>
        </w:tc>
        <w:tc>
          <w:tcPr>
            <w:tcW w:w="1619" w:type="dxa"/>
            <w:vAlign w:val="center"/>
          </w:tcPr>
          <w:p w14:paraId="413FECEE" w14:textId="26E4CA62"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21.22</w:t>
            </w:r>
          </w:p>
        </w:tc>
      </w:tr>
      <w:tr w:rsidR="002E2CA9" w:rsidRPr="001167C1" w14:paraId="20CF8E01" w14:textId="77777777" w:rsidTr="00135C68">
        <w:tc>
          <w:tcPr>
            <w:tcW w:w="2187" w:type="dxa"/>
            <w:shd w:val="clear" w:color="auto" w:fill="auto"/>
            <w:vAlign w:val="center"/>
          </w:tcPr>
          <w:p w14:paraId="2E720A85" w14:textId="77777777" w:rsidR="007E5997" w:rsidRPr="001167C1" w:rsidRDefault="007E5997"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Minimum (%)</w:t>
            </w:r>
          </w:p>
        </w:tc>
        <w:tc>
          <w:tcPr>
            <w:tcW w:w="1329" w:type="dxa"/>
            <w:vAlign w:val="center"/>
          </w:tcPr>
          <w:p w14:paraId="27C762CF" w14:textId="5E94142B"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-4.65</w:t>
            </w:r>
          </w:p>
        </w:tc>
        <w:tc>
          <w:tcPr>
            <w:tcW w:w="1383" w:type="dxa"/>
            <w:vAlign w:val="center"/>
          </w:tcPr>
          <w:p w14:paraId="680A50E7" w14:textId="1D6E4636"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-5.73</w:t>
            </w:r>
          </w:p>
        </w:tc>
        <w:tc>
          <w:tcPr>
            <w:tcW w:w="1604" w:type="dxa"/>
            <w:shd w:val="clear" w:color="auto" w:fill="auto"/>
            <w:vAlign w:val="center"/>
          </w:tcPr>
          <w:p w14:paraId="6ECE9DC9" w14:textId="06F8ABB3"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-2.44</w:t>
            </w:r>
          </w:p>
        </w:tc>
        <w:tc>
          <w:tcPr>
            <w:tcW w:w="1506" w:type="dxa"/>
            <w:shd w:val="clear" w:color="auto" w:fill="auto"/>
            <w:vAlign w:val="center"/>
          </w:tcPr>
          <w:p w14:paraId="07880921" w14:textId="7BC90797"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-6.68</w:t>
            </w:r>
          </w:p>
        </w:tc>
        <w:tc>
          <w:tcPr>
            <w:tcW w:w="1619" w:type="dxa"/>
            <w:vAlign w:val="center"/>
          </w:tcPr>
          <w:p w14:paraId="08D2FA0E" w14:textId="2C102B47" w:rsidR="007E5997" w:rsidRPr="001167C1" w:rsidRDefault="002E2CA9" w:rsidP="001167C1">
            <w:pPr>
              <w:adjustRightInd w:val="0"/>
              <w:snapToGrid w:val="0"/>
              <w:spacing w:line="360" w:lineRule="auto"/>
              <w:jc w:val="center"/>
              <w:rPr>
                <w:rFonts w:ascii="Times New Roman" w:hAnsi="Times New Roman"/>
                <w:bCs/>
                <w:szCs w:val="24"/>
              </w:rPr>
            </w:pPr>
            <w:r w:rsidRPr="001167C1">
              <w:rPr>
                <w:rFonts w:ascii="Times New Roman" w:hAnsi="Times New Roman"/>
                <w:bCs/>
                <w:szCs w:val="24"/>
              </w:rPr>
              <w:t>0.81</w:t>
            </w:r>
          </w:p>
        </w:tc>
      </w:tr>
      <w:tr w:rsidR="002E2CA9" w:rsidRPr="001167C1" w14:paraId="4B8EF219" w14:textId="77777777" w:rsidTr="00135C68">
        <w:trPr>
          <w:trHeight w:val="301"/>
        </w:trPr>
        <w:tc>
          <w:tcPr>
            <w:tcW w:w="9628" w:type="dxa"/>
            <w:gridSpan w:val="6"/>
          </w:tcPr>
          <w:p w14:paraId="55878890" w14:textId="27266B07" w:rsidR="007E5997" w:rsidRPr="001167C1" w:rsidRDefault="007E5997" w:rsidP="001167C1">
            <w:pPr>
              <w:adjustRightInd w:val="0"/>
              <w:snapToGrid w:val="0"/>
              <w:spacing w:line="360" w:lineRule="auto"/>
              <w:jc w:val="both"/>
              <w:rPr>
                <w:rFonts w:ascii="Times New Roman" w:hAnsi="Times New Roman"/>
                <w:bCs/>
                <w:szCs w:val="24"/>
              </w:rPr>
            </w:pPr>
            <w:r w:rsidRPr="001167C1">
              <w:rPr>
                <w:rFonts w:ascii="Times New Roman" w:hAnsi="Times New Roman"/>
                <w:bCs/>
                <w:szCs w:val="24"/>
              </w:rPr>
              <w:t>Sources: Calculated from the dataset listed in Table 1</w:t>
            </w:r>
          </w:p>
        </w:tc>
      </w:tr>
    </w:tbl>
    <w:p w14:paraId="40DF888D" w14:textId="5FD9C687" w:rsidR="00135C68" w:rsidRPr="001167C1" w:rsidRDefault="00135C68" w:rsidP="00232DBE">
      <w:pPr>
        <w:adjustRightInd w:val="0"/>
        <w:snapToGrid w:val="0"/>
        <w:spacing w:line="360" w:lineRule="auto"/>
        <w:jc w:val="both"/>
        <w:rPr>
          <w:rFonts w:ascii="Times New Roman" w:hAnsi="Times New Roman"/>
          <w:szCs w:val="24"/>
        </w:rPr>
      </w:pPr>
      <w:r w:rsidRPr="001167C1">
        <w:rPr>
          <w:rFonts w:ascii="Times New Roman" w:hAnsi="Times New Roman"/>
          <w:szCs w:val="24"/>
        </w:rPr>
        <w:t>The United States exhibits a higher mean nominal GDP per capita growth rate, resulting in a lower standard deviation and coefficient of variation. This implies that the US offers a higher expected return with relatively less risk.</w:t>
      </w:r>
    </w:p>
    <w:p w14:paraId="5A866CF3" w14:textId="77777777" w:rsidR="00135C68" w:rsidRPr="001167C1" w:rsidRDefault="00135C68" w:rsidP="00232DBE">
      <w:pPr>
        <w:adjustRightInd w:val="0"/>
        <w:snapToGrid w:val="0"/>
        <w:spacing w:line="360" w:lineRule="auto"/>
        <w:jc w:val="both"/>
        <w:rPr>
          <w:rFonts w:ascii="Times New Roman" w:hAnsi="Times New Roman"/>
          <w:szCs w:val="24"/>
        </w:rPr>
      </w:pPr>
    </w:p>
    <w:p w14:paraId="56C97AD0" w14:textId="720E9D69" w:rsidR="00135C68" w:rsidRPr="001167C1" w:rsidRDefault="00135C68" w:rsidP="00232DBE">
      <w:pPr>
        <w:adjustRightInd w:val="0"/>
        <w:snapToGrid w:val="0"/>
        <w:spacing w:line="360" w:lineRule="auto"/>
        <w:jc w:val="both"/>
        <w:rPr>
          <w:rFonts w:ascii="Times New Roman" w:hAnsi="Times New Roman"/>
          <w:szCs w:val="24"/>
        </w:rPr>
      </w:pPr>
      <w:r w:rsidRPr="001167C1">
        <w:rPr>
          <w:rFonts w:ascii="Times New Roman" w:hAnsi="Times New Roman"/>
          <w:szCs w:val="24"/>
        </w:rPr>
        <w:t>Similarly, China demonstrates a higher mean nominal GDP per capita growth rate, leading to a lower standard deviation and coefficient of variation. This indicates a higher expected return with reduced risk compared to other countries. It is noteworthy that China's maximum growth rate reaches as high as 21.22%, further bolstering the expectation of higher returns.</w:t>
      </w:r>
    </w:p>
    <w:p w14:paraId="45641247" w14:textId="79062C2E" w:rsidR="00511D68" w:rsidRPr="001167C1" w:rsidRDefault="008A5402" w:rsidP="001167C1">
      <w:pPr>
        <w:widowControl/>
        <w:spacing w:line="360" w:lineRule="auto"/>
        <w:rPr>
          <w:rFonts w:ascii="Times New Roman" w:hAnsi="Times New Roman"/>
          <w:b/>
          <w:bCs/>
          <w:szCs w:val="24"/>
        </w:rPr>
      </w:pPr>
      <w:r w:rsidRPr="001167C1">
        <w:rPr>
          <w:rFonts w:ascii="Times New Roman" w:hAnsi="Times New Roman"/>
          <w:b/>
          <w:bCs/>
          <w:szCs w:val="24"/>
        </w:rPr>
        <w:br w:type="page"/>
      </w:r>
    </w:p>
    <w:p w14:paraId="57BFBF19" w14:textId="679993BF" w:rsidR="00511D68" w:rsidRPr="00232DBE" w:rsidRDefault="00320E26" w:rsidP="00232DBE">
      <w:pPr>
        <w:adjustRightInd w:val="0"/>
        <w:snapToGrid w:val="0"/>
        <w:spacing w:line="360" w:lineRule="auto"/>
        <w:jc w:val="both"/>
        <w:rPr>
          <w:rFonts w:ascii="Times New Roman" w:hAnsi="Times New Roman"/>
          <w:b/>
          <w:bCs/>
          <w:szCs w:val="24"/>
        </w:rPr>
      </w:pPr>
      <w:r w:rsidRPr="00232DBE">
        <w:rPr>
          <w:rFonts w:ascii="Times New Roman" w:hAnsi="Times New Roman"/>
          <w:b/>
          <w:bCs/>
          <w:szCs w:val="24"/>
        </w:rPr>
        <w:lastRenderedPageBreak/>
        <w:t xml:space="preserve">3.3 </w:t>
      </w:r>
      <w:r w:rsidR="00617F7E" w:rsidRPr="00232DBE">
        <w:rPr>
          <w:rFonts w:ascii="Times New Roman" w:hAnsi="Times New Roman"/>
          <w:b/>
          <w:bCs/>
          <w:szCs w:val="24"/>
        </w:rPr>
        <w:t>S</w:t>
      </w:r>
      <w:r w:rsidRPr="00232DBE">
        <w:rPr>
          <w:rFonts w:ascii="Times New Roman" w:hAnsi="Times New Roman"/>
          <w:b/>
          <w:bCs/>
          <w:szCs w:val="24"/>
        </w:rPr>
        <w:t>ummary</w:t>
      </w:r>
      <w:r w:rsidR="00CF29E3" w:rsidRPr="00232DBE">
        <w:rPr>
          <w:rFonts w:ascii="Times New Roman" w:hAnsi="Times New Roman"/>
          <w:b/>
          <w:bCs/>
          <w:szCs w:val="24"/>
        </w:rPr>
        <w:t xml:space="preserve"> of findings</w:t>
      </w:r>
    </w:p>
    <w:p w14:paraId="08FF33A5" w14:textId="77777777" w:rsidR="00782BD1" w:rsidRPr="00232DBE" w:rsidRDefault="00782BD1" w:rsidP="00232DBE">
      <w:pPr>
        <w:adjustRightInd w:val="0"/>
        <w:snapToGrid w:val="0"/>
        <w:spacing w:line="360" w:lineRule="auto"/>
        <w:jc w:val="both"/>
        <w:rPr>
          <w:rFonts w:ascii="Times New Roman" w:hAnsi="Times New Roman"/>
          <w:b/>
          <w:bCs/>
          <w:szCs w:val="24"/>
        </w:rPr>
      </w:pPr>
    </w:p>
    <w:p w14:paraId="69FB0DE0" w14:textId="2D67FA6F" w:rsidR="00541CBC" w:rsidRPr="00232DBE" w:rsidRDefault="00541CBC" w:rsidP="00232DBE">
      <w:pPr>
        <w:adjustRightInd w:val="0"/>
        <w:snapToGrid w:val="0"/>
        <w:spacing w:line="360" w:lineRule="auto"/>
        <w:jc w:val="both"/>
        <w:rPr>
          <w:rFonts w:ascii="Times New Roman" w:hAnsi="Times New Roman"/>
          <w:b/>
          <w:bCs/>
          <w:szCs w:val="24"/>
        </w:rPr>
      </w:pPr>
      <w:r w:rsidRPr="00232DBE">
        <w:rPr>
          <w:rFonts w:ascii="Times New Roman" w:hAnsi="Times New Roman"/>
          <w:b/>
          <w:bCs/>
          <w:szCs w:val="24"/>
        </w:rPr>
        <w:t>3.3.1 From Data set</w:t>
      </w:r>
    </w:p>
    <w:p w14:paraId="42A59966" w14:textId="77777777" w:rsidR="00E34702" w:rsidRPr="00232DBE" w:rsidRDefault="00E34702" w:rsidP="00232DBE">
      <w:pPr>
        <w:adjustRightInd w:val="0"/>
        <w:snapToGrid w:val="0"/>
        <w:spacing w:line="360" w:lineRule="auto"/>
        <w:jc w:val="both"/>
        <w:rPr>
          <w:rFonts w:ascii="Times New Roman" w:hAnsi="Times New Roman"/>
          <w:szCs w:val="24"/>
        </w:rPr>
      </w:pPr>
      <w:r w:rsidRPr="00232DBE">
        <w:rPr>
          <w:rFonts w:ascii="Times New Roman" w:hAnsi="Times New Roman"/>
          <w:szCs w:val="24"/>
        </w:rPr>
        <w:t xml:space="preserve">The findings from the data analysis indicate that the United States (US) and the United Kingdom (UK) exhibit higher levels of GDP per capita and experience less fluctuation compared to two emerging markets, </w:t>
      </w:r>
      <w:proofErr w:type="gramStart"/>
      <w:r w:rsidRPr="00232DBE">
        <w:rPr>
          <w:rFonts w:ascii="Times New Roman" w:hAnsi="Times New Roman"/>
          <w:szCs w:val="24"/>
        </w:rPr>
        <w:t>India</w:t>
      </w:r>
      <w:proofErr w:type="gramEnd"/>
      <w:r w:rsidRPr="00232DBE">
        <w:rPr>
          <w:rFonts w:ascii="Times New Roman" w:hAnsi="Times New Roman"/>
          <w:szCs w:val="24"/>
        </w:rPr>
        <w:t xml:space="preserve"> and China. Specifically, the US has a higher GDP per capita and lower fluctuation than the UK. Similarly, China demonstrates a higher level of GDP per capita and experiences less fluctuation compared to India.</w:t>
      </w:r>
    </w:p>
    <w:p w14:paraId="65FAC66E" w14:textId="77777777" w:rsidR="00E34702" w:rsidRPr="00232DBE" w:rsidRDefault="00E34702" w:rsidP="00232DBE">
      <w:pPr>
        <w:adjustRightInd w:val="0"/>
        <w:snapToGrid w:val="0"/>
        <w:spacing w:line="360" w:lineRule="auto"/>
        <w:jc w:val="both"/>
        <w:rPr>
          <w:rFonts w:ascii="Times New Roman" w:hAnsi="Times New Roman"/>
          <w:szCs w:val="24"/>
        </w:rPr>
      </w:pPr>
    </w:p>
    <w:p w14:paraId="609B44C6" w14:textId="77777777" w:rsidR="00E34702" w:rsidRPr="00232DBE" w:rsidRDefault="00E34702" w:rsidP="00232DBE">
      <w:pPr>
        <w:adjustRightInd w:val="0"/>
        <w:snapToGrid w:val="0"/>
        <w:spacing w:line="360" w:lineRule="auto"/>
        <w:jc w:val="both"/>
        <w:rPr>
          <w:rFonts w:ascii="Times New Roman" w:hAnsi="Times New Roman"/>
          <w:szCs w:val="24"/>
        </w:rPr>
      </w:pPr>
      <w:proofErr w:type="gramStart"/>
      <w:r w:rsidRPr="00232DBE">
        <w:rPr>
          <w:rFonts w:ascii="Times New Roman" w:hAnsi="Times New Roman"/>
          <w:szCs w:val="24"/>
        </w:rPr>
        <w:t>Analyzing Table 10, it</w:t>
      </w:r>
      <w:proofErr w:type="gramEnd"/>
      <w:r w:rsidRPr="00232DBE">
        <w:rPr>
          <w:rFonts w:ascii="Times New Roman" w:hAnsi="Times New Roman"/>
          <w:szCs w:val="24"/>
        </w:rPr>
        <w:t xml:space="preserve"> can be observed that the fluctuation, measured by the coefficient variation (CV), has decreased recently in both China and the US. Examining the data from 2000 to 2022, the US has a higher CV than the UK. However, in the years 2019 to 2022, the US's CV is lower than the UK's. Similarly, China's CV is higher than India's when considering the data from 2000 to 2022, but in the recent years from 2019 to 2022, China's CV is lower than India's.</w:t>
      </w:r>
    </w:p>
    <w:p w14:paraId="3FAA3F77" w14:textId="77777777" w:rsidR="00E34702" w:rsidRPr="00232DBE" w:rsidRDefault="00E34702" w:rsidP="00232DBE">
      <w:pPr>
        <w:adjustRightInd w:val="0"/>
        <w:snapToGrid w:val="0"/>
        <w:spacing w:line="360" w:lineRule="auto"/>
        <w:jc w:val="both"/>
        <w:rPr>
          <w:rFonts w:ascii="Times New Roman" w:hAnsi="Times New Roman"/>
          <w:szCs w:val="24"/>
        </w:rPr>
      </w:pPr>
    </w:p>
    <w:p w14:paraId="0151826A" w14:textId="77777777" w:rsidR="00E34702" w:rsidRPr="00232DBE" w:rsidRDefault="00E34702" w:rsidP="00232DBE">
      <w:pPr>
        <w:adjustRightInd w:val="0"/>
        <w:snapToGrid w:val="0"/>
        <w:spacing w:line="360" w:lineRule="auto"/>
        <w:jc w:val="both"/>
        <w:rPr>
          <w:rFonts w:ascii="Times New Roman" w:hAnsi="Times New Roman"/>
          <w:szCs w:val="24"/>
        </w:rPr>
      </w:pPr>
      <w:r w:rsidRPr="00232DBE">
        <w:rPr>
          <w:rFonts w:ascii="Times New Roman" w:hAnsi="Times New Roman"/>
          <w:szCs w:val="24"/>
        </w:rPr>
        <w:t>Furthermore, the performance of China and the US from 2020 to 2022 surpasses that of Hong Kong (HK). This provides a compelling rationale for reallocating resources invested in HK to these two countries.</w:t>
      </w:r>
    </w:p>
    <w:p w14:paraId="2F04C93E" w14:textId="77777777" w:rsidR="00E34702" w:rsidRPr="00232DBE" w:rsidRDefault="00E34702" w:rsidP="00232DBE">
      <w:pPr>
        <w:adjustRightInd w:val="0"/>
        <w:snapToGrid w:val="0"/>
        <w:spacing w:line="360" w:lineRule="auto"/>
        <w:jc w:val="both"/>
        <w:rPr>
          <w:rFonts w:ascii="Times New Roman" w:hAnsi="Times New Roman"/>
          <w:szCs w:val="24"/>
        </w:rPr>
      </w:pPr>
    </w:p>
    <w:p w14:paraId="57D5A173" w14:textId="65A913DB" w:rsidR="00541CBC" w:rsidRPr="00232DBE" w:rsidRDefault="00E34702" w:rsidP="00232DBE">
      <w:pPr>
        <w:adjustRightInd w:val="0"/>
        <w:snapToGrid w:val="0"/>
        <w:spacing w:line="360" w:lineRule="auto"/>
        <w:jc w:val="both"/>
        <w:rPr>
          <w:rFonts w:ascii="Times New Roman" w:hAnsi="Times New Roman"/>
          <w:szCs w:val="24"/>
        </w:rPr>
      </w:pPr>
      <w:r w:rsidRPr="00232DBE">
        <w:rPr>
          <w:rFonts w:ascii="Times New Roman" w:hAnsi="Times New Roman"/>
          <w:szCs w:val="24"/>
        </w:rPr>
        <w:t>Overall, these findings suggest that the US and China exhibit superior economic indicators and stability compared to the UK, India, and HK. Therefore, it would be advisable to consider reallocating resources from HK to these two countries based on their strong performance in recent years.</w:t>
      </w:r>
    </w:p>
    <w:p w14:paraId="444757CB" w14:textId="77777777" w:rsidR="00E34702" w:rsidRPr="00232DBE" w:rsidRDefault="00E34702" w:rsidP="00232DBE">
      <w:pPr>
        <w:adjustRightInd w:val="0"/>
        <w:snapToGrid w:val="0"/>
        <w:spacing w:line="360" w:lineRule="auto"/>
        <w:jc w:val="both"/>
        <w:rPr>
          <w:rFonts w:ascii="Times New Roman" w:hAnsi="Times New Roman"/>
          <w:szCs w:val="24"/>
        </w:rPr>
      </w:pPr>
    </w:p>
    <w:p w14:paraId="5B4F9479" w14:textId="45F76626" w:rsidR="00541CBC" w:rsidRPr="00232DBE" w:rsidRDefault="00541CBC" w:rsidP="00232DBE">
      <w:pPr>
        <w:adjustRightInd w:val="0"/>
        <w:snapToGrid w:val="0"/>
        <w:spacing w:line="360" w:lineRule="auto"/>
        <w:jc w:val="both"/>
        <w:rPr>
          <w:rFonts w:ascii="Times New Roman" w:hAnsi="Times New Roman"/>
          <w:b/>
          <w:bCs/>
          <w:szCs w:val="24"/>
        </w:rPr>
      </w:pPr>
      <w:r w:rsidRPr="00232DBE">
        <w:rPr>
          <w:rFonts w:ascii="Times New Roman" w:hAnsi="Times New Roman"/>
          <w:b/>
          <w:bCs/>
          <w:szCs w:val="24"/>
        </w:rPr>
        <w:t>3.3.2 From Empirical research</w:t>
      </w:r>
    </w:p>
    <w:p w14:paraId="7764D1B7" w14:textId="374B5FDA" w:rsidR="007338EA" w:rsidRPr="00232DBE" w:rsidRDefault="00E404DF" w:rsidP="00232DBE">
      <w:pPr>
        <w:adjustRightInd w:val="0"/>
        <w:snapToGrid w:val="0"/>
        <w:spacing w:line="360" w:lineRule="auto"/>
        <w:jc w:val="both"/>
        <w:rPr>
          <w:rFonts w:ascii="Times New Roman" w:hAnsi="Times New Roman"/>
          <w:szCs w:val="24"/>
        </w:rPr>
      </w:pPr>
      <w:r w:rsidRPr="00232DBE">
        <w:rPr>
          <w:rFonts w:ascii="Times New Roman" w:hAnsi="Times New Roman"/>
          <w:szCs w:val="24"/>
        </w:rPr>
        <w:t xml:space="preserve">It is widely recognized in academic literature that wealthier economies exhibit greater political stability compared to their less affluent counterparts (Dalgaard and Olsson, 2013). Consequently, investment strategies often prioritize politically stable countries (Le et al., 2023). Empirical evidence suggests that countries with higher nominal GDP per capita experience a higher degree of political stability, a trend observed in both advanced and emerging economies. </w:t>
      </w:r>
      <w:proofErr w:type="gramStart"/>
      <w:r w:rsidRPr="00232DBE">
        <w:rPr>
          <w:rFonts w:ascii="Times New Roman" w:hAnsi="Times New Roman"/>
          <w:szCs w:val="24"/>
        </w:rPr>
        <w:t>In light of</w:t>
      </w:r>
      <w:proofErr w:type="gramEnd"/>
      <w:r w:rsidRPr="00232DBE">
        <w:rPr>
          <w:rFonts w:ascii="Times New Roman" w:hAnsi="Times New Roman"/>
          <w:szCs w:val="24"/>
        </w:rPr>
        <w:t xml:space="preserve"> this, making investment decisions that favor the United States</w:t>
      </w:r>
      <w:r w:rsidR="004A2836" w:rsidRPr="00232DBE">
        <w:rPr>
          <w:rFonts w:ascii="Times New Roman" w:hAnsi="Times New Roman"/>
          <w:szCs w:val="24"/>
        </w:rPr>
        <w:t xml:space="preserve"> </w:t>
      </w:r>
      <w:r w:rsidRPr="00232DBE">
        <w:rPr>
          <w:rFonts w:ascii="Times New Roman" w:hAnsi="Times New Roman"/>
          <w:szCs w:val="24"/>
        </w:rPr>
        <w:t>over the United Kingdom and China over India can be considered a prudent choice, taking into account the anticipated political stability associated with higher nominal GDP per capita in these respective countries.</w:t>
      </w:r>
    </w:p>
    <w:p w14:paraId="3DB63D28" w14:textId="77777777" w:rsidR="007421B6" w:rsidRPr="00232DBE" w:rsidRDefault="007421B6" w:rsidP="00232DBE">
      <w:pPr>
        <w:adjustRightInd w:val="0"/>
        <w:snapToGrid w:val="0"/>
        <w:spacing w:line="360" w:lineRule="auto"/>
        <w:jc w:val="both"/>
        <w:rPr>
          <w:rFonts w:ascii="Times New Roman" w:hAnsi="Times New Roman"/>
          <w:szCs w:val="24"/>
        </w:rPr>
      </w:pPr>
    </w:p>
    <w:p w14:paraId="6F0B849F" w14:textId="0E5B416C" w:rsidR="00BB5FD5" w:rsidRPr="00232DBE" w:rsidRDefault="00D204F3" w:rsidP="00232DBE">
      <w:pPr>
        <w:adjustRightInd w:val="0"/>
        <w:snapToGrid w:val="0"/>
        <w:spacing w:line="360" w:lineRule="auto"/>
        <w:jc w:val="both"/>
        <w:rPr>
          <w:rFonts w:ascii="Times New Roman" w:hAnsi="Times New Roman"/>
          <w:szCs w:val="24"/>
        </w:rPr>
      </w:pPr>
      <w:r w:rsidRPr="00232DBE">
        <w:rPr>
          <w:rFonts w:ascii="Times New Roman" w:hAnsi="Times New Roman"/>
          <w:szCs w:val="24"/>
        </w:rPr>
        <w:lastRenderedPageBreak/>
        <w:t xml:space="preserve">Higher GDP per capita countries are often characterized by several key qualities that make them favorable for investment. Firstly, these countries tend to have higher literacy rates and a better-educated population, which contributes to a skilled and productive workforce (M. </w:t>
      </w:r>
      <w:proofErr w:type="spellStart"/>
      <w:r w:rsidRPr="00232DBE">
        <w:rPr>
          <w:rFonts w:ascii="Times New Roman" w:hAnsi="Times New Roman"/>
          <w:szCs w:val="24"/>
        </w:rPr>
        <w:t>Shafiqur</w:t>
      </w:r>
      <w:proofErr w:type="spellEnd"/>
      <w:r w:rsidRPr="00232DBE">
        <w:rPr>
          <w:rFonts w:ascii="Times New Roman" w:hAnsi="Times New Roman"/>
          <w:szCs w:val="24"/>
        </w:rPr>
        <w:t xml:space="preserve"> Rahman, 2013). Higher literacy rates in countries with higher GDP per capita positively impact investment. A well-educated population attracts investment by providing a skilled workforce, fostering innovation, and creating a favorable business environment. This relationship creates a virtuous cycle, driving economic growth and attracting further investment.</w:t>
      </w:r>
    </w:p>
    <w:p w14:paraId="5FF25084" w14:textId="77777777" w:rsidR="00D204F3" w:rsidRPr="00232DBE" w:rsidRDefault="00D204F3" w:rsidP="00232DBE">
      <w:pPr>
        <w:adjustRightInd w:val="0"/>
        <w:snapToGrid w:val="0"/>
        <w:spacing w:line="360" w:lineRule="auto"/>
        <w:jc w:val="both"/>
        <w:rPr>
          <w:rFonts w:ascii="Times New Roman" w:hAnsi="Times New Roman"/>
          <w:szCs w:val="24"/>
        </w:rPr>
      </w:pPr>
    </w:p>
    <w:p w14:paraId="38704817" w14:textId="1171C8E4" w:rsidR="00D204F3" w:rsidRPr="00232DBE" w:rsidRDefault="00934746" w:rsidP="00232DBE">
      <w:pPr>
        <w:widowControl/>
        <w:adjustRightInd w:val="0"/>
        <w:snapToGrid w:val="0"/>
        <w:spacing w:line="360" w:lineRule="auto"/>
        <w:rPr>
          <w:rFonts w:ascii="Times New Roman" w:hAnsi="Times New Roman"/>
          <w:szCs w:val="24"/>
        </w:rPr>
      </w:pPr>
      <w:r w:rsidRPr="00232DBE">
        <w:rPr>
          <w:rFonts w:ascii="Times New Roman" w:hAnsi="Times New Roman"/>
          <w:szCs w:val="24"/>
        </w:rPr>
        <w:t>Higher GDP per capita countries benefit from a reliable legal system, which fosters a favorable investment climate. A strong legal framework provides investor protection, enforces contracts, and ensures fair dispute resolution. This stability attracts investments, promotes transparency, and encourages fair competition, contributing to economic growth. (Bhagat, 2020)</w:t>
      </w:r>
      <w:r w:rsidR="00800560" w:rsidRPr="00232DBE">
        <w:rPr>
          <w:rFonts w:ascii="Times New Roman" w:hAnsi="Times New Roman"/>
          <w:szCs w:val="24"/>
        </w:rPr>
        <w:t xml:space="preserve">. </w:t>
      </w:r>
    </w:p>
    <w:p w14:paraId="48E8F037" w14:textId="77777777" w:rsidR="00D204F3" w:rsidRPr="00232DBE" w:rsidRDefault="00D204F3" w:rsidP="00232DBE">
      <w:pPr>
        <w:widowControl/>
        <w:adjustRightInd w:val="0"/>
        <w:snapToGrid w:val="0"/>
        <w:spacing w:line="360" w:lineRule="auto"/>
        <w:rPr>
          <w:rFonts w:ascii="Times New Roman" w:hAnsi="Times New Roman"/>
          <w:szCs w:val="24"/>
        </w:rPr>
      </w:pPr>
    </w:p>
    <w:p w14:paraId="556E19BE" w14:textId="65198D22" w:rsidR="00934746" w:rsidRPr="00232DBE" w:rsidRDefault="00931048" w:rsidP="00232DBE">
      <w:pPr>
        <w:widowControl/>
        <w:adjustRightInd w:val="0"/>
        <w:snapToGrid w:val="0"/>
        <w:spacing w:line="360" w:lineRule="auto"/>
        <w:rPr>
          <w:rFonts w:ascii="Times New Roman" w:hAnsi="Times New Roman"/>
          <w:szCs w:val="24"/>
        </w:rPr>
      </w:pPr>
      <w:r w:rsidRPr="00232DBE">
        <w:rPr>
          <w:rFonts w:ascii="Times New Roman" w:hAnsi="Times New Roman"/>
          <w:szCs w:val="24"/>
        </w:rPr>
        <w:t xml:space="preserve">Higher GDP per capita countries, including emerging economies, often prioritize openness, facilitating the smooth outflow of capital and encouraging international trade and investment (Johnston and </w:t>
      </w:r>
      <w:proofErr w:type="spellStart"/>
      <w:r w:rsidRPr="00232DBE">
        <w:rPr>
          <w:rFonts w:ascii="Times New Roman" w:hAnsi="Times New Roman"/>
          <w:szCs w:val="24"/>
        </w:rPr>
        <w:t>Tamirisa</w:t>
      </w:r>
      <w:proofErr w:type="spellEnd"/>
      <w:r w:rsidRPr="00232DBE">
        <w:rPr>
          <w:rFonts w:ascii="Times New Roman" w:hAnsi="Times New Roman"/>
          <w:szCs w:val="24"/>
        </w:rPr>
        <w:t>, 1998). This emphasis on openness creates an environment that attracts foreign investment, promotes economic integration, and stimulates economic growth.</w:t>
      </w:r>
    </w:p>
    <w:p w14:paraId="0BC1E792" w14:textId="77777777" w:rsidR="00931048" w:rsidRPr="00232DBE" w:rsidRDefault="00931048" w:rsidP="00232DBE">
      <w:pPr>
        <w:widowControl/>
        <w:adjustRightInd w:val="0"/>
        <w:snapToGrid w:val="0"/>
        <w:spacing w:line="360" w:lineRule="auto"/>
        <w:rPr>
          <w:rFonts w:ascii="Times New Roman" w:hAnsi="Times New Roman"/>
          <w:szCs w:val="24"/>
        </w:rPr>
      </w:pPr>
    </w:p>
    <w:p w14:paraId="441D91E3" w14:textId="65D324E6" w:rsidR="00931048" w:rsidRPr="00232DBE" w:rsidRDefault="00931048" w:rsidP="00232DBE">
      <w:pPr>
        <w:widowControl/>
        <w:adjustRightInd w:val="0"/>
        <w:snapToGrid w:val="0"/>
        <w:spacing w:line="360" w:lineRule="auto"/>
        <w:rPr>
          <w:rFonts w:ascii="Times New Roman" w:hAnsi="Times New Roman"/>
          <w:szCs w:val="24"/>
        </w:rPr>
      </w:pPr>
      <w:r w:rsidRPr="00232DBE">
        <w:rPr>
          <w:rFonts w:ascii="Times New Roman" w:hAnsi="Times New Roman"/>
          <w:szCs w:val="24"/>
        </w:rPr>
        <w:t>Higher GDP per capita countries, with advanced technology and modern infrastructure, create a favorable environment for economic growth and investment (Pew Research Center, 2014). Technological advancements attract investment, enhance productivity, and enable market expansion, resulting in higher returns on investment.</w:t>
      </w:r>
    </w:p>
    <w:p w14:paraId="472ACF2E" w14:textId="77777777" w:rsidR="009F4FFB" w:rsidRPr="00232DBE" w:rsidRDefault="009F4FFB" w:rsidP="00232DBE">
      <w:pPr>
        <w:widowControl/>
        <w:adjustRightInd w:val="0"/>
        <w:snapToGrid w:val="0"/>
        <w:spacing w:line="360" w:lineRule="auto"/>
        <w:rPr>
          <w:rFonts w:ascii="Times New Roman" w:hAnsi="Times New Roman"/>
          <w:szCs w:val="24"/>
        </w:rPr>
      </w:pPr>
    </w:p>
    <w:p w14:paraId="188D2F38" w14:textId="2A18B597" w:rsidR="00281F6E" w:rsidRPr="00232DBE" w:rsidRDefault="00800560" w:rsidP="00232DBE">
      <w:pPr>
        <w:widowControl/>
        <w:adjustRightInd w:val="0"/>
        <w:snapToGrid w:val="0"/>
        <w:spacing w:line="360" w:lineRule="auto"/>
        <w:rPr>
          <w:rFonts w:ascii="Times New Roman" w:hAnsi="Times New Roman"/>
          <w:szCs w:val="24"/>
        </w:rPr>
      </w:pPr>
      <w:r w:rsidRPr="00232DBE">
        <w:rPr>
          <w:rFonts w:ascii="Times New Roman" w:hAnsi="Times New Roman"/>
          <w:szCs w:val="24"/>
        </w:rPr>
        <w:t>Collectively, these factors make investing in countries with higher GDP per capita appealing due to their favorable business environment, skilled workforce, legal protection, technological advancements, robust infrastructure, and quality healthcare systems.</w:t>
      </w:r>
      <w:r w:rsidR="00281F6E" w:rsidRPr="00232DBE">
        <w:rPr>
          <w:rFonts w:ascii="Times New Roman" w:hAnsi="Times New Roman"/>
          <w:szCs w:val="24"/>
        </w:rPr>
        <w:br w:type="page"/>
      </w:r>
    </w:p>
    <w:p w14:paraId="41AF99B9" w14:textId="5FA9FE8B" w:rsidR="001B1DF5" w:rsidRPr="00232DBE" w:rsidRDefault="00FF45EB" w:rsidP="00232DBE">
      <w:pPr>
        <w:widowControl/>
        <w:adjustRightInd w:val="0"/>
        <w:snapToGrid w:val="0"/>
        <w:spacing w:line="360" w:lineRule="auto"/>
        <w:jc w:val="both"/>
        <w:rPr>
          <w:rFonts w:ascii="Times New Roman" w:hAnsi="Times New Roman"/>
          <w:b/>
          <w:bCs/>
          <w:color w:val="0000CC"/>
          <w:szCs w:val="24"/>
        </w:rPr>
      </w:pPr>
      <w:r w:rsidRPr="00232DBE">
        <w:rPr>
          <w:rFonts w:ascii="Times New Roman" w:hAnsi="Times New Roman"/>
          <w:b/>
          <w:bCs/>
          <w:szCs w:val="24"/>
        </w:rPr>
        <w:lastRenderedPageBreak/>
        <w:t>4</w:t>
      </w:r>
      <w:r w:rsidR="001B1DF5" w:rsidRPr="00232DBE">
        <w:rPr>
          <w:rFonts w:ascii="Times New Roman" w:hAnsi="Times New Roman"/>
          <w:b/>
          <w:bCs/>
          <w:szCs w:val="24"/>
        </w:rPr>
        <w:t xml:space="preserve">   </w:t>
      </w:r>
      <w:r w:rsidR="001E46DB" w:rsidRPr="00232DBE">
        <w:rPr>
          <w:rFonts w:ascii="Times New Roman" w:hAnsi="Times New Roman"/>
          <w:b/>
          <w:bCs/>
          <w:szCs w:val="24"/>
        </w:rPr>
        <w:t>Conclusion and recommendations</w:t>
      </w:r>
      <w:r w:rsidR="001B1DF5" w:rsidRPr="00232DBE">
        <w:rPr>
          <w:rFonts w:ascii="Times New Roman" w:hAnsi="Times New Roman"/>
          <w:b/>
          <w:bCs/>
          <w:szCs w:val="24"/>
        </w:rPr>
        <w:t xml:space="preserve"> </w:t>
      </w:r>
    </w:p>
    <w:p w14:paraId="01DECFCA" w14:textId="77777777" w:rsidR="00CF29E3" w:rsidRPr="00232DBE" w:rsidRDefault="00CF29E3" w:rsidP="00232DBE">
      <w:pPr>
        <w:adjustRightInd w:val="0"/>
        <w:snapToGrid w:val="0"/>
        <w:spacing w:line="360" w:lineRule="auto"/>
        <w:jc w:val="both"/>
        <w:rPr>
          <w:rFonts w:ascii="Times New Roman" w:hAnsi="Times New Roman"/>
          <w:szCs w:val="24"/>
        </w:rPr>
      </w:pPr>
    </w:p>
    <w:p w14:paraId="6BF77EDB" w14:textId="11B8CBF4" w:rsidR="005D6188" w:rsidRPr="00232DBE" w:rsidRDefault="005D6188" w:rsidP="00232DBE">
      <w:pPr>
        <w:adjustRightInd w:val="0"/>
        <w:snapToGrid w:val="0"/>
        <w:spacing w:line="360" w:lineRule="auto"/>
        <w:jc w:val="both"/>
        <w:rPr>
          <w:rFonts w:ascii="Times New Roman" w:hAnsi="Times New Roman"/>
          <w:b/>
          <w:bCs/>
          <w:szCs w:val="24"/>
        </w:rPr>
      </w:pPr>
      <w:r w:rsidRPr="00232DBE">
        <w:rPr>
          <w:rFonts w:ascii="Times New Roman" w:hAnsi="Times New Roman"/>
          <w:b/>
          <w:bCs/>
          <w:szCs w:val="24"/>
        </w:rPr>
        <w:t xml:space="preserve">4.1 Recommendations </w:t>
      </w:r>
    </w:p>
    <w:p w14:paraId="4B9D5ACD" w14:textId="77777777" w:rsidR="00E34702" w:rsidRPr="00232DBE" w:rsidRDefault="00E34702" w:rsidP="00232DBE">
      <w:pPr>
        <w:adjustRightInd w:val="0"/>
        <w:snapToGrid w:val="0"/>
        <w:spacing w:line="360" w:lineRule="auto"/>
        <w:jc w:val="both"/>
        <w:rPr>
          <w:rFonts w:ascii="Times New Roman" w:hAnsi="Times New Roman"/>
          <w:szCs w:val="24"/>
        </w:rPr>
      </w:pPr>
      <w:r w:rsidRPr="00232DBE">
        <w:rPr>
          <w:rFonts w:ascii="Times New Roman" w:hAnsi="Times New Roman"/>
          <w:szCs w:val="24"/>
        </w:rPr>
        <w:t xml:space="preserve">The findings from the data analysis indicate that the United States (US) and China exhibit higher GDP per capita and lower fluctuations compared to the United Kingdom (UK) and India, respectively. </w:t>
      </w:r>
      <w:proofErr w:type="gramStart"/>
      <w:r w:rsidRPr="00232DBE">
        <w:rPr>
          <w:rFonts w:ascii="Times New Roman" w:hAnsi="Times New Roman"/>
          <w:szCs w:val="24"/>
        </w:rPr>
        <w:t>Analyzing the coefficient variation (CV) data, it</w:t>
      </w:r>
      <w:proofErr w:type="gramEnd"/>
      <w:r w:rsidRPr="00232DBE">
        <w:rPr>
          <w:rFonts w:ascii="Times New Roman" w:hAnsi="Times New Roman"/>
          <w:szCs w:val="24"/>
        </w:rPr>
        <w:t xml:space="preserve"> can be observed that both China and the US have experienced a decrease in fluctuation in recent years. Additionally, the performance of China and the US from 2020 to 2022 surpasses that of Hong Kong (HK), providing a rationale for reallocating resources to these two countries.</w:t>
      </w:r>
    </w:p>
    <w:p w14:paraId="6EB13F5D" w14:textId="77777777" w:rsidR="00E34702" w:rsidRPr="00232DBE" w:rsidRDefault="00E34702" w:rsidP="00232DBE">
      <w:pPr>
        <w:adjustRightInd w:val="0"/>
        <w:snapToGrid w:val="0"/>
        <w:spacing w:line="360" w:lineRule="auto"/>
        <w:jc w:val="both"/>
        <w:rPr>
          <w:rFonts w:ascii="Times New Roman" w:hAnsi="Times New Roman"/>
          <w:szCs w:val="24"/>
        </w:rPr>
      </w:pPr>
    </w:p>
    <w:p w14:paraId="20D8CB46" w14:textId="77777777" w:rsidR="00E34702" w:rsidRPr="00232DBE" w:rsidRDefault="00E34702" w:rsidP="00232DBE">
      <w:pPr>
        <w:adjustRightInd w:val="0"/>
        <w:snapToGrid w:val="0"/>
        <w:spacing w:line="360" w:lineRule="auto"/>
        <w:jc w:val="both"/>
        <w:rPr>
          <w:rFonts w:ascii="Times New Roman" w:hAnsi="Times New Roman"/>
          <w:szCs w:val="24"/>
        </w:rPr>
      </w:pPr>
      <w:r w:rsidRPr="00232DBE">
        <w:rPr>
          <w:rFonts w:ascii="Times New Roman" w:hAnsi="Times New Roman"/>
          <w:szCs w:val="24"/>
        </w:rPr>
        <w:t>Empirical research supports the notion that wealthier economies, characterized by higher GDP per capita, exhibit greater political stability. As a result, investment strategies often prioritize politically stable countries. Countries with higher GDP per capita also tend to have higher literacy rates, a skilled workforce, a reliable legal system, and an emphasis on openness, which create favorable business environments and attract investment. Furthermore, these countries benefit from advanced technology, modern infrastructure, and quality healthcare systems, all of which contribute to higher returns on investment.</w:t>
      </w:r>
    </w:p>
    <w:p w14:paraId="37FAF2E7" w14:textId="77777777" w:rsidR="00E34702" w:rsidRPr="00232DBE" w:rsidRDefault="00E34702" w:rsidP="00232DBE">
      <w:pPr>
        <w:adjustRightInd w:val="0"/>
        <w:snapToGrid w:val="0"/>
        <w:spacing w:line="360" w:lineRule="auto"/>
        <w:jc w:val="both"/>
        <w:rPr>
          <w:rFonts w:ascii="Times New Roman" w:hAnsi="Times New Roman"/>
          <w:szCs w:val="24"/>
        </w:rPr>
      </w:pPr>
    </w:p>
    <w:p w14:paraId="10690930" w14:textId="409C4582" w:rsidR="00800560" w:rsidRPr="00232DBE" w:rsidRDefault="00E34702" w:rsidP="00232DBE">
      <w:pPr>
        <w:adjustRightInd w:val="0"/>
        <w:snapToGrid w:val="0"/>
        <w:spacing w:line="360" w:lineRule="auto"/>
        <w:jc w:val="both"/>
        <w:rPr>
          <w:rFonts w:ascii="Times New Roman" w:hAnsi="Times New Roman"/>
          <w:szCs w:val="24"/>
        </w:rPr>
      </w:pPr>
      <w:r w:rsidRPr="00232DBE">
        <w:rPr>
          <w:rFonts w:ascii="Times New Roman" w:hAnsi="Times New Roman"/>
          <w:szCs w:val="24"/>
        </w:rPr>
        <w:t xml:space="preserve">Considering these findings and empirical research, it is advisable to diversify investment between the US and China to mitigate risks. The US provides stability and potentially high returns, while China offers a catch-up effect </w:t>
      </w:r>
      <w:r w:rsidR="006201F1" w:rsidRPr="00232DBE">
        <w:rPr>
          <w:rFonts w:ascii="Times New Roman" w:hAnsi="Times New Roman"/>
          <w:szCs w:val="24"/>
        </w:rPr>
        <w:t xml:space="preserve">(Kenton, 2021) </w:t>
      </w:r>
      <w:r w:rsidRPr="00232DBE">
        <w:rPr>
          <w:rFonts w:ascii="Times New Roman" w:hAnsi="Times New Roman"/>
          <w:szCs w:val="24"/>
        </w:rPr>
        <w:t>and a balance of high returns and moderate risk (as indicated by its CV being higher than that of the US). Allocating resources to these two countries would take advantage of their superior economic indicators, stability, and potential for growth, thus diversifying investment risk.</w:t>
      </w:r>
    </w:p>
    <w:p w14:paraId="19A5B33F" w14:textId="77777777" w:rsidR="00E34702" w:rsidRPr="00232DBE" w:rsidRDefault="00E34702" w:rsidP="00232DBE">
      <w:pPr>
        <w:adjustRightInd w:val="0"/>
        <w:snapToGrid w:val="0"/>
        <w:spacing w:line="360" w:lineRule="auto"/>
        <w:jc w:val="both"/>
        <w:rPr>
          <w:rFonts w:ascii="Times New Roman" w:hAnsi="Times New Roman"/>
          <w:szCs w:val="24"/>
        </w:rPr>
      </w:pPr>
    </w:p>
    <w:p w14:paraId="0F68DE8A" w14:textId="77777777" w:rsidR="004C3950" w:rsidRPr="00232DBE" w:rsidRDefault="004C3950" w:rsidP="00232DBE">
      <w:pPr>
        <w:widowControl/>
        <w:spacing w:line="360" w:lineRule="auto"/>
        <w:rPr>
          <w:rFonts w:ascii="Times New Roman" w:hAnsi="Times New Roman"/>
          <w:szCs w:val="24"/>
        </w:rPr>
      </w:pPr>
      <w:r w:rsidRPr="00232DBE">
        <w:rPr>
          <w:rFonts w:ascii="Times New Roman" w:hAnsi="Times New Roman"/>
          <w:szCs w:val="24"/>
        </w:rPr>
        <w:t>Based on the analysis of Graph 3, it is evident that China exhibits a time lag in reflecting global economic trends. Specifically, the country's economic performance tends to decline after other nations experience a downturn, and conversely, it shows an increase following other countries' recovery. Consequently, it is recommended to consider reallocating investments to China when there is a decrease observed in the United States (US), as this temporal discrepancy may offer investment opportunities.</w:t>
      </w:r>
    </w:p>
    <w:p w14:paraId="452E15C5" w14:textId="77777777" w:rsidR="004C3950" w:rsidRPr="00232DBE" w:rsidRDefault="004C3950" w:rsidP="00232DBE">
      <w:pPr>
        <w:widowControl/>
        <w:spacing w:line="360" w:lineRule="auto"/>
        <w:rPr>
          <w:rFonts w:ascii="Times New Roman" w:hAnsi="Times New Roman"/>
          <w:szCs w:val="24"/>
        </w:rPr>
      </w:pPr>
    </w:p>
    <w:p w14:paraId="7DBE6224" w14:textId="77777777" w:rsidR="008A7A7A" w:rsidRPr="00232DBE" w:rsidRDefault="004C3950" w:rsidP="00232DBE">
      <w:pPr>
        <w:widowControl/>
        <w:spacing w:line="360" w:lineRule="auto"/>
        <w:rPr>
          <w:rFonts w:ascii="Times New Roman" w:hAnsi="Times New Roman"/>
          <w:szCs w:val="24"/>
        </w:rPr>
      </w:pPr>
      <w:r w:rsidRPr="00232DBE">
        <w:rPr>
          <w:rFonts w:ascii="Times New Roman" w:hAnsi="Times New Roman"/>
          <w:szCs w:val="24"/>
        </w:rPr>
        <w:t>Furthermore, it is advisable to devote attention to identifying sectors that yield higher returns over time. For instance, emerging topics such as artificial intelligence (AI), technology, and green energies have garnered significant attention and demonstrated potential for substantial returns in recent years. However, it is important to note that these trends are subject to change, necessitating ongoing efforts to stay abreast of evolving investment opportunities. Therefore, conducting thorough research and analysis to identify sectors with promising prospects is crucial in optimizing investment decisions.</w:t>
      </w:r>
    </w:p>
    <w:p w14:paraId="39E197F6" w14:textId="77777777" w:rsidR="00610DBD" w:rsidRPr="00232DBE" w:rsidRDefault="00610DBD" w:rsidP="00232DBE">
      <w:pPr>
        <w:widowControl/>
        <w:spacing w:line="360" w:lineRule="auto"/>
        <w:rPr>
          <w:rFonts w:ascii="Times New Roman" w:hAnsi="Times New Roman"/>
          <w:szCs w:val="24"/>
        </w:rPr>
      </w:pPr>
    </w:p>
    <w:p w14:paraId="026AA9A4" w14:textId="392F34BC" w:rsidR="00610DBD" w:rsidRPr="00232DBE" w:rsidRDefault="005D6188" w:rsidP="00232DBE">
      <w:pPr>
        <w:widowControl/>
        <w:spacing w:line="360" w:lineRule="auto"/>
        <w:rPr>
          <w:rFonts w:ascii="Times New Roman" w:hAnsi="Times New Roman"/>
          <w:b/>
          <w:bCs/>
          <w:szCs w:val="24"/>
        </w:rPr>
      </w:pPr>
      <w:r w:rsidRPr="00232DBE">
        <w:rPr>
          <w:rFonts w:ascii="Times New Roman" w:hAnsi="Times New Roman"/>
          <w:b/>
          <w:bCs/>
          <w:szCs w:val="24"/>
        </w:rPr>
        <w:t xml:space="preserve">4.2 </w:t>
      </w:r>
      <w:r w:rsidR="00610DBD" w:rsidRPr="00232DBE">
        <w:rPr>
          <w:rFonts w:ascii="Times New Roman" w:hAnsi="Times New Roman"/>
          <w:b/>
          <w:bCs/>
          <w:szCs w:val="24"/>
        </w:rPr>
        <w:t>Limitation</w:t>
      </w:r>
    </w:p>
    <w:p w14:paraId="7F5B08B1" w14:textId="715B7964" w:rsidR="007520B9" w:rsidRPr="001167C1" w:rsidRDefault="005D6188" w:rsidP="00232DBE">
      <w:pPr>
        <w:widowControl/>
        <w:spacing w:line="360" w:lineRule="auto"/>
        <w:rPr>
          <w:rFonts w:ascii="Times New Roman" w:eastAsia="Times New Roman" w:hAnsi="Times New Roman"/>
          <w:kern w:val="0"/>
          <w:szCs w:val="24"/>
        </w:rPr>
      </w:pPr>
      <w:r w:rsidRPr="00232DBE">
        <w:rPr>
          <w:rFonts w:ascii="Times New Roman" w:hAnsi="Times New Roman"/>
          <w:szCs w:val="24"/>
        </w:rPr>
        <w:t xml:space="preserve">Although China seems like a favorable investment destination, one important aspect to consider is the capital controls imposed by the country. As of January 1, 2019, any transaction, whether singular or cumulative, surpassing the following thresholds requires the company to </w:t>
      </w:r>
      <w:proofErr w:type="gramStart"/>
      <w:r w:rsidRPr="00232DBE">
        <w:rPr>
          <w:rFonts w:ascii="Times New Roman" w:hAnsi="Times New Roman"/>
          <w:szCs w:val="24"/>
        </w:rPr>
        <w:t>submit an application</w:t>
      </w:r>
      <w:proofErr w:type="gramEnd"/>
      <w:r w:rsidRPr="00232DBE">
        <w:rPr>
          <w:rFonts w:ascii="Times New Roman" w:hAnsi="Times New Roman"/>
          <w:szCs w:val="24"/>
        </w:rPr>
        <w:t xml:space="preserve"> report: a value of 2 million Chinese yuan or more in renminbi, or a total foreign currency value of 200,000 US dollars or more. Therefore, it is crucial for the company to allocate sufficient time to withdraw the funds from China and acquire a comprehensive understanding of the appropriate procedures for drafting and submitting the report to the State Administration of Foreign Exchange of China </w:t>
      </w:r>
      <w:r w:rsidRPr="00232DBE">
        <w:rPr>
          <w:rFonts w:ascii="Times New Roman" w:eastAsia="Times New Roman" w:hAnsi="Times New Roman"/>
          <w:kern w:val="0"/>
          <w:szCs w:val="24"/>
        </w:rPr>
        <w:t xml:space="preserve">(The State Council </w:t>
      </w:r>
      <w:proofErr w:type="gramStart"/>
      <w:r w:rsidRPr="00232DBE">
        <w:rPr>
          <w:rFonts w:ascii="Times New Roman" w:eastAsia="Times New Roman" w:hAnsi="Times New Roman"/>
          <w:kern w:val="0"/>
          <w:szCs w:val="24"/>
        </w:rPr>
        <w:t>The</w:t>
      </w:r>
      <w:proofErr w:type="gramEnd"/>
      <w:r w:rsidRPr="00232DBE">
        <w:rPr>
          <w:rFonts w:ascii="Times New Roman" w:eastAsia="Times New Roman" w:hAnsi="Times New Roman"/>
          <w:kern w:val="0"/>
          <w:szCs w:val="24"/>
        </w:rPr>
        <w:t xml:space="preserve"> People's Republic of China, 2019)</w:t>
      </w:r>
      <w:r w:rsidRPr="00232DBE">
        <w:rPr>
          <w:rFonts w:ascii="Times New Roman" w:hAnsi="Times New Roman"/>
          <w:szCs w:val="24"/>
        </w:rPr>
        <w:t>.</w:t>
      </w:r>
      <w:r w:rsidR="007520B9" w:rsidRPr="001167C1">
        <w:rPr>
          <w:rFonts w:ascii="Times New Roman" w:hAnsi="Times New Roman"/>
          <w:b/>
          <w:bCs/>
          <w:szCs w:val="24"/>
        </w:rPr>
        <w:br w:type="page"/>
      </w:r>
    </w:p>
    <w:p w14:paraId="6B2EAE5D" w14:textId="55663C12" w:rsidR="00BD439E" w:rsidRPr="001167C1" w:rsidRDefault="00BD439E" w:rsidP="001167C1">
      <w:pPr>
        <w:adjustRightInd w:val="0"/>
        <w:snapToGrid w:val="0"/>
        <w:spacing w:line="360" w:lineRule="auto"/>
        <w:jc w:val="both"/>
        <w:rPr>
          <w:rFonts w:ascii="Times New Roman" w:hAnsi="Times New Roman"/>
          <w:b/>
          <w:bCs/>
          <w:szCs w:val="24"/>
        </w:rPr>
      </w:pPr>
      <w:r w:rsidRPr="001167C1">
        <w:rPr>
          <w:rFonts w:ascii="Times New Roman" w:hAnsi="Times New Roman"/>
          <w:b/>
          <w:bCs/>
          <w:szCs w:val="24"/>
        </w:rPr>
        <w:lastRenderedPageBreak/>
        <w:t>References</w:t>
      </w:r>
      <w:r w:rsidR="001F3715" w:rsidRPr="001167C1">
        <w:rPr>
          <w:rFonts w:ascii="Times New Roman" w:hAnsi="Times New Roman"/>
          <w:b/>
          <w:bCs/>
          <w:color w:val="0000CC"/>
          <w:szCs w:val="24"/>
        </w:rPr>
        <w:t xml:space="preserve"> </w:t>
      </w:r>
    </w:p>
    <w:p w14:paraId="164E53BD" w14:textId="77777777" w:rsidR="00340A26" w:rsidRPr="001167C1" w:rsidRDefault="00340A26" w:rsidP="001167C1">
      <w:pPr>
        <w:adjustRightInd w:val="0"/>
        <w:snapToGrid w:val="0"/>
        <w:spacing w:line="360" w:lineRule="auto"/>
        <w:ind w:left="480" w:hangingChars="200" w:hanging="480"/>
        <w:jc w:val="both"/>
        <w:rPr>
          <w:rFonts w:ascii="Times New Roman" w:hAnsi="Times New Roman"/>
          <w:color w:val="222222"/>
          <w:szCs w:val="24"/>
          <w:shd w:val="clear" w:color="auto" w:fill="FFFFFF"/>
        </w:rPr>
      </w:pPr>
    </w:p>
    <w:p w14:paraId="1C2FF010"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Bhagat, S. (2020). Economic Growth, Income Inequality, and the Rule of Law. </w:t>
      </w:r>
      <w:r>
        <w:rPr>
          <w:rFonts w:ascii="Times New Roman" w:hAnsi="Times New Roman"/>
          <w:i/>
          <w:iCs/>
          <w:kern w:val="0"/>
          <w:szCs w:val="24"/>
        </w:rPr>
        <w:t>SSRN Electronic Journal</w:t>
      </w:r>
      <w:r>
        <w:rPr>
          <w:rFonts w:ascii="Times New Roman" w:hAnsi="Times New Roman"/>
          <w:kern w:val="0"/>
          <w:szCs w:val="24"/>
        </w:rPr>
        <w:t xml:space="preserve">. [online] </w:t>
      </w:r>
      <w:proofErr w:type="spellStart"/>
      <w:r>
        <w:rPr>
          <w:rFonts w:ascii="Times New Roman" w:hAnsi="Times New Roman"/>
          <w:kern w:val="0"/>
          <w:szCs w:val="24"/>
        </w:rPr>
        <w:t>doi:</w:t>
      </w:r>
      <w:hyperlink r:id="rId17" w:history="1">
        <w:r>
          <w:rPr>
            <w:rFonts w:ascii="Times New Roman" w:hAnsi="Times New Roman"/>
            <w:kern w:val="0"/>
            <w:szCs w:val="24"/>
          </w:rPr>
          <w:t>https</w:t>
        </w:r>
        <w:proofErr w:type="spellEnd"/>
        <w:r>
          <w:rPr>
            <w:rFonts w:ascii="Times New Roman" w:hAnsi="Times New Roman"/>
            <w:kern w:val="0"/>
            <w:szCs w:val="24"/>
          </w:rPr>
          <w:t>://doi.org/10.2139/ssrn.3736171</w:t>
        </w:r>
      </w:hyperlink>
      <w:r>
        <w:rPr>
          <w:rFonts w:ascii="Times New Roman" w:hAnsi="Times New Roman"/>
          <w:kern w:val="0"/>
          <w:szCs w:val="24"/>
        </w:rPr>
        <w:t>.</w:t>
      </w:r>
    </w:p>
    <w:p w14:paraId="76195367"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Brock, T. (2020). </w:t>
      </w:r>
      <w:r>
        <w:rPr>
          <w:rFonts w:ascii="Times New Roman" w:hAnsi="Times New Roman"/>
          <w:i/>
          <w:iCs/>
          <w:kern w:val="0"/>
          <w:szCs w:val="24"/>
        </w:rPr>
        <w:t>GDP Per Capita Defined: Applications and Highest Per Country</w:t>
      </w:r>
      <w:r>
        <w:rPr>
          <w:rFonts w:ascii="Times New Roman" w:hAnsi="Times New Roman"/>
          <w:kern w:val="0"/>
          <w:szCs w:val="24"/>
        </w:rPr>
        <w:t xml:space="preserve">. [online] Investopedia. Available at: </w:t>
      </w:r>
      <w:hyperlink r:id="rId18" w:history="1">
        <w:r>
          <w:rPr>
            <w:rFonts w:ascii="Times New Roman" w:hAnsi="Times New Roman"/>
            <w:kern w:val="0"/>
            <w:szCs w:val="24"/>
          </w:rPr>
          <w:t>https://www.investopedia.com/terms/p/per-capita-gdp.asp</w:t>
        </w:r>
      </w:hyperlink>
      <w:r>
        <w:rPr>
          <w:rFonts w:ascii="Times New Roman" w:hAnsi="Times New Roman"/>
          <w:kern w:val="0"/>
          <w:szCs w:val="24"/>
        </w:rPr>
        <w:t xml:space="preserve"> [Accessed 20 Feb. 2024].</w:t>
      </w:r>
    </w:p>
    <w:p w14:paraId="44A17C19"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Dalgaard, C.-J. and Olsson, O. (2013). Why Are Rich Countries More Politically Cohesive? </w:t>
      </w:r>
      <w:r>
        <w:rPr>
          <w:rFonts w:ascii="Times New Roman" w:hAnsi="Times New Roman"/>
          <w:i/>
          <w:iCs/>
          <w:kern w:val="0"/>
          <w:szCs w:val="24"/>
        </w:rPr>
        <w:t>The Scandinavian Journal of Economics</w:t>
      </w:r>
      <w:r>
        <w:rPr>
          <w:rFonts w:ascii="Times New Roman" w:hAnsi="Times New Roman"/>
          <w:kern w:val="0"/>
          <w:szCs w:val="24"/>
        </w:rPr>
        <w:t xml:space="preserve">, [online] 115(2), pp.423–448. Available at: </w:t>
      </w:r>
      <w:hyperlink r:id="rId19" w:history="1">
        <w:r>
          <w:rPr>
            <w:rFonts w:ascii="Times New Roman" w:hAnsi="Times New Roman"/>
            <w:kern w:val="0"/>
            <w:szCs w:val="24"/>
          </w:rPr>
          <w:t>https://www.jstor.org/stable/43673633</w:t>
        </w:r>
      </w:hyperlink>
      <w:r>
        <w:rPr>
          <w:rFonts w:ascii="Times New Roman" w:hAnsi="Times New Roman"/>
          <w:kern w:val="0"/>
          <w:szCs w:val="24"/>
        </w:rPr>
        <w:t xml:space="preserve"> [Accessed 26 Feb. 2024].</w:t>
      </w:r>
    </w:p>
    <w:p w14:paraId="0222914B"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Eimer, E. (2021). </w:t>
      </w:r>
      <w:r>
        <w:rPr>
          <w:rFonts w:ascii="Times New Roman" w:hAnsi="Times New Roman"/>
          <w:i/>
          <w:iCs/>
          <w:kern w:val="0"/>
          <w:szCs w:val="24"/>
        </w:rPr>
        <w:t xml:space="preserve">What Is GDP and What Can Investors Learn </w:t>
      </w:r>
      <w:proofErr w:type="gramStart"/>
      <w:r>
        <w:rPr>
          <w:rFonts w:ascii="Times New Roman" w:hAnsi="Times New Roman"/>
          <w:i/>
          <w:iCs/>
          <w:kern w:val="0"/>
          <w:szCs w:val="24"/>
        </w:rPr>
        <w:t>From</w:t>
      </w:r>
      <w:proofErr w:type="gramEnd"/>
      <w:r>
        <w:rPr>
          <w:rFonts w:ascii="Times New Roman" w:hAnsi="Times New Roman"/>
          <w:i/>
          <w:iCs/>
          <w:kern w:val="0"/>
          <w:szCs w:val="24"/>
        </w:rPr>
        <w:t xml:space="preserve"> It?</w:t>
      </w:r>
      <w:r>
        <w:rPr>
          <w:rFonts w:ascii="Times New Roman" w:hAnsi="Times New Roman"/>
          <w:kern w:val="0"/>
          <w:szCs w:val="24"/>
        </w:rPr>
        <w:t xml:space="preserve"> [online] Nasdaq.com. Available at: </w:t>
      </w:r>
      <w:hyperlink r:id="rId20" w:history="1">
        <w:r>
          <w:rPr>
            <w:rFonts w:ascii="Times New Roman" w:hAnsi="Times New Roman"/>
            <w:kern w:val="0"/>
            <w:szCs w:val="24"/>
          </w:rPr>
          <w:t>https://www.nasdaq.com/articles/what-is-gdp-and-what-can-investors-learn-from-it-2021-08-23</w:t>
        </w:r>
      </w:hyperlink>
      <w:r>
        <w:rPr>
          <w:rFonts w:ascii="Times New Roman" w:hAnsi="Times New Roman"/>
          <w:kern w:val="0"/>
          <w:szCs w:val="24"/>
        </w:rPr>
        <w:t xml:space="preserve"> [Accessed 20 Feb. 2024].</w:t>
      </w:r>
    </w:p>
    <w:p w14:paraId="032CA54B"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FOCUSECONOMICS (2024a). </w:t>
      </w:r>
      <w:r>
        <w:rPr>
          <w:rFonts w:ascii="Times New Roman" w:hAnsi="Times New Roman"/>
          <w:i/>
          <w:iCs/>
          <w:kern w:val="0"/>
          <w:szCs w:val="24"/>
        </w:rPr>
        <w:t>GDP per capita (USD) Archives</w:t>
      </w:r>
      <w:r>
        <w:rPr>
          <w:rFonts w:ascii="Times New Roman" w:hAnsi="Times New Roman"/>
          <w:kern w:val="0"/>
          <w:szCs w:val="24"/>
        </w:rPr>
        <w:t xml:space="preserve">. [online] </w:t>
      </w:r>
      <w:proofErr w:type="spellStart"/>
      <w:r>
        <w:rPr>
          <w:rFonts w:ascii="Times New Roman" w:hAnsi="Times New Roman"/>
          <w:kern w:val="0"/>
          <w:szCs w:val="24"/>
        </w:rPr>
        <w:t>FocusEconomics</w:t>
      </w:r>
      <w:proofErr w:type="spellEnd"/>
      <w:r>
        <w:rPr>
          <w:rFonts w:ascii="Times New Roman" w:hAnsi="Times New Roman"/>
          <w:kern w:val="0"/>
          <w:szCs w:val="24"/>
        </w:rPr>
        <w:t xml:space="preserve">. Available at: </w:t>
      </w:r>
      <w:hyperlink r:id="rId21" w:history="1">
        <w:r>
          <w:rPr>
            <w:rFonts w:ascii="Times New Roman" w:hAnsi="Times New Roman"/>
            <w:kern w:val="0"/>
            <w:szCs w:val="24"/>
          </w:rPr>
          <w:t>https://www.focus-economics.com/economic-indicator/gdp-per-capita/</w:t>
        </w:r>
      </w:hyperlink>
      <w:r>
        <w:rPr>
          <w:rFonts w:ascii="Times New Roman" w:hAnsi="Times New Roman"/>
          <w:kern w:val="0"/>
          <w:szCs w:val="24"/>
        </w:rPr>
        <w:t xml:space="preserve"> [Accessed 21 Feb. 2024].</w:t>
      </w:r>
    </w:p>
    <w:p w14:paraId="62CDE6D1"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FOCUSECONOMICS (2024b). </w:t>
      </w:r>
      <w:r>
        <w:rPr>
          <w:rFonts w:ascii="Times New Roman" w:hAnsi="Times New Roman"/>
          <w:i/>
          <w:iCs/>
          <w:kern w:val="0"/>
          <w:szCs w:val="24"/>
        </w:rPr>
        <w:t>GDP per capita (USD) Archives</w:t>
      </w:r>
      <w:r>
        <w:rPr>
          <w:rFonts w:ascii="Times New Roman" w:hAnsi="Times New Roman"/>
          <w:kern w:val="0"/>
          <w:szCs w:val="24"/>
        </w:rPr>
        <w:t xml:space="preserve">. [online] </w:t>
      </w:r>
      <w:proofErr w:type="spellStart"/>
      <w:r>
        <w:rPr>
          <w:rFonts w:ascii="Times New Roman" w:hAnsi="Times New Roman"/>
          <w:kern w:val="0"/>
          <w:szCs w:val="24"/>
        </w:rPr>
        <w:t>FocusEconomics</w:t>
      </w:r>
      <w:proofErr w:type="spellEnd"/>
      <w:r>
        <w:rPr>
          <w:rFonts w:ascii="Times New Roman" w:hAnsi="Times New Roman"/>
          <w:kern w:val="0"/>
          <w:szCs w:val="24"/>
        </w:rPr>
        <w:t xml:space="preserve">. Available at: </w:t>
      </w:r>
      <w:hyperlink r:id="rId22" w:history="1">
        <w:r>
          <w:rPr>
            <w:rFonts w:ascii="Times New Roman" w:hAnsi="Times New Roman"/>
            <w:kern w:val="0"/>
            <w:szCs w:val="24"/>
          </w:rPr>
          <w:t>https://www.focus-economics.com/economic-indicator/gdp-per-capita/</w:t>
        </w:r>
      </w:hyperlink>
      <w:r>
        <w:rPr>
          <w:rFonts w:ascii="Times New Roman" w:hAnsi="Times New Roman"/>
          <w:kern w:val="0"/>
          <w:szCs w:val="24"/>
        </w:rPr>
        <w:t xml:space="preserve"> [Accessed 7 Mar. 2024].</w:t>
      </w:r>
    </w:p>
    <w:p w14:paraId="101CD616"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Hayes, A. (2021). </w:t>
      </w:r>
      <w:r>
        <w:rPr>
          <w:rFonts w:ascii="Times New Roman" w:hAnsi="Times New Roman"/>
          <w:i/>
          <w:iCs/>
          <w:kern w:val="0"/>
          <w:szCs w:val="24"/>
        </w:rPr>
        <w:t>What Is a Mean? Definition in Math and Formula for Calculation</w:t>
      </w:r>
      <w:r>
        <w:rPr>
          <w:rFonts w:ascii="Times New Roman" w:hAnsi="Times New Roman"/>
          <w:kern w:val="0"/>
          <w:szCs w:val="24"/>
        </w:rPr>
        <w:t xml:space="preserve">. [online] Investopedia. Available at: </w:t>
      </w:r>
      <w:hyperlink r:id="rId23" w:history="1">
        <w:r>
          <w:rPr>
            <w:rFonts w:ascii="Times New Roman" w:hAnsi="Times New Roman"/>
            <w:kern w:val="0"/>
            <w:szCs w:val="24"/>
          </w:rPr>
          <w:t>https://www.investopedia.com/terms/m/mean.asp</w:t>
        </w:r>
      </w:hyperlink>
      <w:r>
        <w:rPr>
          <w:rFonts w:ascii="Times New Roman" w:hAnsi="Times New Roman"/>
          <w:kern w:val="0"/>
          <w:szCs w:val="24"/>
        </w:rPr>
        <w:t xml:space="preserve"> [Accessed 25 Feb. 2024].</w:t>
      </w:r>
    </w:p>
    <w:p w14:paraId="11ED33E2"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p>
    <w:p w14:paraId="3D4DC6FC" w14:textId="2A750E58"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lastRenderedPageBreak/>
        <w:t xml:space="preserve">Hayes, A. (2023). </w:t>
      </w:r>
      <w:r>
        <w:rPr>
          <w:rFonts w:ascii="Times New Roman" w:hAnsi="Times New Roman"/>
          <w:i/>
          <w:iCs/>
          <w:kern w:val="0"/>
          <w:szCs w:val="24"/>
        </w:rPr>
        <w:t>Coefficient of Variation (CV) Definition</w:t>
      </w:r>
      <w:r>
        <w:rPr>
          <w:rFonts w:ascii="Times New Roman" w:hAnsi="Times New Roman"/>
          <w:kern w:val="0"/>
          <w:szCs w:val="24"/>
        </w:rPr>
        <w:t xml:space="preserve">. [online] Investopedia. Available at: </w:t>
      </w:r>
      <w:hyperlink r:id="rId24" w:history="1">
        <w:r w:rsidRPr="00F2435C">
          <w:rPr>
            <w:rStyle w:val="af2"/>
            <w:rFonts w:ascii="Times New Roman" w:hAnsi="Times New Roman"/>
            <w:kern w:val="0"/>
            <w:szCs w:val="24"/>
          </w:rPr>
          <w:t>https://www.investopedia.com/terms/c/coefficientofvariation.asp</w:t>
        </w:r>
      </w:hyperlink>
      <w:r>
        <w:rPr>
          <w:rFonts w:ascii="Times New Roman" w:hAnsi="Times New Roman"/>
          <w:kern w:val="0"/>
          <w:szCs w:val="24"/>
        </w:rPr>
        <w:t xml:space="preserve"> [Accessed 25 Feb. 2024].</w:t>
      </w:r>
    </w:p>
    <w:p w14:paraId="6BD785D7"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Hong Kong Monetary Authority (2020). </w:t>
      </w:r>
      <w:r>
        <w:rPr>
          <w:rFonts w:ascii="Times New Roman" w:hAnsi="Times New Roman"/>
          <w:i/>
          <w:iCs/>
          <w:kern w:val="0"/>
          <w:szCs w:val="24"/>
        </w:rPr>
        <w:t>Economic and Financial Environment</w:t>
      </w:r>
      <w:r>
        <w:rPr>
          <w:rFonts w:ascii="Times New Roman" w:hAnsi="Times New Roman"/>
          <w:kern w:val="0"/>
          <w:szCs w:val="24"/>
        </w:rPr>
        <w:t xml:space="preserve">. [online] Available at: </w:t>
      </w:r>
      <w:hyperlink r:id="rId25" w:history="1">
        <w:r>
          <w:rPr>
            <w:rFonts w:ascii="Times New Roman" w:hAnsi="Times New Roman"/>
            <w:kern w:val="0"/>
            <w:szCs w:val="24"/>
          </w:rPr>
          <w:t>https://www.hkma.gov.hk/media/eng/publication-and-research/annual-report/2020/12_Economic_and_Financial_Environment.pdf</w:t>
        </w:r>
      </w:hyperlink>
      <w:r>
        <w:rPr>
          <w:rFonts w:ascii="Times New Roman" w:hAnsi="Times New Roman"/>
          <w:kern w:val="0"/>
          <w:szCs w:val="24"/>
        </w:rPr>
        <w:t xml:space="preserve"> [Accessed 29 Jan. 2024].</w:t>
      </w:r>
    </w:p>
    <w:p w14:paraId="46367035"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Investopedia (2019). </w:t>
      </w:r>
      <w:r>
        <w:rPr>
          <w:rFonts w:ascii="Times New Roman" w:hAnsi="Times New Roman"/>
          <w:i/>
          <w:iCs/>
          <w:kern w:val="0"/>
          <w:szCs w:val="24"/>
        </w:rPr>
        <w:t>Learn How Standard Deviation Is Determined by Using Variance</w:t>
      </w:r>
      <w:r>
        <w:rPr>
          <w:rFonts w:ascii="Times New Roman" w:hAnsi="Times New Roman"/>
          <w:kern w:val="0"/>
          <w:szCs w:val="24"/>
        </w:rPr>
        <w:t xml:space="preserve">. [online] Investopedia. Available at: </w:t>
      </w:r>
      <w:hyperlink r:id="rId26" w:history="1">
        <w:r>
          <w:rPr>
            <w:rFonts w:ascii="Times New Roman" w:hAnsi="Times New Roman"/>
            <w:kern w:val="0"/>
            <w:szCs w:val="24"/>
          </w:rPr>
          <w:t>https://www.investopedia.com/ask/answers/021215/what-difference-between-standard-deviation-and-variance.asp</w:t>
        </w:r>
      </w:hyperlink>
      <w:r>
        <w:rPr>
          <w:rFonts w:ascii="Times New Roman" w:hAnsi="Times New Roman"/>
          <w:kern w:val="0"/>
          <w:szCs w:val="24"/>
        </w:rPr>
        <w:t xml:space="preserve"> [Accessed 25 Feb. 2024].</w:t>
      </w:r>
    </w:p>
    <w:p w14:paraId="317B78B2"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Johnston, R.B. and </w:t>
      </w:r>
      <w:proofErr w:type="spellStart"/>
      <w:r>
        <w:rPr>
          <w:rFonts w:ascii="Times New Roman" w:hAnsi="Times New Roman"/>
          <w:kern w:val="0"/>
          <w:szCs w:val="24"/>
        </w:rPr>
        <w:t>Tamirisa</w:t>
      </w:r>
      <w:proofErr w:type="spellEnd"/>
      <w:r>
        <w:rPr>
          <w:rFonts w:ascii="Times New Roman" w:hAnsi="Times New Roman"/>
          <w:kern w:val="0"/>
          <w:szCs w:val="24"/>
        </w:rPr>
        <w:t xml:space="preserve">, N.T. (1998). Why Do Countries Use Capital Controls? </w:t>
      </w:r>
      <w:r>
        <w:rPr>
          <w:rFonts w:ascii="Times New Roman" w:hAnsi="Times New Roman"/>
          <w:i/>
          <w:iCs/>
          <w:kern w:val="0"/>
          <w:szCs w:val="24"/>
        </w:rPr>
        <w:t>SSRN Electronic Journal</w:t>
      </w:r>
      <w:r>
        <w:rPr>
          <w:rFonts w:ascii="Times New Roman" w:hAnsi="Times New Roman"/>
          <w:kern w:val="0"/>
          <w:szCs w:val="24"/>
        </w:rPr>
        <w:t xml:space="preserve">, [online] 98(181). </w:t>
      </w:r>
      <w:proofErr w:type="spellStart"/>
      <w:r>
        <w:rPr>
          <w:rFonts w:ascii="Times New Roman" w:hAnsi="Times New Roman"/>
          <w:kern w:val="0"/>
          <w:szCs w:val="24"/>
        </w:rPr>
        <w:t>doi:</w:t>
      </w:r>
      <w:hyperlink r:id="rId27" w:history="1">
        <w:r>
          <w:rPr>
            <w:rFonts w:ascii="Times New Roman" w:hAnsi="Times New Roman"/>
            <w:kern w:val="0"/>
            <w:szCs w:val="24"/>
          </w:rPr>
          <w:t>https</w:t>
        </w:r>
        <w:proofErr w:type="spellEnd"/>
        <w:r>
          <w:rPr>
            <w:rFonts w:ascii="Times New Roman" w:hAnsi="Times New Roman"/>
            <w:kern w:val="0"/>
            <w:szCs w:val="24"/>
          </w:rPr>
          <w:t>://doi.org/10.2139/ssrn.883936</w:t>
        </w:r>
      </w:hyperlink>
      <w:r>
        <w:rPr>
          <w:rFonts w:ascii="Times New Roman" w:hAnsi="Times New Roman"/>
          <w:kern w:val="0"/>
          <w:szCs w:val="24"/>
        </w:rPr>
        <w:t>.</w:t>
      </w:r>
    </w:p>
    <w:p w14:paraId="68D21D87" w14:textId="5A62A26D"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Kenton, W. (2021). </w:t>
      </w:r>
      <w:r>
        <w:rPr>
          <w:rFonts w:ascii="Times New Roman" w:hAnsi="Times New Roman"/>
          <w:i/>
          <w:iCs/>
          <w:kern w:val="0"/>
          <w:szCs w:val="24"/>
        </w:rPr>
        <w:t>Catch-Up Effect Definition</w:t>
      </w:r>
      <w:r>
        <w:rPr>
          <w:rFonts w:ascii="Times New Roman" w:hAnsi="Times New Roman"/>
          <w:kern w:val="0"/>
          <w:szCs w:val="24"/>
        </w:rPr>
        <w:t xml:space="preserve">. [online] Investopedia. Available at: </w:t>
      </w:r>
      <w:hyperlink r:id="rId28" w:history="1">
        <w:r w:rsidRPr="00F2435C">
          <w:rPr>
            <w:rStyle w:val="af2"/>
            <w:rFonts w:ascii="Times New Roman" w:hAnsi="Times New Roman"/>
            <w:kern w:val="0"/>
            <w:szCs w:val="24"/>
          </w:rPr>
          <w:t>https://www.investopedia.com/terms/c/catch-up-effect.asp</w:t>
        </w:r>
      </w:hyperlink>
      <w:r>
        <w:rPr>
          <w:rFonts w:ascii="Times New Roman" w:hAnsi="Times New Roman"/>
          <w:kern w:val="0"/>
          <w:szCs w:val="24"/>
        </w:rPr>
        <w:t xml:space="preserve"> [Accessed 3 Mar. 2024].</w:t>
      </w:r>
    </w:p>
    <w:p w14:paraId="5FC3AE37"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Le, A.N.N., Pham, H., Pham, D.T.N. and Duong, K.D. (2023). Political stability and foreign direct investment inflows in 25 Asia-Pacific countries: the moderating role of trade openness. </w:t>
      </w:r>
      <w:r>
        <w:rPr>
          <w:rFonts w:ascii="Times New Roman" w:hAnsi="Times New Roman"/>
          <w:i/>
          <w:iCs/>
          <w:kern w:val="0"/>
          <w:szCs w:val="24"/>
        </w:rPr>
        <w:t>Humanities and Social Sciences Communications</w:t>
      </w:r>
      <w:r>
        <w:rPr>
          <w:rFonts w:ascii="Times New Roman" w:hAnsi="Times New Roman"/>
          <w:kern w:val="0"/>
          <w:szCs w:val="24"/>
        </w:rPr>
        <w:t xml:space="preserve">, [online] 10(1), pp.1–9. </w:t>
      </w:r>
      <w:proofErr w:type="spellStart"/>
      <w:r>
        <w:rPr>
          <w:rFonts w:ascii="Times New Roman" w:hAnsi="Times New Roman"/>
          <w:kern w:val="0"/>
          <w:szCs w:val="24"/>
        </w:rPr>
        <w:t>doi:</w:t>
      </w:r>
      <w:hyperlink r:id="rId29" w:history="1">
        <w:r>
          <w:rPr>
            <w:rFonts w:ascii="Times New Roman" w:hAnsi="Times New Roman"/>
            <w:kern w:val="0"/>
            <w:szCs w:val="24"/>
          </w:rPr>
          <w:t>https</w:t>
        </w:r>
        <w:proofErr w:type="spellEnd"/>
        <w:r>
          <w:rPr>
            <w:rFonts w:ascii="Times New Roman" w:hAnsi="Times New Roman"/>
            <w:kern w:val="0"/>
            <w:szCs w:val="24"/>
          </w:rPr>
          <w:t>://doi.org/10.1057/s41599-023-02075-1</w:t>
        </w:r>
      </w:hyperlink>
      <w:r>
        <w:rPr>
          <w:rFonts w:ascii="Times New Roman" w:hAnsi="Times New Roman"/>
          <w:kern w:val="0"/>
          <w:szCs w:val="24"/>
        </w:rPr>
        <w:t>.</w:t>
      </w:r>
    </w:p>
    <w:p w14:paraId="70FF5C94"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M. </w:t>
      </w:r>
      <w:proofErr w:type="spellStart"/>
      <w:r>
        <w:rPr>
          <w:rFonts w:ascii="Times New Roman" w:hAnsi="Times New Roman"/>
          <w:kern w:val="0"/>
          <w:szCs w:val="24"/>
        </w:rPr>
        <w:t>Shafiqur</w:t>
      </w:r>
      <w:proofErr w:type="spellEnd"/>
      <w:r>
        <w:rPr>
          <w:rFonts w:ascii="Times New Roman" w:hAnsi="Times New Roman"/>
          <w:kern w:val="0"/>
          <w:szCs w:val="24"/>
        </w:rPr>
        <w:t xml:space="preserve"> Rahman (2013). Relationship among GDP, Per Capita GDP, Literacy Rate and Unemployment Rate. </w:t>
      </w:r>
      <w:r>
        <w:rPr>
          <w:rFonts w:ascii="Times New Roman" w:hAnsi="Times New Roman"/>
          <w:i/>
          <w:iCs/>
          <w:kern w:val="0"/>
          <w:szCs w:val="24"/>
        </w:rPr>
        <w:t>Relationship among GDP, Per Capita GDP, Literacy Rate and Unemployment Rate</w:t>
      </w:r>
      <w:r>
        <w:rPr>
          <w:rFonts w:ascii="Times New Roman" w:hAnsi="Times New Roman"/>
          <w:kern w:val="0"/>
          <w:szCs w:val="24"/>
        </w:rPr>
        <w:t xml:space="preserve">. [online] Available at: </w:t>
      </w:r>
      <w:hyperlink r:id="rId30" w:history="1">
        <w:r>
          <w:rPr>
            <w:rFonts w:ascii="Times New Roman" w:hAnsi="Times New Roman"/>
            <w:kern w:val="0"/>
            <w:szCs w:val="24"/>
          </w:rPr>
          <w:t>https://www.researchgate.net/profile/M-S-Rahman/publication/283355268_Relationship_among_GDP_Per_Capita_GDP_Literacy_Rate_and_Unemployment_Rate/links/583440a508aef19cb81f5749/Relationship-among-GDP-Per-Capita-GDP-Literacy-Rate-and-Unemployment-Rate.pdf</w:t>
        </w:r>
      </w:hyperlink>
      <w:r>
        <w:rPr>
          <w:rFonts w:ascii="Times New Roman" w:hAnsi="Times New Roman"/>
          <w:kern w:val="0"/>
          <w:szCs w:val="24"/>
        </w:rPr>
        <w:t xml:space="preserve"> [Accessed 2 Mar. 2024].</w:t>
      </w:r>
    </w:p>
    <w:p w14:paraId="0F8F897D" w14:textId="2C511279"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lastRenderedPageBreak/>
        <w:t xml:space="preserve">Mortgage Strategy (2018). </w:t>
      </w:r>
      <w:r>
        <w:rPr>
          <w:rFonts w:ascii="Times New Roman" w:hAnsi="Times New Roman"/>
          <w:i/>
          <w:iCs/>
          <w:kern w:val="0"/>
          <w:szCs w:val="24"/>
        </w:rPr>
        <w:t>Mortgage Strategy</w:t>
      </w:r>
      <w:r>
        <w:rPr>
          <w:rFonts w:ascii="Times New Roman" w:hAnsi="Times New Roman"/>
          <w:kern w:val="0"/>
          <w:szCs w:val="24"/>
        </w:rPr>
        <w:t xml:space="preserve">. [online] Mortgage Strategy. Available at: </w:t>
      </w:r>
      <w:hyperlink r:id="rId31" w:history="1">
        <w:r w:rsidRPr="00F2435C">
          <w:rPr>
            <w:rStyle w:val="af2"/>
            <w:rFonts w:ascii="Times New Roman" w:hAnsi="Times New Roman"/>
            <w:kern w:val="0"/>
            <w:szCs w:val="24"/>
          </w:rPr>
          <w:t>https://www.mortgagestrategy.co.uk/analysis/historical-interest-rates-uk/</w:t>
        </w:r>
      </w:hyperlink>
      <w:r>
        <w:rPr>
          <w:rFonts w:ascii="Times New Roman" w:hAnsi="Times New Roman"/>
          <w:kern w:val="0"/>
          <w:szCs w:val="24"/>
        </w:rPr>
        <w:t xml:space="preserve"> [Accessed 24 Feb. 2024].</w:t>
      </w:r>
    </w:p>
    <w:p w14:paraId="109A2D4C"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Pew Research Center (2014). </w:t>
      </w:r>
      <w:r>
        <w:rPr>
          <w:rFonts w:ascii="Times New Roman" w:hAnsi="Times New Roman"/>
          <w:i/>
          <w:iCs/>
          <w:kern w:val="0"/>
          <w:szCs w:val="24"/>
        </w:rPr>
        <w:t>Greater Technology Use Linked to Higher Per Capita Income</w:t>
      </w:r>
      <w:r>
        <w:rPr>
          <w:rFonts w:ascii="Times New Roman" w:hAnsi="Times New Roman"/>
          <w:kern w:val="0"/>
          <w:szCs w:val="24"/>
        </w:rPr>
        <w:t xml:space="preserve">. [online] Pew Research Center’s Global Attitudes Project. Available at: </w:t>
      </w:r>
      <w:hyperlink r:id="rId32" w:history="1">
        <w:r>
          <w:rPr>
            <w:rFonts w:ascii="Times New Roman" w:hAnsi="Times New Roman"/>
            <w:kern w:val="0"/>
            <w:szCs w:val="24"/>
          </w:rPr>
          <w:t>https://www.pewresearch.org/global/2014/02/13/developing-technology-use/</w:t>
        </w:r>
      </w:hyperlink>
      <w:r>
        <w:rPr>
          <w:rFonts w:ascii="Times New Roman" w:hAnsi="Times New Roman"/>
          <w:kern w:val="0"/>
          <w:szCs w:val="24"/>
        </w:rPr>
        <w:t xml:space="preserve"> [Accessed 3 Mar. 2024].</w:t>
      </w:r>
    </w:p>
    <w:p w14:paraId="05C86885"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Richter, F. (2023). </w:t>
      </w:r>
      <w:r>
        <w:rPr>
          <w:rFonts w:ascii="Times New Roman" w:hAnsi="Times New Roman"/>
          <w:i/>
          <w:iCs/>
          <w:kern w:val="0"/>
          <w:szCs w:val="24"/>
        </w:rPr>
        <w:t>How is the US economy doing after COVID-19?</w:t>
      </w:r>
      <w:r>
        <w:rPr>
          <w:rFonts w:ascii="Times New Roman" w:hAnsi="Times New Roman"/>
          <w:kern w:val="0"/>
          <w:szCs w:val="24"/>
        </w:rPr>
        <w:t xml:space="preserve"> [online] World Economic Forum. Available at: </w:t>
      </w:r>
      <w:hyperlink r:id="rId33" w:history="1">
        <w:r>
          <w:rPr>
            <w:rFonts w:ascii="Times New Roman" w:hAnsi="Times New Roman"/>
            <w:kern w:val="0"/>
            <w:szCs w:val="24"/>
          </w:rPr>
          <w:t>https://www.weforum.org/agenda/2023/02/us-economy-covid19-inflation/</w:t>
        </w:r>
      </w:hyperlink>
      <w:r>
        <w:rPr>
          <w:rFonts w:ascii="Times New Roman" w:hAnsi="Times New Roman"/>
          <w:kern w:val="0"/>
          <w:szCs w:val="24"/>
        </w:rPr>
        <w:t xml:space="preserve"> [Accessed 26 Feb. 2024].</w:t>
      </w:r>
    </w:p>
    <w:p w14:paraId="745E7AB9" w14:textId="27B8CD7C"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Robertson, A. (2023). </w:t>
      </w:r>
      <w:r>
        <w:rPr>
          <w:rFonts w:ascii="Times New Roman" w:hAnsi="Times New Roman"/>
          <w:i/>
          <w:iCs/>
          <w:kern w:val="0"/>
          <w:szCs w:val="24"/>
        </w:rPr>
        <w:t>U.K. economy on the rebound</w:t>
      </w:r>
      <w:r>
        <w:rPr>
          <w:rFonts w:ascii="Times New Roman" w:hAnsi="Times New Roman"/>
          <w:kern w:val="0"/>
          <w:szCs w:val="24"/>
        </w:rPr>
        <w:t xml:space="preserve">. [online] </w:t>
      </w:r>
      <w:proofErr w:type="spellStart"/>
      <w:r>
        <w:rPr>
          <w:rFonts w:ascii="Times New Roman" w:hAnsi="Times New Roman"/>
          <w:kern w:val="0"/>
          <w:szCs w:val="24"/>
        </w:rPr>
        <w:t>Panmure</w:t>
      </w:r>
      <w:proofErr w:type="spellEnd"/>
      <w:r>
        <w:rPr>
          <w:rFonts w:ascii="Times New Roman" w:hAnsi="Times New Roman"/>
          <w:kern w:val="0"/>
          <w:szCs w:val="24"/>
        </w:rPr>
        <w:t xml:space="preserve"> Gordon. Available at: </w:t>
      </w:r>
      <w:hyperlink r:id="rId34" w:history="1">
        <w:r w:rsidRPr="00F2435C">
          <w:rPr>
            <w:rStyle w:val="af2"/>
            <w:rFonts w:ascii="Times New Roman" w:hAnsi="Times New Roman"/>
            <w:kern w:val="0"/>
            <w:szCs w:val="24"/>
          </w:rPr>
          <w:t>https://panmure.com/insights/u-k-economy-on-the-rebound/</w:t>
        </w:r>
      </w:hyperlink>
      <w:r>
        <w:rPr>
          <w:rFonts w:ascii="Times New Roman" w:hAnsi="Times New Roman"/>
          <w:kern w:val="0"/>
          <w:szCs w:val="24"/>
        </w:rPr>
        <w:t xml:space="preserve"> [Accessed 26 Feb. 2024].</w:t>
      </w:r>
    </w:p>
    <w:p w14:paraId="67970530"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Rushe, D. (2024). US economic growth ends 2023 with surprising strength. </w:t>
      </w:r>
      <w:r>
        <w:rPr>
          <w:rFonts w:ascii="Times New Roman" w:hAnsi="Times New Roman"/>
          <w:i/>
          <w:iCs/>
          <w:kern w:val="0"/>
          <w:szCs w:val="24"/>
        </w:rPr>
        <w:t>The Guardian</w:t>
      </w:r>
      <w:r>
        <w:rPr>
          <w:rFonts w:ascii="Times New Roman" w:hAnsi="Times New Roman"/>
          <w:kern w:val="0"/>
          <w:szCs w:val="24"/>
        </w:rPr>
        <w:t xml:space="preserve">. [online] 25 Jan. Available at: </w:t>
      </w:r>
      <w:hyperlink r:id="rId35" w:history="1">
        <w:r>
          <w:rPr>
            <w:rFonts w:ascii="Times New Roman" w:hAnsi="Times New Roman"/>
            <w:kern w:val="0"/>
            <w:szCs w:val="24"/>
          </w:rPr>
          <w:t>https://www.theguardian.com/business/2024/jan/25/us-economic-growth-slowdown-gdp-report</w:t>
        </w:r>
      </w:hyperlink>
      <w:r>
        <w:rPr>
          <w:rFonts w:ascii="Times New Roman" w:hAnsi="Times New Roman"/>
          <w:kern w:val="0"/>
          <w:szCs w:val="24"/>
        </w:rPr>
        <w:t xml:space="preserve"> [Accessed 26 Feb. 2024].</w:t>
      </w:r>
    </w:p>
    <w:p w14:paraId="27AEF78D"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Thangam, D. (2023). The Resilience and Rebound of the Indian Economy: A Closer Look at Recent Performance. </w:t>
      </w:r>
      <w:r>
        <w:rPr>
          <w:rFonts w:ascii="Times New Roman" w:hAnsi="Times New Roman"/>
          <w:i/>
          <w:iCs/>
          <w:kern w:val="0"/>
          <w:szCs w:val="24"/>
        </w:rPr>
        <w:t>The Times of India</w:t>
      </w:r>
      <w:r>
        <w:rPr>
          <w:rFonts w:ascii="Times New Roman" w:hAnsi="Times New Roman"/>
          <w:kern w:val="0"/>
          <w:szCs w:val="24"/>
        </w:rPr>
        <w:t xml:space="preserve">. [online] 27 May. Available at: </w:t>
      </w:r>
      <w:hyperlink r:id="rId36" w:history="1">
        <w:r>
          <w:rPr>
            <w:rFonts w:ascii="Times New Roman" w:hAnsi="Times New Roman"/>
            <w:kern w:val="0"/>
            <w:szCs w:val="24"/>
          </w:rPr>
          <w:t>https://timesofindia.indiatimes.com/readersblog/sustainablebusiness/the-resilience-and-rebound-of-the-indian-economy-a-closer-look-at-recent-performance-54278/</w:t>
        </w:r>
      </w:hyperlink>
      <w:r>
        <w:rPr>
          <w:rFonts w:ascii="Times New Roman" w:hAnsi="Times New Roman"/>
          <w:kern w:val="0"/>
          <w:szCs w:val="24"/>
        </w:rPr>
        <w:t xml:space="preserve"> [Accessed 26 Feb. 2024].</w:t>
      </w:r>
    </w:p>
    <w:p w14:paraId="7E5BB263"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The London School of Economics and Political Science (2011). UK Economic Performance Since 1997: Growth, Productivity and </w:t>
      </w:r>
      <w:proofErr w:type="gramStart"/>
      <w:r>
        <w:rPr>
          <w:rFonts w:ascii="Times New Roman" w:hAnsi="Times New Roman"/>
          <w:kern w:val="0"/>
          <w:szCs w:val="24"/>
        </w:rPr>
        <w:t>Jobs .</w:t>
      </w:r>
      <w:proofErr w:type="gramEnd"/>
      <w:r>
        <w:rPr>
          <w:rFonts w:ascii="Times New Roman" w:hAnsi="Times New Roman"/>
          <w:kern w:val="0"/>
          <w:szCs w:val="24"/>
        </w:rPr>
        <w:t xml:space="preserve"> </w:t>
      </w:r>
      <w:r>
        <w:rPr>
          <w:rFonts w:ascii="Times New Roman" w:hAnsi="Times New Roman"/>
          <w:i/>
          <w:iCs/>
          <w:kern w:val="0"/>
          <w:szCs w:val="24"/>
        </w:rPr>
        <w:t xml:space="preserve">UK Economic Performance Since 1997: Growth, Productivity and </w:t>
      </w:r>
      <w:proofErr w:type="gramStart"/>
      <w:r>
        <w:rPr>
          <w:rFonts w:ascii="Times New Roman" w:hAnsi="Times New Roman"/>
          <w:i/>
          <w:iCs/>
          <w:kern w:val="0"/>
          <w:szCs w:val="24"/>
        </w:rPr>
        <w:t xml:space="preserve">Jobs </w:t>
      </w:r>
      <w:r>
        <w:rPr>
          <w:rFonts w:ascii="Times New Roman" w:hAnsi="Times New Roman"/>
          <w:kern w:val="0"/>
          <w:szCs w:val="24"/>
        </w:rPr>
        <w:t>,</w:t>
      </w:r>
      <w:proofErr w:type="gramEnd"/>
      <w:r>
        <w:rPr>
          <w:rFonts w:ascii="Times New Roman" w:hAnsi="Times New Roman"/>
          <w:kern w:val="0"/>
          <w:szCs w:val="24"/>
        </w:rPr>
        <w:t xml:space="preserve"> [online] 24. Available at: </w:t>
      </w:r>
      <w:hyperlink r:id="rId37" w:history="1">
        <w:r>
          <w:rPr>
            <w:rFonts w:ascii="Times New Roman" w:hAnsi="Times New Roman"/>
            <w:kern w:val="0"/>
            <w:szCs w:val="24"/>
          </w:rPr>
          <w:t>https://cep.lse.ac.uk/pubs/download/special/cepsp24.pdf</w:t>
        </w:r>
      </w:hyperlink>
      <w:r>
        <w:rPr>
          <w:rFonts w:ascii="Times New Roman" w:hAnsi="Times New Roman"/>
          <w:kern w:val="0"/>
          <w:szCs w:val="24"/>
        </w:rPr>
        <w:t xml:space="preserve"> [Accessed 23 Feb. 2024].</w:t>
      </w:r>
    </w:p>
    <w:p w14:paraId="1ED77BD3"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The State Council </w:t>
      </w:r>
      <w:proofErr w:type="gramStart"/>
      <w:r>
        <w:rPr>
          <w:rFonts w:ascii="Times New Roman" w:hAnsi="Times New Roman"/>
          <w:kern w:val="0"/>
          <w:szCs w:val="24"/>
        </w:rPr>
        <w:t>The</w:t>
      </w:r>
      <w:proofErr w:type="gramEnd"/>
      <w:r>
        <w:rPr>
          <w:rFonts w:ascii="Times New Roman" w:hAnsi="Times New Roman"/>
          <w:kern w:val="0"/>
          <w:szCs w:val="24"/>
        </w:rPr>
        <w:t xml:space="preserve"> People's Republic of China (2019). </w:t>
      </w:r>
      <w:r>
        <w:rPr>
          <w:rFonts w:ascii="Times New Roman" w:hAnsi="Times New Roman"/>
          <w:i/>
          <w:iCs/>
          <w:kern w:val="0"/>
          <w:szCs w:val="24"/>
        </w:rPr>
        <w:t>中国人民银行令（〔</w:t>
      </w:r>
      <w:r>
        <w:rPr>
          <w:rFonts w:ascii="Times New Roman" w:hAnsi="Times New Roman"/>
          <w:i/>
          <w:iCs/>
          <w:kern w:val="0"/>
          <w:szCs w:val="24"/>
        </w:rPr>
        <w:t>2016</w:t>
      </w:r>
      <w:r>
        <w:rPr>
          <w:rFonts w:ascii="Times New Roman" w:hAnsi="Times New Roman"/>
          <w:i/>
          <w:iCs/>
          <w:kern w:val="0"/>
          <w:szCs w:val="24"/>
        </w:rPr>
        <w:t>〕第</w:t>
      </w:r>
      <w:r>
        <w:rPr>
          <w:rFonts w:ascii="Times New Roman" w:hAnsi="Times New Roman"/>
          <w:i/>
          <w:iCs/>
          <w:kern w:val="0"/>
          <w:szCs w:val="24"/>
        </w:rPr>
        <w:t>3</w:t>
      </w:r>
      <w:r>
        <w:rPr>
          <w:rFonts w:ascii="Times New Roman" w:hAnsi="Times New Roman"/>
          <w:i/>
          <w:iCs/>
          <w:kern w:val="0"/>
          <w:szCs w:val="24"/>
        </w:rPr>
        <w:t>号）</w:t>
      </w:r>
      <w:r>
        <w:rPr>
          <w:rFonts w:ascii="Times New Roman" w:hAnsi="Times New Roman"/>
          <w:i/>
          <w:iCs/>
          <w:kern w:val="0"/>
          <w:szCs w:val="24"/>
        </w:rPr>
        <w:t xml:space="preserve"> </w:t>
      </w:r>
      <w:r>
        <w:rPr>
          <w:rFonts w:ascii="Times New Roman" w:hAnsi="Times New Roman"/>
          <w:i/>
          <w:iCs/>
          <w:kern w:val="0"/>
          <w:szCs w:val="24"/>
        </w:rPr>
        <w:t>金融机构大额交易和可疑交易报告管理办法</w:t>
      </w:r>
      <w:r>
        <w:rPr>
          <w:rFonts w:ascii="Times New Roman" w:hAnsi="Times New Roman"/>
          <w:i/>
          <w:iCs/>
          <w:kern w:val="0"/>
          <w:szCs w:val="24"/>
        </w:rPr>
        <w:t>__2017</w:t>
      </w:r>
      <w:r>
        <w:rPr>
          <w:rFonts w:ascii="Times New Roman" w:hAnsi="Times New Roman"/>
          <w:i/>
          <w:iCs/>
          <w:kern w:val="0"/>
          <w:szCs w:val="24"/>
        </w:rPr>
        <w:t>年第</w:t>
      </w:r>
      <w:r>
        <w:rPr>
          <w:rFonts w:ascii="Times New Roman" w:hAnsi="Times New Roman"/>
          <w:i/>
          <w:iCs/>
          <w:kern w:val="0"/>
          <w:szCs w:val="24"/>
        </w:rPr>
        <w:t>21</w:t>
      </w:r>
      <w:r>
        <w:rPr>
          <w:rFonts w:ascii="Times New Roman" w:hAnsi="Times New Roman"/>
          <w:i/>
          <w:iCs/>
          <w:kern w:val="0"/>
          <w:szCs w:val="24"/>
        </w:rPr>
        <w:t>号国务院公报</w:t>
      </w:r>
      <w:r>
        <w:rPr>
          <w:rFonts w:ascii="Times New Roman" w:hAnsi="Times New Roman"/>
          <w:i/>
          <w:iCs/>
          <w:kern w:val="0"/>
          <w:szCs w:val="24"/>
        </w:rPr>
        <w:t>_</w:t>
      </w:r>
      <w:r>
        <w:rPr>
          <w:rFonts w:ascii="Times New Roman" w:hAnsi="Times New Roman"/>
          <w:i/>
          <w:iCs/>
          <w:kern w:val="0"/>
          <w:szCs w:val="24"/>
        </w:rPr>
        <w:t>中国政府网</w:t>
      </w:r>
      <w:r>
        <w:rPr>
          <w:rFonts w:ascii="Times New Roman" w:hAnsi="Times New Roman"/>
          <w:kern w:val="0"/>
          <w:szCs w:val="24"/>
        </w:rPr>
        <w:t xml:space="preserve">. [online] www.gov.cn. Available at: </w:t>
      </w:r>
      <w:hyperlink r:id="rId38" w:history="1">
        <w:r>
          <w:rPr>
            <w:rFonts w:ascii="Times New Roman" w:hAnsi="Times New Roman"/>
            <w:kern w:val="0"/>
            <w:szCs w:val="24"/>
          </w:rPr>
          <w:t>https://www.gov.cn/gongbao/content/2017/content_5213199.htm</w:t>
        </w:r>
      </w:hyperlink>
      <w:r>
        <w:rPr>
          <w:rFonts w:ascii="Times New Roman" w:hAnsi="Times New Roman"/>
          <w:kern w:val="0"/>
          <w:szCs w:val="24"/>
        </w:rPr>
        <w:t xml:space="preserve"> [Accessed 11 Mar. 2024].</w:t>
      </w:r>
    </w:p>
    <w:p w14:paraId="4BB60ADE"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Times, G. (2023). </w:t>
      </w:r>
      <w:r>
        <w:rPr>
          <w:rFonts w:ascii="Times New Roman" w:hAnsi="Times New Roman"/>
          <w:i/>
          <w:iCs/>
          <w:kern w:val="0"/>
          <w:szCs w:val="24"/>
        </w:rPr>
        <w:t>China’s economy remains engine in global post-COVID recovery despite scarring effect: IMF official - Global Times</w:t>
      </w:r>
      <w:r>
        <w:rPr>
          <w:rFonts w:ascii="Times New Roman" w:hAnsi="Times New Roman"/>
          <w:kern w:val="0"/>
          <w:szCs w:val="24"/>
        </w:rPr>
        <w:t xml:space="preserve">. [online] www.globaltimes.cn. Available at: </w:t>
      </w:r>
      <w:hyperlink r:id="rId39" w:history="1">
        <w:r>
          <w:rPr>
            <w:rFonts w:ascii="Times New Roman" w:hAnsi="Times New Roman"/>
            <w:kern w:val="0"/>
            <w:szCs w:val="24"/>
          </w:rPr>
          <w:t>https://www.globaltimes.cn/page/202310/1299840.shtml</w:t>
        </w:r>
      </w:hyperlink>
      <w:r>
        <w:rPr>
          <w:rFonts w:ascii="Times New Roman" w:hAnsi="Times New Roman"/>
          <w:kern w:val="0"/>
          <w:szCs w:val="24"/>
        </w:rPr>
        <w:t xml:space="preserve"> [Accessed 26 Feb. 2024].</w:t>
      </w:r>
    </w:p>
    <w:p w14:paraId="21CBCFDA"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TURNER, J. (2023). </w:t>
      </w:r>
      <w:r>
        <w:rPr>
          <w:rFonts w:ascii="Times New Roman" w:hAnsi="Times New Roman"/>
          <w:i/>
          <w:iCs/>
          <w:kern w:val="0"/>
          <w:szCs w:val="24"/>
        </w:rPr>
        <w:t>Why did the global financial crisis of 2007-09 happen?</w:t>
      </w:r>
      <w:r>
        <w:rPr>
          <w:rFonts w:ascii="Times New Roman" w:hAnsi="Times New Roman"/>
          <w:kern w:val="0"/>
          <w:szCs w:val="24"/>
        </w:rPr>
        <w:t xml:space="preserve"> [online] Economics Observatory. Available at: </w:t>
      </w:r>
      <w:hyperlink r:id="rId40" w:history="1">
        <w:r>
          <w:rPr>
            <w:rFonts w:ascii="Times New Roman" w:hAnsi="Times New Roman"/>
            <w:kern w:val="0"/>
            <w:szCs w:val="24"/>
          </w:rPr>
          <w:t>https://www.economicsobservatory.com/why-did-the-global-financial-crisis-of-2007-09-happen</w:t>
        </w:r>
      </w:hyperlink>
      <w:r>
        <w:rPr>
          <w:rFonts w:ascii="Times New Roman" w:hAnsi="Times New Roman"/>
          <w:kern w:val="0"/>
          <w:szCs w:val="24"/>
        </w:rPr>
        <w:t xml:space="preserve"> [Accessed 26 Feb. 2024].</w:t>
      </w:r>
    </w:p>
    <w:p w14:paraId="22F19293"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World Bank (2022). </w:t>
      </w:r>
      <w:r>
        <w:rPr>
          <w:rFonts w:ascii="Times New Roman" w:hAnsi="Times New Roman"/>
          <w:i/>
          <w:iCs/>
          <w:kern w:val="0"/>
          <w:szCs w:val="24"/>
        </w:rPr>
        <w:t>Definition of GDP per capita (current US$) | Data</w:t>
      </w:r>
      <w:r>
        <w:rPr>
          <w:rFonts w:ascii="Times New Roman" w:hAnsi="Times New Roman"/>
          <w:kern w:val="0"/>
          <w:szCs w:val="24"/>
        </w:rPr>
        <w:t xml:space="preserve">. [online] Worldbank.org. Available at: </w:t>
      </w:r>
      <w:hyperlink r:id="rId41" w:history="1">
        <w:r>
          <w:rPr>
            <w:rFonts w:ascii="Times New Roman" w:hAnsi="Times New Roman"/>
            <w:kern w:val="0"/>
            <w:szCs w:val="24"/>
          </w:rPr>
          <w:t>https://data.worldbank.org/indicator/NY.GDP.PCAP.CD</w:t>
        </w:r>
      </w:hyperlink>
      <w:r>
        <w:rPr>
          <w:rFonts w:ascii="Times New Roman" w:hAnsi="Times New Roman"/>
          <w:kern w:val="0"/>
          <w:szCs w:val="24"/>
        </w:rPr>
        <w:t xml:space="preserve"> [Accessed 29 Feb. 2024].</w:t>
      </w:r>
    </w:p>
    <w:p w14:paraId="2890C39B" w14:textId="3D4A25EC"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World Bank (2023). </w:t>
      </w:r>
      <w:r>
        <w:rPr>
          <w:rFonts w:ascii="Times New Roman" w:hAnsi="Times New Roman"/>
          <w:i/>
          <w:iCs/>
          <w:kern w:val="0"/>
          <w:szCs w:val="24"/>
        </w:rPr>
        <w:t>GDP per capita (current US$) | Data</w:t>
      </w:r>
      <w:r>
        <w:rPr>
          <w:rFonts w:ascii="Times New Roman" w:hAnsi="Times New Roman"/>
          <w:kern w:val="0"/>
          <w:szCs w:val="24"/>
        </w:rPr>
        <w:t xml:space="preserve">. [online] Worldbank.org. Available at: </w:t>
      </w:r>
      <w:hyperlink r:id="rId42" w:history="1">
        <w:r w:rsidRPr="00F2435C">
          <w:rPr>
            <w:rStyle w:val="af2"/>
            <w:rFonts w:ascii="Times New Roman" w:hAnsi="Times New Roman"/>
            <w:kern w:val="0"/>
            <w:szCs w:val="24"/>
          </w:rPr>
          <w:t>https://data.worldbank.org/indicator/NY.GDP.PCAP.CD</w:t>
        </w:r>
      </w:hyperlink>
      <w:r>
        <w:rPr>
          <w:rFonts w:ascii="Times New Roman" w:hAnsi="Times New Roman"/>
          <w:kern w:val="0"/>
          <w:szCs w:val="24"/>
        </w:rPr>
        <w:t xml:space="preserve"> [Accessed 29 Jan. 2024].</w:t>
      </w:r>
    </w:p>
    <w:p w14:paraId="54ACDF9C" w14:textId="77777777" w:rsid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Xin, H. (2024). </w:t>
      </w:r>
      <w:r>
        <w:rPr>
          <w:rFonts w:ascii="Times New Roman" w:hAnsi="Times New Roman"/>
          <w:i/>
          <w:iCs/>
          <w:kern w:val="0"/>
          <w:szCs w:val="24"/>
        </w:rPr>
        <w:t>Explainer: Why the world remains optimistic about China’s economic prospects? | english.scio.gov.cn</w:t>
      </w:r>
      <w:r>
        <w:rPr>
          <w:rFonts w:ascii="Times New Roman" w:hAnsi="Times New Roman"/>
          <w:kern w:val="0"/>
          <w:szCs w:val="24"/>
        </w:rPr>
        <w:t xml:space="preserve">. [online] english.scio.gov.cn. Available at: </w:t>
      </w:r>
      <w:hyperlink r:id="rId43" w:history="1">
        <w:r>
          <w:rPr>
            <w:rFonts w:ascii="Times New Roman" w:hAnsi="Times New Roman"/>
            <w:kern w:val="0"/>
            <w:szCs w:val="24"/>
          </w:rPr>
          <w:t>http://english.scio.gov.cn/m/in-depth/2024-03/07/content_117044471.htm</w:t>
        </w:r>
      </w:hyperlink>
      <w:r>
        <w:rPr>
          <w:rFonts w:ascii="Times New Roman" w:hAnsi="Times New Roman"/>
          <w:kern w:val="0"/>
          <w:szCs w:val="24"/>
        </w:rPr>
        <w:t xml:space="preserve"> [Accessed 10 Mar. 2024].</w:t>
      </w:r>
    </w:p>
    <w:p w14:paraId="1BBB67F9" w14:textId="4367F83A" w:rsidR="00FE2BDF" w:rsidRPr="002C13F4" w:rsidRDefault="002C13F4" w:rsidP="002C13F4">
      <w:pPr>
        <w:autoSpaceDE w:val="0"/>
        <w:autoSpaceDN w:val="0"/>
        <w:adjustRightInd w:val="0"/>
        <w:spacing w:after="240" w:line="360" w:lineRule="auto"/>
        <w:ind w:left="480" w:hangingChars="200" w:hanging="480"/>
        <w:rPr>
          <w:rFonts w:ascii="Times New Roman" w:hAnsi="Times New Roman"/>
          <w:kern w:val="0"/>
          <w:szCs w:val="24"/>
        </w:rPr>
      </w:pPr>
      <w:r>
        <w:rPr>
          <w:rFonts w:ascii="Times New Roman" w:hAnsi="Times New Roman"/>
          <w:kern w:val="0"/>
          <w:szCs w:val="24"/>
        </w:rPr>
        <w:t xml:space="preserve">Yuen, V. (2024). </w:t>
      </w:r>
      <w:r>
        <w:rPr>
          <w:rFonts w:ascii="Times New Roman" w:hAnsi="Times New Roman"/>
          <w:i/>
          <w:iCs/>
          <w:kern w:val="0"/>
          <w:szCs w:val="24"/>
        </w:rPr>
        <w:t>Hong Kong’s economy struggles to get back on its feet | East Asia Forum</w:t>
      </w:r>
      <w:r>
        <w:rPr>
          <w:rFonts w:ascii="Times New Roman" w:hAnsi="Times New Roman"/>
          <w:kern w:val="0"/>
          <w:szCs w:val="24"/>
        </w:rPr>
        <w:t xml:space="preserve">. [online] EASTASIAFORUM. Available at: </w:t>
      </w:r>
      <w:hyperlink r:id="rId44" w:history="1">
        <w:r>
          <w:rPr>
            <w:rFonts w:ascii="Times New Roman" w:hAnsi="Times New Roman"/>
            <w:kern w:val="0"/>
            <w:szCs w:val="24"/>
          </w:rPr>
          <w:t>https://eastasiaforum.org/2024/01/03/hong-kongs-economy-struggles-to-get-back-on-its-feet/</w:t>
        </w:r>
      </w:hyperlink>
      <w:r>
        <w:rPr>
          <w:rFonts w:ascii="Times New Roman" w:hAnsi="Times New Roman"/>
          <w:kern w:val="0"/>
          <w:szCs w:val="24"/>
        </w:rPr>
        <w:t xml:space="preserve"> [Accessed 26 Feb. 2024].</w:t>
      </w:r>
    </w:p>
    <w:sectPr w:rsidR="00FE2BDF" w:rsidRPr="002C13F4" w:rsidSect="00A27B5B">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39987" w14:textId="77777777" w:rsidR="00A27B5B" w:rsidRDefault="00A27B5B">
      <w:r>
        <w:separator/>
      </w:r>
    </w:p>
  </w:endnote>
  <w:endnote w:type="continuationSeparator" w:id="0">
    <w:p w14:paraId="785245B3" w14:textId="77777777" w:rsidR="00A27B5B" w:rsidRDefault="00A27B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標楷體">
    <w:altName w:val="微軟正黑體"/>
    <w:panose1 w:val="03000509000000000000"/>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A3E25" w14:textId="13A4303A" w:rsidR="00767A43" w:rsidRDefault="00767A43">
    <w:pPr>
      <w:pStyle w:val="a6"/>
      <w:framePr w:wrap="around" w:vAnchor="text" w:hAnchor="margin" w:xAlign="center" w:y="1"/>
      <w:rPr>
        <w:rStyle w:val="ab"/>
      </w:rPr>
    </w:pPr>
    <w:r>
      <w:rPr>
        <w:rStyle w:val="ab"/>
      </w:rPr>
      <w:fldChar w:fldCharType="begin"/>
    </w:r>
    <w:r>
      <w:rPr>
        <w:rStyle w:val="ab"/>
      </w:rPr>
      <w:instrText xml:space="preserve">PAGE  </w:instrText>
    </w:r>
    <w:r>
      <w:rPr>
        <w:rStyle w:val="ab"/>
      </w:rPr>
      <w:fldChar w:fldCharType="separate"/>
    </w:r>
    <w:r w:rsidR="009E6700">
      <w:rPr>
        <w:rStyle w:val="ab"/>
        <w:noProof/>
      </w:rPr>
      <w:t>i</w:t>
    </w:r>
    <w:r>
      <w:rPr>
        <w:rStyle w:val="ab"/>
      </w:rPr>
      <w:fldChar w:fldCharType="end"/>
    </w:r>
  </w:p>
  <w:p w14:paraId="436EE74F" w14:textId="77777777" w:rsidR="00767A43" w:rsidRDefault="00767A43">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8CCC4" w14:textId="77777777" w:rsidR="00767A43" w:rsidRDefault="00767A43">
    <w:pPr>
      <w:pStyle w:val="a6"/>
      <w:framePr w:wrap="around" w:vAnchor="text" w:hAnchor="margin" w:xAlign="center" w:y="1"/>
      <w:rPr>
        <w:rStyle w:val="ab"/>
      </w:rPr>
    </w:pPr>
  </w:p>
  <w:p w14:paraId="01F479D6" w14:textId="77777777" w:rsidR="00767A43" w:rsidRDefault="00767A43">
    <w:pPr>
      <w:pStyle w:val="a6"/>
      <w:framePr w:wrap="around" w:vAnchor="text" w:hAnchor="margin" w:xAlign="center" w:y="1"/>
      <w:rPr>
        <w:rStyle w:val="ab"/>
      </w:rPr>
    </w:pPr>
  </w:p>
  <w:p w14:paraId="1AF2B952" w14:textId="77777777" w:rsidR="00767A43" w:rsidRDefault="00767A43">
    <w:pPr>
      <w:pStyle w:val="a6"/>
      <w:jc w:val="center"/>
    </w:pPr>
    <w:r>
      <w:rPr>
        <w:rStyle w:val="ab"/>
      </w:rPr>
      <w:fldChar w:fldCharType="begin"/>
    </w:r>
    <w:r>
      <w:rPr>
        <w:rStyle w:val="ab"/>
      </w:rPr>
      <w:instrText xml:space="preserve"> PAGE </w:instrText>
    </w:r>
    <w:r>
      <w:rPr>
        <w:rStyle w:val="ab"/>
      </w:rPr>
      <w:fldChar w:fldCharType="separate"/>
    </w:r>
    <w:r w:rsidR="0024164F">
      <w:rPr>
        <w:rStyle w:val="ab"/>
        <w:noProof/>
      </w:rPr>
      <w:t>5</w:t>
    </w:r>
    <w:r>
      <w:rPr>
        <w:rStyle w:val="ab"/>
      </w:rPr>
      <w:fldChar w:fldCharType="end"/>
    </w:r>
  </w:p>
  <w:p w14:paraId="6CBC4991" w14:textId="77777777" w:rsidR="00767A43" w:rsidRDefault="00767A43">
    <w:pPr>
      <w:pStyle w:val="a6"/>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A1077" w14:textId="77777777" w:rsidR="00A27B5B" w:rsidRDefault="00A27B5B">
      <w:r>
        <w:separator/>
      </w:r>
    </w:p>
  </w:footnote>
  <w:footnote w:type="continuationSeparator" w:id="0">
    <w:p w14:paraId="54A1C42E" w14:textId="77777777" w:rsidR="00A27B5B" w:rsidRDefault="00A27B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16cid:durableId="1477836930">
    <w:abstractNumId w:val="0"/>
  </w:num>
  <w:num w:numId="2" w16cid:durableId="1563560084">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1EF6"/>
    <w:rsid w:val="000122C2"/>
    <w:rsid w:val="00015359"/>
    <w:rsid w:val="00032C95"/>
    <w:rsid w:val="00042B67"/>
    <w:rsid w:val="000528D5"/>
    <w:rsid w:val="0005657F"/>
    <w:rsid w:val="000617B8"/>
    <w:rsid w:val="000669F2"/>
    <w:rsid w:val="00072599"/>
    <w:rsid w:val="000734C8"/>
    <w:rsid w:val="00073C3C"/>
    <w:rsid w:val="00074310"/>
    <w:rsid w:val="00074B88"/>
    <w:rsid w:val="00093362"/>
    <w:rsid w:val="000A6857"/>
    <w:rsid w:val="000B3E47"/>
    <w:rsid w:val="000B6600"/>
    <w:rsid w:val="000C1CE2"/>
    <w:rsid w:val="000C61E4"/>
    <w:rsid w:val="000D21B6"/>
    <w:rsid w:val="000D3340"/>
    <w:rsid w:val="000E693A"/>
    <w:rsid w:val="000F73BB"/>
    <w:rsid w:val="00113733"/>
    <w:rsid w:val="00115BF2"/>
    <w:rsid w:val="001167C1"/>
    <w:rsid w:val="001222BD"/>
    <w:rsid w:val="0012643D"/>
    <w:rsid w:val="00127FBB"/>
    <w:rsid w:val="001320BA"/>
    <w:rsid w:val="00133300"/>
    <w:rsid w:val="00133640"/>
    <w:rsid w:val="00135C68"/>
    <w:rsid w:val="00140C0C"/>
    <w:rsid w:val="00142C22"/>
    <w:rsid w:val="00147247"/>
    <w:rsid w:val="001550C7"/>
    <w:rsid w:val="00155454"/>
    <w:rsid w:val="00165D27"/>
    <w:rsid w:val="00171312"/>
    <w:rsid w:val="00171878"/>
    <w:rsid w:val="00173F08"/>
    <w:rsid w:val="001767D4"/>
    <w:rsid w:val="001817CC"/>
    <w:rsid w:val="001870C1"/>
    <w:rsid w:val="00193611"/>
    <w:rsid w:val="001A5C97"/>
    <w:rsid w:val="001B0195"/>
    <w:rsid w:val="001B1DF5"/>
    <w:rsid w:val="001C0A57"/>
    <w:rsid w:val="001C6DC2"/>
    <w:rsid w:val="001D4213"/>
    <w:rsid w:val="001E2AE8"/>
    <w:rsid w:val="001E46DB"/>
    <w:rsid w:val="001E6BC3"/>
    <w:rsid w:val="001E74AF"/>
    <w:rsid w:val="001F3715"/>
    <w:rsid w:val="001F65FD"/>
    <w:rsid w:val="0020154A"/>
    <w:rsid w:val="00202E67"/>
    <w:rsid w:val="00222688"/>
    <w:rsid w:val="00225FC1"/>
    <w:rsid w:val="00232DBE"/>
    <w:rsid w:val="0024164F"/>
    <w:rsid w:val="002433E4"/>
    <w:rsid w:val="00246080"/>
    <w:rsid w:val="00246DD2"/>
    <w:rsid w:val="002563FD"/>
    <w:rsid w:val="0026101B"/>
    <w:rsid w:val="002679A0"/>
    <w:rsid w:val="00271DC6"/>
    <w:rsid w:val="00271EAD"/>
    <w:rsid w:val="0027453D"/>
    <w:rsid w:val="0027741B"/>
    <w:rsid w:val="00281F6E"/>
    <w:rsid w:val="002904D7"/>
    <w:rsid w:val="00293F31"/>
    <w:rsid w:val="00294774"/>
    <w:rsid w:val="002A0C6E"/>
    <w:rsid w:val="002A2729"/>
    <w:rsid w:val="002A62BA"/>
    <w:rsid w:val="002A6DE7"/>
    <w:rsid w:val="002B082C"/>
    <w:rsid w:val="002B3C67"/>
    <w:rsid w:val="002B4FC1"/>
    <w:rsid w:val="002B59E8"/>
    <w:rsid w:val="002B69A7"/>
    <w:rsid w:val="002C00FA"/>
    <w:rsid w:val="002C0916"/>
    <w:rsid w:val="002C13F4"/>
    <w:rsid w:val="002C5008"/>
    <w:rsid w:val="002C6D36"/>
    <w:rsid w:val="002D33B3"/>
    <w:rsid w:val="002E2CA9"/>
    <w:rsid w:val="002F0D20"/>
    <w:rsid w:val="002F4BC7"/>
    <w:rsid w:val="002F5A28"/>
    <w:rsid w:val="002F69D7"/>
    <w:rsid w:val="00301726"/>
    <w:rsid w:val="003047B3"/>
    <w:rsid w:val="00306563"/>
    <w:rsid w:val="00311ADA"/>
    <w:rsid w:val="00313CFB"/>
    <w:rsid w:val="003165F3"/>
    <w:rsid w:val="00316749"/>
    <w:rsid w:val="00320E26"/>
    <w:rsid w:val="0032410B"/>
    <w:rsid w:val="0033082C"/>
    <w:rsid w:val="00340A26"/>
    <w:rsid w:val="00341BA6"/>
    <w:rsid w:val="00347EBE"/>
    <w:rsid w:val="003527ED"/>
    <w:rsid w:val="003531DD"/>
    <w:rsid w:val="00353909"/>
    <w:rsid w:val="00357888"/>
    <w:rsid w:val="003632B8"/>
    <w:rsid w:val="003675DC"/>
    <w:rsid w:val="00372343"/>
    <w:rsid w:val="0037238F"/>
    <w:rsid w:val="00374E46"/>
    <w:rsid w:val="003905C3"/>
    <w:rsid w:val="003920A7"/>
    <w:rsid w:val="00396AF3"/>
    <w:rsid w:val="00396BAD"/>
    <w:rsid w:val="003B1AA3"/>
    <w:rsid w:val="003B2313"/>
    <w:rsid w:val="003B3DC2"/>
    <w:rsid w:val="003B43B0"/>
    <w:rsid w:val="003B6D8C"/>
    <w:rsid w:val="003B6DD3"/>
    <w:rsid w:val="003C1399"/>
    <w:rsid w:val="003C4774"/>
    <w:rsid w:val="003D0964"/>
    <w:rsid w:val="003D2416"/>
    <w:rsid w:val="003D3304"/>
    <w:rsid w:val="003D5704"/>
    <w:rsid w:val="003D607E"/>
    <w:rsid w:val="003E2DA6"/>
    <w:rsid w:val="003F7FC0"/>
    <w:rsid w:val="00400416"/>
    <w:rsid w:val="00401A65"/>
    <w:rsid w:val="00406242"/>
    <w:rsid w:val="00407DD6"/>
    <w:rsid w:val="00412CCF"/>
    <w:rsid w:val="004212D7"/>
    <w:rsid w:val="004227B2"/>
    <w:rsid w:val="00422D88"/>
    <w:rsid w:val="004238D8"/>
    <w:rsid w:val="004243C5"/>
    <w:rsid w:val="00433146"/>
    <w:rsid w:val="00450C1B"/>
    <w:rsid w:val="00463101"/>
    <w:rsid w:val="00470987"/>
    <w:rsid w:val="0047326A"/>
    <w:rsid w:val="00473FC8"/>
    <w:rsid w:val="00476518"/>
    <w:rsid w:val="004857C6"/>
    <w:rsid w:val="00486184"/>
    <w:rsid w:val="00490413"/>
    <w:rsid w:val="0049120D"/>
    <w:rsid w:val="00491FB5"/>
    <w:rsid w:val="00492397"/>
    <w:rsid w:val="004A2836"/>
    <w:rsid w:val="004A2B65"/>
    <w:rsid w:val="004B1D19"/>
    <w:rsid w:val="004C3950"/>
    <w:rsid w:val="004D6193"/>
    <w:rsid w:val="004D6E44"/>
    <w:rsid w:val="004E5F5E"/>
    <w:rsid w:val="004F2917"/>
    <w:rsid w:val="004F75CD"/>
    <w:rsid w:val="00500AA3"/>
    <w:rsid w:val="00500B61"/>
    <w:rsid w:val="00501F33"/>
    <w:rsid w:val="0050557D"/>
    <w:rsid w:val="005119CD"/>
    <w:rsid w:val="00511D68"/>
    <w:rsid w:val="00517C02"/>
    <w:rsid w:val="0052173A"/>
    <w:rsid w:val="005267E5"/>
    <w:rsid w:val="0052784E"/>
    <w:rsid w:val="005343B1"/>
    <w:rsid w:val="005345F7"/>
    <w:rsid w:val="005354C5"/>
    <w:rsid w:val="00537D94"/>
    <w:rsid w:val="00540593"/>
    <w:rsid w:val="00541CBC"/>
    <w:rsid w:val="005425E0"/>
    <w:rsid w:val="0054548B"/>
    <w:rsid w:val="0054639B"/>
    <w:rsid w:val="00553A41"/>
    <w:rsid w:val="00556AC6"/>
    <w:rsid w:val="00572C3F"/>
    <w:rsid w:val="00576D80"/>
    <w:rsid w:val="00581964"/>
    <w:rsid w:val="005827E1"/>
    <w:rsid w:val="00582BF0"/>
    <w:rsid w:val="005A0D1A"/>
    <w:rsid w:val="005A2D0C"/>
    <w:rsid w:val="005B1967"/>
    <w:rsid w:val="005B2237"/>
    <w:rsid w:val="005B40FD"/>
    <w:rsid w:val="005C4ED3"/>
    <w:rsid w:val="005D12B4"/>
    <w:rsid w:val="005D2A07"/>
    <w:rsid w:val="005D3924"/>
    <w:rsid w:val="005D6188"/>
    <w:rsid w:val="005E0786"/>
    <w:rsid w:val="005E2C59"/>
    <w:rsid w:val="005E4AA8"/>
    <w:rsid w:val="005F5BA8"/>
    <w:rsid w:val="005F6E6F"/>
    <w:rsid w:val="005F6F3B"/>
    <w:rsid w:val="00603E07"/>
    <w:rsid w:val="006067C2"/>
    <w:rsid w:val="00610DBD"/>
    <w:rsid w:val="00617F7E"/>
    <w:rsid w:val="006201F1"/>
    <w:rsid w:val="0062280C"/>
    <w:rsid w:val="00624924"/>
    <w:rsid w:val="00626B77"/>
    <w:rsid w:val="00627B86"/>
    <w:rsid w:val="00631303"/>
    <w:rsid w:val="00634788"/>
    <w:rsid w:val="0063577E"/>
    <w:rsid w:val="00635D3C"/>
    <w:rsid w:val="00640797"/>
    <w:rsid w:val="00641F6D"/>
    <w:rsid w:val="006425E0"/>
    <w:rsid w:val="006454A5"/>
    <w:rsid w:val="006508F5"/>
    <w:rsid w:val="00651AED"/>
    <w:rsid w:val="00655DD9"/>
    <w:rsid w:val="006657B3"/>
    <w:rsid w:val="0067404A"/>
    <w:rsid w:val="006768F7"/>
    <w:rsid w:val="00680C23"/>
    <w:rsid w:val="006841F6"/>
    <w:rsid w:val="00684616"/>
    <w:rsid w:val="00696E9C"/>
    <w:rsid w:val="00696EA8"/>
    <w:rsid w:val="006A0855"/>
    <w:rsid w:val="006A0BDA"/>
    <w:rsid w:val="006A22B7"/>
    <w:rsid w:val="006A3E24"/>
    <w:rsid w:val="006B3424"/>
    <w:rsid w:val="006C3494"/>
    <w:rsid w:val="006D1D96"/>
    <w:rsid w:val="006E2EE7"/>
    <w:rsid w:val="006E508D"/>
    <w:rsid w:val="006E6814"/>
    <w:rsid w:val="006F122E"/>
    <w:rsid w:val="006F169F"/>
    <w:rsid w:val="006F346A"/>
    <w:rsid w:val="006F5A45"/>
    <w:rsid w:val="00702382"/>
    <w:rsid w:val="00706ADF"/>
    <w:rsid w:val="00714ED3"/>
    <w:rsid w:val="00727C07"/>
    <w:rsid w:val="007338EA"/>
    <w:rsid w:val="00733A00"/>
    <w:rsid w:val="007342AD"/>
    <w:rsid w:val="007421B6"/>
    <w:rsid w:val="00744DAE"/>
    <w:rsid w:val="007520B9"/>
    <w:rsid w:val="00755540"/>
    <w:rsid w:val="00762607"/>
    <w:rsid w:val="00766841"/>
    <w:rsid w:val="00767A43"/>
    <w:rsid w:val="0077084A"/>
    <w:rsid w:val="0077384F"/>
    <w:rsid w:val="00774BFB"/>
    <w:rsid w:val="00775FF3"/>
    <w:rsid w:val="0077605D"/>
    <w:rsid w:val="007824BA"/>
    <w:rsid w:val="00782BD1"/>
    <w:rsid w:val="00783714"/>
    <w:rsid w:val="0078397E"/>
    <w:rsid w:val="007839F3"/>
    <w:rsid w:val="00785B24"/>
    <w:rsid w:val="00793757"/>
    <w:rsid w:val="007A59B0"/>
    <w:rsid w:val="007A5C66"/>
    <w:rsid w:val="007A5F9E"/>
    <w:rsid w:val="007A75E9"/>
    <w:rsid w:val="007B58FC"/>
    <w:rsid w:val="007C3F4C"/>
    <w:rsid w:val="007D3F92"/>
    <w:rsid w:val="007E5997"/>
    <w:rsid w:val="007E6F9A"/>
    <w:rsid w:val="007F0744"/>
    <w:rsid w:val="007F4EC3"/>
    <w:rsid w:val="007F6448"/>
    <w:rsid w:val="00800560"/>
    <w:rsid w:val="00802856"/>
    <w:rsid w:val="00806C45"/>
    <w:rsid w:val="0081088B"/>
    <w:rsid w:val="0081320F"/>
    <w:rsid w:val="00816E31"/>
    <w:rsid w:val="008305E2"/>
    <w:rsid w:val="0083316F"/>
    <w:rsid w:val="008349B4"/>
    <w:rsid w:val="00836934"/>
    <w:rsid w:val="008402A6"/>
    <w:rsid w:val="008423E0"/>
    <w:rsid w:val="008465E7"/>
    <w:rsid w:val="00847EFA"/>
    <w:rsid w:val="00850120"/>
    <w:rsid w:val="00850AF7"/>
    <w:rsid w:val="008527D9"/>
    <w:rsid w:val="00854698"/>
    <w:rsid w:val="00876D08"/>
    <w:rsid w:val="008777A7"/>
    <w:rsid w:val="008832F1"/>
    <w:rsid w:val="008837E1"/>
    <w:rsid w:val="00890AB2"/>
    <w:rsid w:val="00894DAD"/>
    <w:rsid w:val="00896BDE"/>
    <w:rsid w:val="008A1E92"/>
    <w:rsid w:val="008A5402"/>
    <w:rsid w:val="008A7A7A"/>
    <w:rsid w:val="008B1488"/>
    <w:rsid w:val="008B6705"/>
    <w:rsid w:val="008C1EDB"/>
    <w:rsid w:val="008C52C4"/>
    <w:rsid w:val="008C66E3"/>
    <w:rsid w:val="008C7EC7"/>
    <w:rsid w:val="008D24B7"/>
    <w:rsid w:val="008D7AAD"/>
    <w:rsid w:val="008E0983"/>
    <w:rsid w:val="008E6BB5"/>
    <w:rsid w:val="008F5C73"/>
    <w:rsid w:val="008F73A5"/>
    <w:rsid w:val="00910037"/>
    <w:rsid w:val="00913D84"/>
    <w:rsid w:val="00916A76"/>
    <w:rsid w:val="009222A2"/>
    <w:rsid w:val="00924D4A"/>
    <w:rsid w:val="009268D4"/>
    <w:rsid w:val="00931048"/>
    <w:rsid w:val="00934746"/>
    <w:rsid w:val="00934FB3"/>
    <w:rsid w:val="00935932"/>
    <w:rsid w:val="009455A4"/>
    <w:rsid w:val="00956F19"/>
    <w:rsid w:val="0096038B"/>
    <w:rsid w:val="0096250A"/>
    <w:rsid w:val="00964084"/>
    <w:rsid w:val="00965593"/>
    <w:rsid w:val="00970897"/>
    <w:rsid w:val="0097518E"/>
    <w:rsid w:val="009768AD"/>
    <w:rsid w:val="00976F55"/>
    <w:rsid w:val="00980671"/>
    <w:rsid w:val="00986A2E"/>
    <w:rsid w:val="009877C6"/>
    <w:rsid w:val="009879AC"/>
    <w:rsid w:val="00992705"/>
    <w:rsid w:val="009928BC"/>
    <w:rsid w:val="00995CC2"/>
    <w:rsid w:val="00997987"/>
    <w:rsid w:val="009A22A7"/>
    <w:rsid w:val="009A546E"/>
    <w:rsid w:val="009A7025"/>
    <w:rsid w:val="009B217A"/>
    <w:rsid w:val="009B5596"/>
    <w:rsid w:val="009C1F23"/>
    <w:rsid w:val="009C3942"/>
    <w:rsid w:val="009C4242"/>
    <w:rsid w:val="009C6A86"/>
    <w:rsid w:val="009C7176"/>
    <w:rsid w:val="009C7F27"/>
    <w:rsid w:val="009D3135"/>
    <w:rsid w:val="009D5429"/>
    <w:rsid w:val="009E35DD"/>
    <w:rsid w:val="009E6700"/>
    <w:rsid w:val="009F12B7"/>
    <w:rsid w:val="009F4FFB"/>
    <w:rsid w:val="00A01F30"/>
    <w:rsid w:val="00A0488C"/>
    <w:rsid w:val="00A1193C"/>
    <w:rsid w:val="00A143DE"/>
    <w:rsid w:val="00A162CA"/>
    <w:rsid w:val="00A22DD0"/>
    <w:rsid w:val="00A26724"/>
    <w:rsid w:val="00A27B5B"/>
    <w:rsid w:val="00A33F6A"/>
    <w:rsid w:val="00A372FD"/>
    <w:rsid w:val="00A37748"/>
    <w:rsid w:val="00A37E8E"/>
    <w:rsid w:val="00A45A43"/>
    <w:rsid w:val="00A472B2"/>
    <w:rsid w:val="00A47603"/>
    <w:rsid w:val="00A47E5F"/>
    <w:rsid w:val="00A51061"/>
    <w:rsid w:val="00A5435D"/>
    <w:rsid w:val="00A551DD"/>
    <w:rsid w:val="00A5780D"/>
    <w:rsid w:val="00A63F13"/>
    <w:rsid w:val="00A65DBE"/>
    <w:rsid w:val="00A664EE"/>
    <w:rsid w:val="00A66BDA"/>
    <w:rsid w:val="00A70379"/>
    <w:rsid w:val="00A74548"/>
    <w:rsid w:val="00A83096"/>
    <w:rsid w:val="00A83E23"/>
    <w:rsid w:val="00A9020C"/>
    <w:rsid w:val="00A93647"/>
    <w:rsid w:val="00AB4694"/>
    <w:rsid w:val="00AB576F"/>
    <w:rsid w:val="00AB5D04"/>
    <w:rsid w:val="00AC03C9"/>
    <w:rsid w:val="00AC30CD"/>
    <w:rsid w:val="00AC34A1"/>
    <w:rsid w:val="00AC527B"/>
    <w:rsid w:val="00AC5F2D"/>
    <w:rsid w:val="00AC75E9"/>
    <w:rsid w:val="00AD3EA5"/>
    <w:rsid w:val="00AD5BFE"/>
    <w:rsid w:val="00AD7B1F"/>
    <w:rsid w:val="00AE103C"/>
    <w:rsid w:val="00AE1283"/>
    <w:rsid w:val="00AE283A"/>
    <w:rsid w:val="00AE3CA3"/>
    <w:rsid w:val="00AE3EC8"/>
    <w:rsid w:val="00AF417C"/>
    <w:rsid w:val="00AF4C14"/>
    <w:rsid w:val="00AF5B50"/>
    <w:rsid w:val="00AF6616"/>
    <w:rsid w:val="00AF7199"/>
    <w:rsid w:val="00AF794B"/>
    <w:rsid w:val="00B0321E"/>
    <w:rsid w:val="00B25B3D"/>
    <w:rsid w:val="00B266F6"/>
    <w:rsid w:val="00B2674E"/>
    <w:rsid w:val="00B27071"/>
    <w:rsid w:val="00B343CF"/>
    <w:rsid w:val="00B34D89"/>
    <w:rsid w:val="00B354BC"/>
    <w:rsid w:val="00B37B4D"/>
    <w:rsid w:val="00B40D11"/>
    <w:rsid w:val="00B42970"/>
    <w:rsid w:val="00B4314C"/>
    <w:rsid w:val="00B465A7"/>
    <w:rsid w:val="00B54B17"/>
    <w:rsid w:val="00B638D9"/>
    <w:rsid w:val="00B65B2E"/>
    <w:rsid w:val="00B70FAA"/>
    <w:rsid w:val="00B80FFB"/>
    <w:rsid w:val="00B85A24"/>
    <w:rsid w:val="00B92681"/>
    <w:rsid w:val="00B9437C"/>
    <w:rsid w:val="00B94B34"/>
    <w:rsid w:val="00B953FD"/>
    <w:rsid w:val="00B97EED"/>
    <w:rsid w:val="00BA5FA9"/>
    <w:rsid w:val="00BB17DB"/>
    <w:rsid w:val="00BB1849"/>
    <w:rsid w:val="00BB4C1B"/>
    <w:rsid w:val="00BB5FD5"/>
    <w:rsid w:val="00BC3940"/>
    <w:rsid w:val="00BC4EC6"/>
    <w:rsid w:val="00BC74F5"/>
    <w:rsid w:val="00BD04C5"/>
    <w:rsid w:val="00BD439E"/>
    <w:rsid w:val="00BE12B2"/>
    <w:rsid w:val="00BE5FC7"/>
    <w:rsid w:val="00BF0404"/>
    <w:rsid w:val="00BF0CC8"/>
    <w:rsid w:val="00BF56AA"/>
    <w:rsid w:val="00C03069"/>
    <w:rsid w:val="00C039CC"/>
    <w:rsid w:val="00C04DD8"/>
    <w:rsid w:val="00C146E5"/>
    <w:rsid w:val="00C17926"/>
    <w:rsid w:val="00C256E0"/>
    <w:rsid w:val="00C40B94"/>
    <w:rsid w:val="00C43D72"/>
    <w:rsid w:val="00C4782A"/>
    <w:rsid w:val="00C56EAA"/>
    <w:rsid w:val="00C6413D"/>
    <w:rsid w:val="00C64BA4"/>
    <w:rsid w:val="00C65A3F"/>
    <w:rsid w:val="00C74E8B"/>
    <w:rsid w:val="00C75BDC"/>
    <w:rsid w:val="00C76770"/>
    <w:rsid w:val="00C76849"/>
    <w:rsid w:val="00C8202C"/>
    <w:rsid w:val="00C878C3"/>
    <w:rsid w:val="00C95BE3"/>
    <w:rsid w:val="00CA1589"/>
    <w:rsid w:val="00CA2B78"/>
    <w:rsid w:val="00CA628A"/>
    <w:rsid w:val="00CA798C"/>
    <w:rsid w:val="00CB7453"/>
    <w:rsid w:val="00CC0AA6"/>
    <w:rsid w:val="00CC0E1D"/>
    <w:rsid w:val="00CC69B2"/>
    <w:rsid w:val="00CC7B8D"/>
    <w:rsid w:val="00CD4583"/>
    <w:rsid w:val="00CD4800"/>
    <w:rsid w:val="00CD6383"/>
    <w:rsid w:val="00CD7E3B"/>
    <w:rsid w:val="00CE2668"/>
    <w:rsid w:val="00CE45CB"/>
    <w:rsid w:val="00CE4ED3"/>
    <w:rsid w:val="00CF29E3"/>
    <w:rsid w:val="00CF330D"/>
    <w:rsid w:val="00CF7A3B"/>
    <w:rsid w:val="00D11C12"/>
    <w:rsid w:val="00D204F3"/>
    <w:rsid w:val="00D22C87"/>
    <w:rsid w:val="00D2543F"/>
    <w:rsid w:val="00D30C87"/>
    <w:rsid w:val="00D3216B"/>
    <w:rsid w:val="00D41139"/>
    <w:rsid w:val="00D417A9"/>
    <w:rsid w:val="00D46FF6"/>
    <w:rsid w:val="00D53A20"/>
    <w:rsid w:val="00D53F4E"/>
    <w:rsid w:val="00D5484F"/>
    <w:rsid w:val="00D66450"/>
    <w:rsid w:val="00D664CD"/>
    <w:rsid w:val="00D67185"/>
    <w:rsid w:val="00D771A8"/>
    <w:rsid w:val="00DA0FF4"/>
    <w:rsid w:val="00DA158D"/>
    <w:rsid w:val="00DB0F98"/>
    <w:rsid w:val="00DB2551"/>
    <w:rsid w:val="00DB31BE"/>
    <w:rsid w:val="00DB488B"/>
    <w:rsid w:val="00DB497B"/>
    <w:rsid w:val="00DC6D26"/>
    <w:rsid w:val="00DD1DF1"/>
    <w:rsid w:val="00DD2307"/>
    <w:rsid w:val="00DD37E0"/>
    <w:rsid w:val="00DD79F6"/>
    <w:rsid w:val="00DE3F76"/>
    <w:rsid w:val="00DE483A"/>
    <w:rsid w:val="00DF0B93"/>
    <w:rsid w:val="00DF35EC"/>
    <w:rsid w:val="00DF39E6"/>
    <w:rsid w:val="00DF6F15"/>
    <w:rsid w:val="00E01E52"/>
    <w:rsid w:val="00E04A4A"/>
    <w:rsid w:val="00E12851"/>
    <w:rsid w:val="00E130E6"/>
    <w:rsid w:val="00E2298D"/>
    <w:rsid w:val="00E312E1"/>
    <w:rsid w:val="00E34702"/>
    <w:rsid w:val="00E404DF"/>
    <w:rsid w:val="00E441F5"/>
    <w:rsid w:val="00E50D98"/>
    <w:rsid w:val="00E54F10"/>
    <w:rsid w:val="00E6133C"/>
    <w:rsid w:val="00E6406E"/>
    <w:rsid w:val="00E76783"/>
    <w:rsid w:val="00E80CF7"/>
    <w:rsid w:val="00E80E06"/>
    <w:rsid w:val="00E82032"/>
    <w:rsid w:val="00E846B0"/>
    <w:rsid w:val="00E940F0"/>
    <w:rsid w:val="00E94A00"/>
    <w:rsid w:val="00EA0CAE"/>
    <w:rsid w:val="00EA238B"/>
    <w:rsid w:val="00EA3110"/>
    <w:rsid w:val="00EB2557"/>
    <w:rsid w:val="00EC1D54"/>
    <w:rsid w:val="00EC6401"/>
    <w:rsid w:val="00EC79A2"/>
    <w:rsid w:val="00ED32A9"/>
    <w:rsid w:val="00ED5F42"/>
    <w:rsid w:val="00EF001E"/>
    <w:rsid w:val="00EF340D"/>
    <w:rsid w:val="00F03170"/>
    <w:rsid w:val="00F035D2"/>
    <w:rsid w:val="00F03AA6"/>
    <w:rsid w:val="00F063CC"/>
    <w:rsid w:val="00F173F6"/>
    <w:rsid w:val="00F23A47"/>
    <w:rsid w:val="00F24852"/>
    <w:rsid w:val="00F30067"/>
    <w:rsid w:val="00F30608"/>
    <w:rsid w:val="00F33F08"/>
    <w:rsid w:val="00F34801"/>
    <w:rsid w:val="00F353A4"/>
    <w:rsid w:val="00F3790B"/>
    <w:rsid w:val="00F44A2D"/>
    <w:rsid w:val="00F47481"/>
    <w:rsid w:val="00F518F6"/>
    <w:rsid w:val="00F5797D"/>
    <w:rsid w:val="00F6197B"/>
    <w:rsid w:val="00F74BBF"/>
    <w:rsid w:val="00F76E50"/>
    <w:rsid w:val="00F8010B"/>
    <w:rsid w:val="00F8246C"/>
    <w:rsid w:val="00F83748"/>
    <w:rsid w:val="00F90F85"/>
    <w:rsid w:val="00F91BB6"/>
    <w:rsid w:val="00F930B4"/>
    <w:rsid w:val="00F97765"/>
    <w:rsid w:val="00FA40BD"/>
    <w:rsid w:val="00FB2111"/>
    <w:rsid w:val="00FB401C"/>
    <w:rsid w:val="00FB4044"/>
    <w:rsid w:val="00FB5A6C"/>
    <w:rsid w:val="00FC4759"/>
    <w:rsid w:val="00FC5CC8"/>
    <w:rsid w:val="00FD079C"/>
    <w:rsid w:val="00FD615B"/>
    <w:rsid w:val="00FE2BDF"/>
    <w:rsid w:val="00FE33D9"/>
    <w:rsid w:val="00FE6608"/>
    <w:rsid w:val="00FF12DF"/>
    <w:rsid w:val="00FF2262"/>
    <w:rsid w:val="00FF2F66"/>
    <w:rsid w:val="00FF4492"/>
    <w:rsid w:val="00FF45EB"/>
    <w:rsid w:val="00FF5212"/>
    <w:rsid w:val="00FF524F"/>
    <w:rsid w:val="00FF67B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11D68"/>
    <w:pPr>
      <w:widowControl w:val="0"/>
    </w:pPr>
    <w:rPr>
      <w:kern w:val="2"/>
      <w:sz w:val="24"/>
      <w:szCs w:val="22"/>
    </w:rPr>
  </w:style>
  <w:style w:type="paragraph" w:styleId="1">
    <w:name w:val="heading 1"/>
    <w:basedOn w:val="a"/>
    <w:next w:val="a"/>
    <w:qFormat/>
    <w:pPr>
      <w:keepNext/>
      <w:spacing w:before="180" w:after="180" w:line="720" w:lineRule="auto"/>
      <w:outlineLvl w:val="0"/>
    </w:pPr>
    <w:rPr>
      <w:rFonts w:ascii="Arial" w:hAnsi="Arial"/>
      <w:b/>
      <w:bCs/>
      <w:kern w:val="52"/>
      <w:sz w:val="52"/>
      <w:szCs w:val="52"/>
    </w:rPr>
  </w:style>
  <w:style w:type="paragraph" w:styleId="2">
    <w:name w:val="heading 2"/>
    <w:next w:val="a0"/>
    <w:qFormat/>
    <w:pPr>
      <w:keepNext/>
      <w:tabs>
        <w:tab w:val="left" w:pos="360"/>
      </w:tabs>
      <w:spacing w:before="60" w:after="120"/>
      <w:outlineLvl w:val="1"/>
    </w:pPr>
    <w:rPr>
      <w:rFonts w:ascii="Times New Roman" w:hAnsi="Times New Roman"/>
      <w:b/>
      <w:sz w:val="22"/>
      <w:lang w:eastAsia="en-US"/>
    </w:rPr>
  </w:style>
  <w:style w:type="paragraph" w:styleId="3">
    <w:name w:val="heading 3"/>
    <w:basedOn w:val="a"/>
    <w:next w:val="a"/>
    <w:qFormat/>
    <w:pPr>
      <w:keepNext/>
      <w:jc w:val="center"/>
      <w:outlineLvl w:val="2"/>
    </w:pPr>
    <w:rPr>
      <w:rFonts w:ascii="Times New Roman" w:hAnsi="Times New Roman"/>
      <w:b/>
      <w:sz w:val="28"/>
      <w:szCs w:val="28"/>
    </w:rPr>
  </w:style>
  <w:style w:type="paragraph" w:styleId="4">
    <w:name w:val="heading 4"/>
    <w:basedOn w:val="a"/>
    <w:next w:val="a"/>
    <w:link w:val="40"/>
    <w:uiPriority w:val="9"/>
    <w:semiHidden/>
    <w:unhideWhenUsed/>
    <w:qFormat/>
    <w:rsid w:val="0096250A"/>
    <w:pPr>
      <w:keepNext/>
      <w:spacing w:line="720" w:lineRule="auto"/>
      <w:outlineLvl w:val="3"/>
    </w:pPr>
    <w:rPr>
      <w:rFonts w:ascii="Cambria" w:hAnsi="Cambria"/>
      <w:sz w:val="36"/>
      <w:szCs w:val="36"/>
    </w:rPr>
  </w:style>
  <w:style w:type="paragraph" w:styleId="6">
    <w:name w:val="heading 6"/>
    <w:basedOn w:val="a"/>
    <w:next w:val="a"/>
    <w:qFormat/>
    <w:pPr>
      <w:keepNext/>
      <w:spacing w:line="720" w:lineRule="auto"/>
      <w:ind w:leftChars="200" w:left="200"/>
      <w:outlineLvl w:val="5"/>
    </w:pPr>
    <w:rPr>
      <w:rFonts w:ascii="Arial" w:hAnsi="Arial"/>
      <w:sz w:val="36"/>
      <w:szCs w:val="3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unhideWhenUsed/>
    <w:pPr>
      <w:tabs>
        <w:tab w:val="center" w:pos="4153"/>
        <w:tab w:val="right" w:pos="8306"/>
      </w:tabs>
      <w:snapToGrid w:val="0"/>
    </w:pPr>
    <w:rPr>
      <w:sz w:val="20"/>
      <w:szCs w:val="20"/>
    </w:rPr>
  </w:style>
  <w:style w:type="character" w:customStyle="1" w:styleId="a5">
    <w:name w:val="字元"/>
    <w:rPr>
      <w:kern w:val="2"/>
    </w:rPr>
  </w:style>
  <w:style w:type="paragraph" w:styleId="a6">
    <w:name w:val="footer"/>
    <w:basedOn w:val="a"/>
    <w:unhideWhenUsed/>
    <w:pPr>
      <w:tabs>
        <w:tab w:val="center" w:pos="4153"/>
        <w:tab w:val="right" w:pos="8306"/>
      </w:tabs>
      <w:snapToGrid w:val="0"/>
    </w:pPr>
    <w:rPr>
      <w:sz w:val="20"/>
      <w:szCs w:val="20"/>
    </w:rPr>
  </w:style>
  <w:style w:type="character" w:customStyle="1" w:styleId="a7">
    <w:name w:val="字元"/>
    <w:rPr>
      <w:kern w:val="2"/>
    </w:rPr>
  </w:style>
  <w:style w:type="character" w:customStyle="1" w:styleId="a8">
    <w:name w:val="字元"/>
    <w:rPr>
      <w:rFonts w:ascii="Times New Roman" w:hAnsi="Times New Roman"/>
      <w:b/>
      <w:sz w:val="22"/>
      <w:lang w:val="en-US" w:eastAsia="en-US" w:bidi="ar-SA"/>
    </w:rPr>
  </w:style>
  <w:style w:type="paragraph" w:styleId="a0">
    <w:name w:val="Body Text"/>
    <w:link w:val="a9"/>
    <w:semiHidden/>
    <w:pPr>
      <w:spacing w:after="240"/>
      <w:jc w:val="both"/>
    </w:pPr>
    <w:rPr>
      <w:rFonts w:ascii="Times New Roman" w:hAnsi="Times New Roman"/>
      <w:sz w:val="22"/>
      <w:lang w:eastAsia="en-US"/>
    </w:rPr>
  </w:style>
  <w:style w:type="character" w:customStyle="1" w:styleId="aa">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a"/>
    <w:next w:val="a"/>
    <w:pPr>
      <w:widowControl/>
      <w:spacing w:after="60"/>
      <w:jc w:val="center"/>
    </w:pPr>
    <w:rPr>
      <w:rFonts w:ascii="Arial" w:hAnsi="Arial"/>
      <w:b/>
      <w:kern w:val="0"/>
      <w:sz w:val="22"/>
      <w:szCs w:val="20"/>
      <w:lang w:eastAsia="en-US"/>
    </w:rPr>
  </w:style>
  <w:style w:type="paragraph" w:customStyle="1" w:styleId="Italicsheading">
    <w:name w:val="Italics heading"/>
    <w:basedOn w:val="a"/>
    <w:next w:val="a0"/>
    <w:pPr>
      <w:widowControl/>
      <w:spacing w:after="120"/>
    </w:pPr>
    <w:rPr>
      <w:rFonts w:ascii="Times New Roman" w:hAnsi="Times New Roman"/>
      <w:i/>
      <w:kern w:val="0"/>
      <w:sz w:val="22"/>
      <w:szCs w:val="20"/>
      <w:lang w:eastAsia="en-US"/>
    </w:rPr>
  </w:style>
  <w:style w:type="character" w:styleId="ab">
    <w:name w:val="page number"/>
    <w:basedOn w:val="a1"/>
    <w:semiHidden/>
  </w:style>
  <w:style w:type="paragraph" w:styleId="ac">
    <w:name w:val="footnote text"/>
    <w:basedOn w:val="a"/>
    <w:semiHidden/>
    <w:pPr>
      <w:widowControl/>
    </w:pPr>
    <w:rPr>
      <w:rFonts w:ascii="Arial" w:hAnsi="Arial"/>
      <w:kern w:val="0"/>
      <w:sz w:val="18"/>
      <w:szCs w:val="20"/>
      <w:lang w:eastAsia="en-US"/>
    </w:rPr>
  </w:style>
  <w:style w:type="character" w:customStyle="1" w:styleId="ad">
    <w:name w:val="字元"/>
    <w:semiHidden/>
    <w:rPr>
      <w:rFonts w:ascii="Arial" w:hAnsi="Arial"/>
      <w:sz w:val="18"/>
      <w:lang w:eastAsia="en-US"/>
    </w:rPr>
  </w:style>
  <w:style w:type="character" w:styleId="ae">
    <w:name w:val="footnote reference"/>
    <w:semiHidden/>
    <w:rPr>
      <w:vertAlign w:val="superscript"/>
    </w:rPr>
  </w:style>
  <w:style w:type="paragraph" w:styleId="20">
    <w:name w:val="Body Text Indent 2"/>
    <w:basedOn w:val="a"/>
    <w:semiHidden/>
    <w:pPr>
      <w:spacing w:after="120" w:line="480" w:lineRule="auto"/>
      <w:ind w:leftChars="200" w:left="480"/>
    </w:pPr>
  </w:style>
  <w:style w:type="paragraph" w:styleId="Web">
    <w:name w:val="Normal (Web)"/>
    <w:basedOn w:val="a"/>
    <w:uiPriority w:val="99"/>
    <w:semiHidden/>
    <w:pPr>
      <w:widowControl/>
      <w:spacing w:before="100" w:beforeAutospacing="1" w:after="100" w:afterAutospacing="1"/>
    </w:pPr>
    <w:rPr>
      <w:rFonts w:ascii="Times New Roman" w:eastAsia="MS Mincho" w:hAnsi="Times New Roman"/>
      <w:kern w:val="0"/>
      <w:szCs w:val="24"/>
      <w:lang w:eastAsia="ja-JP"/>
    </w:rPr>
  </w:style>
  <w:style w:type="paragraph" w:styleId="af">
    <w:name w:val="List Paragraph"/>
    <w:basedOn w:val="a"/>
    <w:qFormat/>
    <w:pPr>
      <w:ind w:leftChars="200" w:left="480"/>
    </w:pPr>
  </w:style>
  <w:style w:type="character" w:styleId="af0">
    <w:name w:val="annotation reference"/>
    <w:semiHidden/>
    <w:rPr>
      <w:sz w:val="18"/>
      <w:szCs w:val="18"/>
    </w:rPr>
  </w:style>
  <w:style w:type="paragraph" w:styleId="af1">
    <w:name w:val="annotation text"/>
    <w:basedOn w:val="a"/>
    <w:semiHidden/>
  </w:style>
  <w:style w:type="paragraph" w:customStyle="1" w:styleId="10">
    <w:name w:val="註解主旨1"/>
    <w:basedOn w:val="af1"/>
    <w:next w:val="af1"/>
    <w:semiHidden/>
    <w:rPr>
      <w:b/>
      <w:bCs/>
    </w:rPr>
  </w:style>
  <w:style w:type="paragraph" w:customStyle="1" w:styleId="11">
    <w:name w:val="註解方塊文字1"/>
    <w:basedOn w:val="a"/>
    <w:semiHidden/>
    <w:rPr>
      <w:rFonts w:ascii="Arial" w:hAnsi="Arial"/>
      <w:sz w:val="18"/>
      <w:szCs w:val="18"/>
    </w:rPr>
  </w:style>
  <w:style w:type="paragraph" w:customStyle="1" w:styleId="Style1">
    <w:name w:val="Style1"/>
    <w:basedOn w:val="a"/>
    <w:pPr>
      <w:widowControl/>
    </w:pPr>
    <w:rPr>
      <w:rFonts w:ascii="Times New Roman" w:hAnsi="Times New Roman"/>
      <w:kern w:val="0"/>
      <w:szCs w:val="20"/>
      <w:lang w:val="en-GB" w:eastAsia="en-US"/>
    </w:rPr>
  </w:style>
  <w:style w:type="paragraph" w:styleId="12">
    <w:name w:val="toc 1"/>
    <w:basedOn w:val="1"/>
    <w:next w:val="a"/>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Web"/>
  </w:style>
  <w:style w:type="paragraph" w:styleId="21">
    <w:name w:val="Body Text 2"/>
    <w:basedOn w:val="a"/>
    <w:semiHidden/>
    <w:pPr>
      <w:tabs>
        <w:tab w:val="left" w:pos="480"/>
        <w:tab w:val="left" w:pos="6855"/>
      </w:tabs>
      <w:adjustRightInd w:val="0"/>
      <w:snapToGrid w:val="0"/>
      <w:jc w:val="both"/>
    </w:pPr>
    <w:rPr>
      <w:rFonts w:ascii="Arial" w:hAnsi="Arial" w:cs="Arial"/>
    </w:rPr>
  </w:style>
  <w:style w:type="paragraph" w:styleId="30">
    <w:name w:val="Body Text 3"/>
    <w:basedOn w:val="a"/>
    <w:semiHidden/>
    <w:pPr>
      <w:tabs>
        <w:tab w:val="left" w:pos="720"/>
      </w:tabs>
      <w:adjustRightInd w:val="0"/>
      <w:snapToGrid w:val="0"/>
      <w:ind w:right="85"/>
      <w:jc w:val="both"/>
    </w:pPr>
    <w:rPr>
      <w:rFonts w:ascii="Arial" w:hAnsi="Arial" w:cs="Arial"/>
      <w:sz w:val="22"/>
    </w:rPr>
  </w:style>
  <w:style w:type="character" w:styleId="af2">
    <w:name w:val="Hyperlink"/>
    <w:semiHidden/>
    <w:rPr>
      <w:color w:val="0000FF"/>
      <w:u w:val="single"/>
    </w:rPr>
  </w:style>
  <w:style w:type="paragraph" w:styleId="af3">
    <w:name w:val="Title"/>
    <w:basedOn w:val="a"/>
    <w:qFormat/>
    <w:pPr>
      <w:widowControl/>
      <w:jc w:val="center"/>
    </w:pPr>
    <w:rPr>
      <w:rFonts w:ascii="Times New Roman" w:hAnsi="Times New Roman"/>
      <w:b/>
      <w:bCs/>
      <w:kern w:val="0"/>
      <w:sz w:val="32"/>
      <w:szCs w:val="24"/>
      <w:lang w:eastAsia="en-US"/>
    </w:rPr>
  </w:style>
  <w:style w:type="character" w:styleId="af4">
    <w:name w:val="Strong"/>
    <w:qFormat/>
    <w:rPr>
      <w:b/>
      <w:bCs/>
    </w:rPr>
  </w:style>
  <w:style w:type="character" w:customStyle="1" w:styleId="shorttext">
    <w:name w:val="short_text"/>
    <w:basedOn w:val="a1"/>
  </w:style>
  <w:style w:type="character" w:customStyle="1" w:styleId="af5">
    <w:name w:val="頁尾 字元"/>
    <w:rPr>
      <w:rFonts w:eastAsia="SimSun"/>
      <w:kern w:val="2"/>
      <w:lang w:eastAsia="zh-CN"/>
    </w:rPr>
  </w:style>
  <w:style w:type="table" w:styleId="af6">
    <w:name w:val="Table Grid"/>
    <w:basedOn w:val="a2"/>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標題 4 字元"/>
    <w:link w:val="4"/>
    <w:uiPriority w:val="9"/>
    <w:semiHidden/>
    <w:rsid w:val="0096250A"/>
    <w:rPr>
      <w:rFonts w:ascii="Cambria" w:eastAsia="新細明體" w:hAnsi="Cambria" w:cs="Times New Roman"/>
      <w:kern w:val="2"/>
      <w:sz w:val="36"/>
      <w:szCs w:val="36"/>
    </w:rPr>
  </w:style>
  <w:style w:type="character" w:customStyle="1" w:styleId="a9">
    <w:name w:val="本文 字元"/>
    <w:link w:val="a0"/>
    <w:semiHidden/>
    <w:rsid w:val="00CA1589"/>
    <w:rPr>
      <w:rFonts w:ascii="Times New Roman" w:hAnsi="Times New Roman"/>
      <w:sz w:val="22"/>
      <w:lang w:eastAsia="en-US"/>
    </w:rPr>
  </w:style>
  <w:style w:type="character" w:styleId="af7">
    <w:name w:val="Unresolved Mention"/>
    <w:basedOn w:val="a1"/>
    <w:uiPriority w:val="99"/>
    <w:semiHidden/>
    <w:unhideWhenUsed/>
    <w:rsid w:val="000D3340"/>
    <w:rPr>
      <w:color w:val="605E5C"/>
      <w:shd w:val="clear" w:color="auto" w:fill="E1DFDD"/>
    </w:rPr>
  </w:style>
  <w:style w:type="paragraph" w:styleId="af8">
    <w:name w:val="Revision"/>
    <w:hidden/>
    <w:uiPriority w:val="99"/>
    <w:semiHidden/>
    <w:rsid w:val="00FF67B3"/>
    <w:rPr>
      <w:kern w:val="2"/>
      <w:sz w:val="24"/>
      <w:szCs w:val="22"/>
    </w:rPr>
  </w:style>
  <w:style w:type="paragraph" w:styleId="af9">
    <w:name w:val="Date"/>
    <w:basedOn w:val="a"/>
    <w:next w:val="a"/>
    <w:link w:val="afa"/>
    <w:uiPriority w:val="99"/>
    <w:semiHidden/>
    <w:unhideWhenUsed/>
    <w:rsid w:val="00541CBC"/>
    <w:pPr>
      <w:jc w:val="right"/>
    </w:pPr>
  </w:style>
  <w:style w:type="character" w:customStyle="1" w:styleId="afa">
    <w:name w:val="日期 字元"/>
    <w:basedOn w:val="a1"/>
    <w:link w:val="af9"/>
    <w:uiPriority w:val="99"/>
    <w:semiHidden/>
    <w:rsid w:val="00541CBC"/>
    <w:rPr>
      <w:kern w:val="2"/>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19424">
      <w:bodyDiv w:val="1"/>
      <w:marLeft w:val="0"/>
      <w:marRight w:val="0"/>
      <w:marTop w:val="0"/>
      <w:marBottom w:val="0"/>
      <w:divBdr>
        <w:top w:val="none" w:sz="0" w:space="0" w:color="auto"/>
        <w:left w:val="none" w:sz="0" w:space="0" w:color="auto"/>
        <w:bottom w:val="none" w:sz="0" w:space="0" w:color="auto"/>
        <w:right w:val="none" w:sz="0" w:space="0" w:color="auto"/>
      </w:divBdr>
    </w:div>
    <w:div w:id="190536250">
      <w:bodyDiv w:val="1"/>
      <w:marLeft w:val="0"/>
      <w:marRight w:val="0"/>
      <w:marTop w:val="0"/>
      <w:marBottom w:val="0"/>
      <w:divBdr>
        <w:top w:val="none" w:sz="0" w:space="0" w:color="auto"/>
        <w:left w:val="none" w:sz="0" w:space="0" w:color="auto"/>
        <w:bottom w:val="none" w:sz="0" w:space="0" w:color="auto"/>
        <w:right w:val="none" w:sz="0" w:space="0" w:color="auto"/>
      </w:divBdr>
    </w:div>
    <w:div w:id="204874276">
      <w:bodyDiv w:val="1"/>
      <w:marLeft w:val="0"/>
      <w:marRight w:val="0"/>
      <w:marTop w:val="0"/>
      <w:marBottom w:val="0"/>
      <w:divBdr>
        <w:top w:val="none" w:sz="0" w:space="0" w:color="auto"/>
        <w:left w:val="none" w:sz="0" w:space="0" w:color="auto"/>
        <w:bottom w:val="none" w:sz="0" w:space="0" w:color="auto"/>
        <w:right w:val="none" w:sz="0" w:space="0" w:color="auto"/>
      </w:divBdr>
    </w:div>
    <w:div w:id="262689250">
      <w:bodyDiv w:val="1"/>
      <w:marLeft w:val="0"/>
      <w:marRight w:val="0"/>
      <w:marTop w:val="0"/>
      <w:marBottom w:val="0"/>
      <w:divBdr>
        <w:top w:val="none" w:sz="0" w:space="0" w:color="auto"/>
        <w:left w:val="none" w:sz="0" w:space="0" w:color="auto"/>
        <w:bottom w:val="none" w:sz="0" w:space="0" w:color="auto"/>
        <w:right w:val="none" w:sz="0" w:space="0" w:color="auto"/>
      </w:divBdr>
    </w:div>
    <w:div w:id="363412441">
      <w:bodyDiv w:val="1"/>
      <w:marLeft w:val="0"/>
      <w:marRight w:val="0"/>
      <w:marTop w:val="0"/>
      <w:marBottom w:val="0"/>
      <w:divBdr>
        <w:top w:val="none" w:sz="0" w:space="0" w:color="auto"/>
        <w:left w:val="none" w:sz="0" w:space="0" w:color="auto"/>
        <w:bottom w:val="none" w:sz="0" w:space="0" w:color="auto"/>
        <w:right w:val="none" w:sz="0" w:space="0" w:color="auto"/>
      </w:divBdr>
    </w:div>
    <w:div w:id="467011370">
      <w:bodyDiv w:val="1"/>
      <w:marLeft w:val="0"/>
      <w:marRight w:val="0"/>
      <w:marTop w:val="0"/>
      <w:marBottom w:val="0"/>
      <w:divBdr>
        <w:top w:val="none" w:sz="0" w:space="0" w:color="auto"/>
        <w:left w:val="none" w:sz="0" w:space="0" w:color="auto"/>
        <w:bottom w:val="none" w:sz="0" w:space="0" w:color="auto"/>
        <w:right w:val="none" w:sz="0" w:space="0" w:color="auto"/>
      </w:divBdr>
    </w:div>
    <w:div w:id="487675095">
      <w:bodyDiv w:val="1"/>
      <w:marLeft w:val="0"/>
      <w:marRight w:val="0"/>
      <w:marTop w:val="0"/>
      <w:marBottom w:val="0"/>
      <w:divBdr>
        <w:top w:val="none" w:sz="0" w:space="0" w:color="auto"/>
        <w:left w:val="none" w:sz="0" w:space="0" w:color="auto"/>
        <w:bottom w:val="none" w:sz="0" w:space="0" w:color="auto"/>
        <w:right w:val="none" w:sz="0" w:space="0" w:color="auto"/>
      </w:divBdr>
    </w:div>
    <w:div w:id="506790059">
      <w:bodyDiv w:val="1"/>
      <w:marLeft w:val="0"/>
      <w:marRight w:val="0"/>
      <w:marTop w:val="0"/>
      <w:marBottom w:val="0"/>
      <w:divBdr>
        <w:top w:val="none" w:sz="0" w:space="0" w:color="auto"/>
        <w:left w:val="none" w:sz="0" w:space="0" w:color="auto"/>
        <w:bottom w:val="none" w:sz="0" w:space="0" w:color="auto"/>
        <w:right w:val="none" w:sz="0" w:space="0" w:color="auto"/>
      </w:divBdr>
    </w:div>
    <w:div w:id="557398448">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702831203">
      <w:bodyDiv w:val="1"/>
      <w:marLeft w:val="0"/>
      <w:marRight w:val="0"/>
      <w:marTop w:val="0"/>
      <w:marBottom w:val="0"/>
      <w:divBdr>
        <w:top w:val="none" w:sz="0" w:space="0" w:color="auto"/>
        <w:left w:val="none" w:sz="0" w:space="0" w:color="auto"/>
        <w:bottom w:val="none" w:sz="0" w:space="0" w:color="auto"/>
        <w:right w:val="none" w:sz="0" w:space="0" w:color="auto"/>
      </w:divBdr>
    </w:div>
    <w:div w:id="831724302">
      <w:bodyDiv w:val="1"/>
      <w:marLeft w:val="0"/>
      <w:marRight w:val="0"/>
      <w:marTop w:val="0"/>
      <w:marBottom w:val="0"/>
      <w:divBdr>
        <w:top w:val="none" w:sz="0" w:space="0" w:color="auto"/>
        <w:left w:val="none" w:sz="0" w:space="0" w:color="auto"/>
        <w:bottom w:val="none" w:sz="0" w:space="0" w:color="auto"/>
        <w:right w:val="none" w:sz="0" w:space="0" w:color="auto"/>
      </w:divBdr>
    </w:div>
    <w:div w:id="910654489">
      <w:bodyDiv w:val="1"/>
      <w:marLeft w:val="0"/>
      <w:marRight w:val="0"/>
      <w:marTop w:val="0"/>
      <w:marBottom w:val="0"/>
      <w:divBdr>
        <w:top w:val="none" w:sz="0" w:space="0" w:color="auto"/>
        <w:left w:val="none" w:sz="0" w:space="0" w:color="auto"/>
        <w:bottom w:val="none" w:sz="0" w:space="0" w:color="auto"/>
        <w:right w:val="none" w:sz="0" w:space="0" w:color="auto"/>
      </w:divBdr>
    </w:div>
    <w:div w:id="920220494">
      <w:bodyDiv w:val="1"/>
      <w:marLeft w:val="0"/>
      <w:marRight w:val="0"/>
      <w:marTop w:val="0"/>
      <w:marBottom w:val="0"/>
      <w:divBdr>
        <w:top w:val="none" w:sz="0" w:space="0" w:color="auto"/>
        <w:left w:val="none" w:sz="0" w:space="0" w:color="auto"/>
        <w:bottom w:val="none" w:sz="0" w:space="0" w:color="auto"/>
        <w:right w:val="none" w:sz="0" w:space="0" w:color="auto"/>
      </w:divBdr>
    </w:div>
    <w:div w:id="953902785">
      <w:bodyDiv w:val="1"/>
      <w:marLeft w:val="0"/>
      <w:marRight w:val="0"/>
      <w:marTop w:val="0"/>
      <w:marBottom w:val="0"/>
      <w:divBdr>
        <w:top w:val="none" w:sz="0" w:space="0" w:color="auto"/>
        <w:left w:val="none" w:sz="0" w:space="0" w:color="auto"/>
        <w:bottom w:val="none" w:sz="0" w:space="0" w:color="auto"/>
        <w:right w:val="none" w:sz="0" w:space="0" w:color="auto"/>
      </w:divBdr>
    </w:div>
    <w:div w:id="988746260">
      <w:bodyDiv w:val="1"/>
      <w:marLeft w:val="0"/>
      <w:marRight w:val="0"/>
      <w:marTop w:val="0"/>
      <w:marBottom w:val="0"/>
      <w:divBdr>
        <w:top w:val="none" w:sz="0" w:space="0" w:color="auto"/>
        <w:left w:val="none" w:sz="0" w:space="0" w:color="auto"/>
        <w:bottom w:val="none" w:sz="0" w:space="0" w:color="auto"/>
        <w:right w:val="none" w:sz="0" w:space="0" w:color="auto"/>
      </w:divBdr>
    </w:div>
    <w:div w:id="1182670657">
      <w:bodyDiv w:val="1"/>
      <w:marLeft w:val="0"/>
      <w:marRight w:val="0"/>
      <w:marTop w:val="0"/>
      <w:marBottom w:val="0"/>
      <w:divBdr>
        <w:top w:val="none" w:sz="0" w:space="0" w:color="auto"/>
        <w:left w:val="none" w:sz="0" w:space="0" w:color="auto"/>
        <w:bottom w:val="none" w:sz="0" w:space="0" w:color="auto"/>
        <w:right w:val="none" w:sz="0" w:space="0" w:color="auto"/>
      </w:divBdr>
    </w:div>
    <w:div w:id="1241520053">
      <w:bodyDiv w:val="1"/>
      <w:marLeft w:val="0"/>
      <w:marRight w:val="0"/>
      <w:marTop w:val="0"/>
      <w:marBottom w:val="0"/>
      <w:divBdr>
        <w:top w:val="none" w:sz="0" w:space="0" w:color="auto"/>
        <w:left w:val="none" w:sz="0" w:space="0" w:color="auto"/>
        <w:bottom w:val="none" w:sz="0" w:space="0" w:color="auto"/>
        <w:right w:val="none" w:sz="0" w:space="0" w:color="auto"/>
      </w:divBdr>
    </w:div>
    <w:div w:id="1273900912">
      <w:bodyDiv w:val="1"/>
      <w:marLeft w:val="0"/>
      <w:marRight w:val="0"/>
      <w:marTop w:val="0"/>
      <w:marBottom w:val="0"/>
      <w:divBdr>
        <w:top w:val="none" w:sz="0" w:space="0" w:color="auto"/>
        <w:left w:val="none" w:sz="0" w:space="0" w:color="auto"/>
        <w:bottom w:val="none" w:sz="0" w:space="0" w:color="auto"/>
        <w:right w:val="none" w:sz="0" w:space="0" w:color="auto"/>
      </w:divBdr>
    </w:div>
    <w:div w:id="1284193721">
      <w:bodyDiv w:val="1"/>
      <w:marLeft w:val="0"/>
      <w:marRight w:val="0"/>
      <w:marTop w:val="0"/>
      <w:marBottom w:val="0"/>
      <w:divBdr>
        <w:top w:val="none" w:sz="0" w:space="0" w:color="auto"/>
        <w:left w:val="none" w:sz="0" w:space="0" w:color="auto"/>
        <w:bottom w:val="none" w:sz="0" w:space="0" w:color="auto"/>
        <w:right w:val="none" w:sz="0" w:space="0" w:color="auto"/>
      </w:divBdr>
    </w:div>
    <w:div w:id="1341542794">
      <w:bodyDiv w:val="1"/>
      <w:marLeft w:val="0"/>
      <w:marRight w:val="0"/>
      <w:marTop w:val="0"/>
      <w:marBottom w:val="0"/>
      <w:divBdr>
        <w:top w:val="none" w:sz="0" w:space="0" w:color="auto"/>
        <w:left w:val="none" w:sz="0" w:space="0" w:color="auto"/>
        <w:bottom w:val="none" w:sz="0" w:space="0" w:color="auto"/>
        <w:right w:val="none" w:sz="0" w:space="0" w:color="auto"/>
      </w:divBdr>
    </w:div>
    <w:div w:id="1450931014">
      <w:bodyDiv w:val="1"/>
      <w:marLeft w:val="0"/>
      <w:marRight w:val="0"/>
      <w:marTop w:val="0"/>
      <w:marBottom w:val="0"/>
      <w:divBdr>
        <w:top w:val="none" w:sz="0" w:space="0" w:color="auto"/>
        <w:left w:val="none" w:sz="0" w:space="0" w:color="auto"/>
        <w:bottom w:val="none" w:sz="0" w:space="0" w:color="auto"/>
        <w:right w:val="none" w:sz="0" w:space="0" w:color="auto"/>
      </w:divBdr>
    </w:div>
    <w:div w:id="1527131716">
      <w:bodyDiv w:val="1"/>
      <w:marLeft w:val="0"/>
      <w:marRight w:val="0"/>
      <w:marTop w:val="0"/>
      <w:marBottom w:val="0"/>
      <w:divBdr>
        <w:top w:val="none" w:sz="0" w:space="0" w:color="auto"/>
        <w:left w:val="none" w:sz="0" w:space="0" w:color="auto"/>
        <w:bottom w:val="none" w:sz="0" w:space="0" w:color="auto"/>
        <w:right w:val="none" w:sz="0" w:space="0" w:color="auto"/>
      </w:divBdr>
    </w:div>
    <w:div w:id="1627663106">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7083451">
      <w:bodyDiv w:val="1"/>
      <w:marLeft w:val="0"/>
      <w:marRight w:val="0"/>
      <w:marTop w:val="0"/>
      <w:marBottom w:val="0"/>
      <w:divBdr>
        <w:top w:val="none" w:sz="0" w:space="0" w:color="auto"/>
        <w:left w:val="none" w:sz="0" w:space="0" w:color="auto"/>
        <w:bottom w:val="none" w:sz="0" w:space="0" w:color="auto"/>
        <w:right w:val="none" w:sz="0" w:space="0" w:color="auto"/>
      </w:divBdr>
    </w:div>
    <w:div w:id="1994529738">
      <w:bodyDiv w:val="1"/>
      <w:marLeft w:val="0"/>
      <w:marRight w:val="0"/>
      <w:marTop w:val="0"/>
      <w:marBottom w:val="0"/>
      <w:divBdr>
        <w:top w:val="none" w:sz="0" w:space="0" w:color="auto"/>
        <w:left w:val="none" w:sz="0" w:space="0" w:color="auto"/>
        <w:bottom w:val="none" w:sz="0" w:space="0" w:color="auto"/>
        <w:right w:val="none" w:sz="0" w:space="0" w:color="auto"/>
      </w:divBdr>
    </w:div>
    <w:div w:id="2005470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www.investopedia.com/terms/p/per-capita-gdp.asp" TargetMode="External"/><Relationship Id="rId26" Type="http://schemas.openxmlformats.org/officeDocument/2006/relationships/hyperlink" Target="https://www.investopedia.com/ask/answers/021215/what-difference-between-standard-deviation-and-variance.asp" TargetMode="External"/><Relationship Id="rId39" Type="http://schemas.openxmlformats.org/officeDocument/2006/relationships/hyperlink" Target="https://www.globaltimes.cn/page/202310/1299840.shtml" TargetMode="External"/><Relationship Id="rId21" Type="http://schemas.openxmlformats.org/officeDocument/2006/relationships/hyperlink" Target="https://www.focus-economics.com/economic-indicator/gdp-per-capita/" TargetMode="External"/><Relationship Id="rId34" Type="http://schemas.openxmlformats.org/officeDocument/2006/relationships/hyperlink" Target="https://panmure.com/insights/u-k-economy-on-the-rebound/" TargetMode="External"/><Relationship Id="rId42" Type="http://schemas.openxmlformats.org/officeDocument/2006/relationships/hyperlink" Target="https://data.worldbank.org/indicator/NY.GDP.PCAP.C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5.xml"/><Relationship Id="rId29" Type="http://schemas.openxmlformats.org/officeDocument/2006/relationships/hyperlink" Target="https://doi.org/10.1057/s41599-023-0207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investopedia.com/terms/c/coefficientofvariation.asp" TargetMode="External"/><Relationship Id="rId32" Type="http://schemas.openxmlformats.org/officeDocument/2006/relationships/hyperlink" Target="https://www.pewresearch.org/global/2014/02/13/developing-technology-use/" TargetMode="External"/><Relationship Id="rId37" Type="http://schemas.openxmlformats.org/officeDocument/2006/relationships/hyperlink" Target="https://cep.lse.ac.uk/pubs/download/special/cepsp24.pdf" TargetMode="External"/><Relationship Id="rId40" Type="http://schemas.openxmlformats.org/officeDocument/2006/relationships/hyperlink" Target="https://www.economicsobservatory.com/why-did-the-global-financial-crisis-of-2007-09-happen"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www.investopedia.com/terms/m/mean.asp" TargetMode="External"/><Relationship Id="rId28" Type="http://schemas.openxmlformats.org/officeDocument/2006/relationships/hyperlink" Target="https://www.investopedia.com/terms/c/catch-up-effect.asp" TargetMode="External"/><Relationship Id="rId36" Type="http://schemas.openxmlformats.org/officeDocument/2006/relationships/hyperlink" Target="https://timesofindia.indiatimes.com/readersblog/sustainablebusiness/the-resilience-and-rebound-of-the-indian-economy-a-closer-look-at-recent-performance-54278/" TargetMode="External"/><Relationship Id="rId10" Type="http://schemas.openxmlformats.org/officeDocument/2006/relationships/footer" Target="footer1.xml"/><Relationship Id="rId19" Type="http://schemas.openxmlformats.org/officeDocument/2006/relationships/hyperlink" Target="https://www.jstor.org/stable/43673633" TargetMode="External"/><Relationship Id="rId31" Type="http://schemas.openxmlformats.org/officeDocument/2006/relationships/hyperlink" Target="https://www.mortgagestrategy.co.uk/analysis/historical-interest-rates-uk/" TargetMode="External"/><Relationship Id="rId44" Type="http://schemas.openxmlformats.org/officeDocument/2006/relationships/hyperlink" Target="https://eastasiaforum.org/2024/01/03/hong-kongs-economy-struggles-to-get-back-on-its-fee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hyperlink" Target="https://www.focus-economics.com/economic-indicator/gdp-per-capita/" TargetMode="External"/><Relationship Id="rId27" Type="http://schemas.openxmlformats.org/officeDocument/2006/relationships/hyperlink" Target="https://doi.org/10.2139/ssrn.883936" TargetMode="External"/><Relationship Id="rId30" Type="http://schemas.openxmlformats.org/officeDocument/2006/relationships/hyperlink" Target="https://www.researchgate.net/profile/M-S-Rahman/publication/283355268_Relationship_among_GDP_Per_Capita_GDP_Literacy_Rate_and_Unemployment_Rate/links/583440a508aef19cb81f5749/Relationship-among-GDP-Per-Capita-GDP-Literacy-Rate-and-Unemployment-Rate.pdf" TargetMode="External"/><Relationship Id="rId35" Type="http://schemas.openxmlformats.org/officeDocument/2006/relationships/hyperlink" Target="https://www.theguardian.com/business/2024/jan/25/us-economic-growth-slowdown-gdp-report" TargetMode="External"/><Relationship Id="rId43" Type="http://schemas.openxmlformats.org/officeDocument/2006/relationships/hyperlink" Target="http://english.scio.gov.cn/m/in-depth/2024-03/07/content_117044471.htm"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doi.org/10.2139/ssrn.3736171" TargetMode="External"/><Relationship Id="rId25" Type="http://schemas.openxmlformats.org/officeDocument/2006/relationships/hyperlink" Target="https://www.hkma.gov.hk/media/eng/publication-and-research/annual-report/2020/12_Economic_and_Financial_Environment.pdf" TargetMode="External"/><Relationship Id="rId33" Type="http://schemas.openxmlformats.org/officeDocument/2006/relationships/hyperlink" Target="https://www.weforum.org/agenda/2023/02/us-economy-covid19-inflation/" TargetMode="External"/><Relationship Id="rId38" Type="http://schemas.openxmlformats.org/officeDocument/2006/relationships/hyperlink" Target="https://www.gov.cn/gongbao/content/2017/content_5213199.htm" TargetMode="External"/><Relationship Id="rId46" Type="http://schemas.openxmlformats.org/officeDocument/2006/relationships/theme" Target="theme/theme1.xml"/><Relationship Id="rId20" Type="http://schemas.openxmlformats.org/officeDocument/2006/relationships/hyperlink" Target="https://www.nasdaq.com/articles/what-is-gdp-and-what-can-investors-learn-from-it-2021-08-23" TargetMode="External"/><Relationship Id="rId41" Type="http://schemas.openxmlformats.org/officeDocument/2006/relationships/hyperlink" Target="https://data.worldbank.org/indicator/NY.GDP.PCAP.CD"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Hong Kong SAR, China</c:v>
                </c:pt>
              </c:strCache>
            </c:strRef>
          </c:tx>
          <c:spPr>
            <a:ln w="28575" cap="rnd">
              <a:solidFill>
                <a:schemeClr val="accent1"/>
              </a:solidFill>
              <a:round/>
            </a:ln>
            <a:effectLst/>
          </c:spPr>
          <c:marker>
            <c:symbol val="none"/>
          </c:marker>
          <c:cat>
            <c:numRef>
              <c:f>Sheet1!$A$2:$A$24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Sheet1!$B$2:$B$24</c:f>
              <c:numCache>
                <c:formatCode>General</c:formatCode>
                <c:ptCount val="23"/>
                <c:pt idx="0">
                  <c:v>6665</c:v>
                </c:pt>
                <c:pt idx="1">
                  <c:v>6714.3</c:v>
                </c:pt>
                <c:pt idx="2">
                  <c:v>6744.1</c:v>
                </c:pt>
                <c:pt idx="3">
                  <c:v>6730.8</c:v>
                </c:pt>
                <c:pt idx="4">
                  <c:v>6783.5</c:v>
                </c:pt>
                <c:pt idx="5">
                  <c:v>6813.2</c:v>
                </c:pt>
                <c:pt idx="6">
                  <c:v>6857.1</c:v>
                </c:pt>
                <c:pt idx="7">
                  <c:v>6916.3</c:v>
                </c:pt>
                <c:pt idx="8">
                  <c:v>6957.8</c:v>
                </c:pt>
                <c:pt idx="9">
                  <c:v>6972.8</c:v>
                </c:pt>
                <c:pt idx="10">
                  <c:v>7024.2</c:v>
                </c:pt>
                <c:pt idx="11">
                  <c:v>7071.6</c:v>
                </c:pt>
                <c:pt idx="12">
                  <c:v>7150.1</c:v>
                </c:pt>
                <c:pt idx="13">
                  <c:v>7178.9</c:v>
                </c:pt>
                <c:pt idx="14">
                  <c:v>7229.5</c:v>
                </c:pt>
                <c:pt idx="15">
                  <c:v>7291.3</c:v>
                </c:pt>
                <c:pt idx="16">
                  <c:v>7336.6</c:v>
                </c:pt>
                <c:pt idx="17">
                  <c:v>7393.2</c:v>
                </c:pt>
                <c:pt idx="18">
                  <c:v>7452.6</c:v>
                </c:pt>
                <c:pt idx="19">
                  <c:v>7507.9</c:v>
                </c:pt>
                <c:pt idx="20">
                  <c:v>7481</c:v>
                </c:pt>
                <c:pt idx="21">
                  <c:v>7413.1</c:v>
                </c:pt>
                <c:pt idx="22">
                  <c:v>7346.1</c:v>
                </c:pt>
              </c:numCache>
            </c:numRef>
          </c:val>
          <c:smooth val="0"/>
          <c:extLst>
            <c:ext xmlns:c16="http://schemas.microsoft.com/office/drawing/2014/chart" uri="{C3380CC4-5D6E-409C-BE32-E72D297353CC}">
              <c16:uniqueId val="{00000000-D435-4270-81DA-F45FC84443F4}"/>
            </c:ext>
          </c:extLst>
        </c:ser>
        <c:ser>
          <c:idx val="1"/>
          <c:order val="1"/>
          <c:tx>
            <c:strRef>
              <c:f>Sheet1!$C$1</c:f>
              <c:strCache>
                <c:ptCount val="1"/>
                <c:pt idx="0">
                  <c:v>United Kingdom</c:v>
                </c:pt>
              </c:strCache>
            </c:strRef>
          </c:tx>
          <c:spPr>
            <a:ln w="28575" cap="rnd">
              <a:solidFill>
                <a:schemeClr val="accent2"/>
              </a:solidFill>
              <a:round/>
            </a:ln>
            <a:effectLst/>
          </c:spPr>
          <c:marker>
            <c:symbol val="none"/>
          </c:marker>
          <c:cat>
            <c:numRef>
              <c:f>Sheet1!$A$2:$A$24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Sheet1!$C$2:$C$24</c:f>
              <c:numCache>
                <c:formatCode>General</c:formatCode>
                <c:ptCount val="23"/>
                <c:pt idx="0">
                  <c:v>58892.514000000003</c:v>
                </c:pt>
                <c:pt idx="1">
                  <c:v>59119.673000000003</c:v>
                </c:pt>
                <c:pt idx="2">
                  <c:v>59370.478999999999</c:v>
                </c:pt>
                <c:pt idx="3">
                  <c:v>59647.576999999997</c:v>
                </c:pt>
                <c:pt idx="4">
                  <c:v>59987.904999999999</c:v>
                </c:pt>
                <c:pt idx="5">
                  <c:v>60401.205999999998</c:v>
                </c:pt>
                <c:pt idx="6">
                  <c:v>60846.82</c:v>
                </c:pt>
                <c:pt idx="7">
                  <c:v>61322.463000000003</c:v>
                </c:pt>
                <c:pt idx="8">
                  <c:v>61806.995000000003</c:v>
                </c:pt>
                <c:pt idx="9">
                  <c:v>62276.27</c:v>
                </c:pt>
                <c:pt idx="10">
                  <c:v>62766.364999999998</c:v>
                </c:pt>
                <c:pt idx="11">
                  <c:v>63258.81</c:v>
                </c:pt>
                <c:pt idx="12">
                  <c:v>63700.214999999997</c:v>
                </c:pt>
                <c:pt idx="13">
                  <c:v>64128.273000000001</c:v>
                </c:pt>
                <c:pt idx="14">
                  <c:v>64602.298000000003</c:v>
                </c:pt>
                <c:pt idx="15">
                  <c:v>65116.218999999997</c:v>
                </c:pt>
                <c:pt idx="16">
                  <c:v>65611.592999999993</c:v>
                </c:pt>
                <c:pt idx="17">
                  <c:v>66058.858999999997</c:v>
                </c:pt>
                <c:pt idx="18">
                  <c:v>66460.343999999997</c:v>
                </c:pt>
                <c:pt idx="19">
                  <c:v>66836.327000000005</c:v>
                </c:pt>
                <c:pt idx="20">
                  <c:v>67081.233999999997</c:v>
                </c:pt>
                <c:pt idx="21">
                  <c:v>67026.292000000001</c:v>
                </c:pt>
                <c:pt idx="22">
                  <c:v>66971.395000000004</c:v>
                </c:pt>
              </c:numCache>
            </c:numRef>
          </c:val>
          <c:smooth val="0"/>
          <c:extLst>
            <c:ext xmlns:c16="http://schemas.microsoft.com/office/drawing/2014/chart" uri="{C3380CC4-5D6E-409C-BE32-E72D297353CC}">
              <c16:uniqueId val="{00000001-D435-4270-81DA-F45FC84443F4}"/>
            </c:ext>
          </c:extLst>
        </c:ser>
        <c:ser>
          <c:idx val="2"/>
          <c:order val="2"/>
          <c:tx>
            <c:strRef>
              <c:f>Sheet1!$D$1</c:f>
              <c:strCache>
                <c:ptCount val="1"/>
                <c:pt idx="0">
                  <c:v>United States</c:v>
                </c:pt>
              </c:strCache>
            </c:strRef>
          </c:tx>
          <c:spPr>
            <a:ln w="28575" cap="rnd">
              <a:solidFill>
                <a:schemeClr val="accent3"/>
              </a:solidFill>
              <a:round/>
            </a:ln>
            <a:effectLst/>
          </c:spPr>
          <c:marker>
            <c:symbol val="none"/>
          </c:marker>
          <c:cat>
            <c:numRef>
              <c:f>Sheet1!$A$2:$A$24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Sheet1!$D$2:$D$24</c:f>
              <c:numCache>
                <c:formatCode>General</c:formatCode>
                <c:ptCount val="23"/>
                <c:pt idx="0">
                  <c:v>282162.41100000002</c:v>
                </c:pt>
                <c:pt idx="1">
                  <c:v>284968.95500000002</c:v>
                </c:pt>
                <c:pt idx="2">
                  <c:v>287625.19300000003</c:v>
                </c:pt>
                <c:pt idx="3">
                  <c:v>290107.93300000002</c:v>
                </c:pt>
                <c:pt idx="4">
                  <c:v>292805.29800000001</c:v>
                </c:pt>
                <c:pt idx="5">
                  <c:v>295516.59899999999</c:v>
                </c:pt>
                <c:pt idx="6">
                  <c:v>298379.91200000001</c:v>
                </c:pt>
                <c:pt idx="7">
                  <c:v>301231.20699999999</c:v>
                </c:pt>
                <c:pt idx="8">
                  <c:v>304093.96600000001</c:v>
                </c:pt>
                <c:pt idx="9">
                  <c:v>306771.52899999998</c:v>
                </c:pt>
                <c:pt idx="10">
                  <c:v>309327.14299999998</c:v>
                </c:pt>
                <c:pt idx="11">
                  <c:v>311583.48100000003</c:v>
                </c:pt>
                <c:pt idx="12">
                  <c:v>313877.66200000001</c:v>
                </c:pt>
                <c:pt idx="13">
                  <c:v>316059.94699999999</c:v>
                </c:pt>
                <c:pt idx="14">
                  <c:v>318386.32900000003</c:v>
                </c:pt>
                <c:pt idx="15">
                  <c:v>320738.99400000001</c:v>
                </c:pt>
                <c:pt idx="16">
                  <c:v>323071.755</c:v>
                </c:pt>
                <c:pt idx="17">
                  <c:v>325122.12800000003</c:v>
                </c:pt>
                <c:pt idx="18">
                  <c:v>326838.19900000002</c:v>
                </c:pt>
                <c:pt idx="19">
                  <c:v>328329.95299999998</c:v>
                </c:pt>
                <c:pt idx="20">
                  <c:v>331511.51199999999</c:v>
                </c:pt>
                <c:pt idx="21">
                  <c:v>332031.554</c:v>
                </c:pt>
                <c:pt idx="22">
                  <c:v>333287.55699999997</c:v>
                </c:pt>
              </c:numCache>
            </c:numRef>
          </c:val>
          <c:smooth val="0"/>
          <c:extLst>
            <c:ext xmlns:c16="http://schemas.microsoft.com/office/drawing/2014/chart" uri="{C3380CC4-5D6E-409C-BE32-E72D297353CC}">
              <c16:uniqueId val="{00000002-D435-4270-81DA-F45FC84443F4}"/>
            </c:ext>
          </c:extLst>
        </c:ser>
        <c:ser>
          <c:idx val="3"/>
          <c:order val="3"/>
          <c:tx>
            <c:strRef>
              <c:f>Sheet1!$E$1</c:f>
              <c:strCache>
                <c:ptCount val="1"/>
                <c:pt idx="0">
                  <c:v>China</c:v>
                </c:pt>
              </c:strCache>
            </c:strRef>
          </c:tx>
          <c:spPr>
            <a:ln w="28575" cap="rnd">
              <a:solidFill>
                <a:schemeClr val="accent4"/>
              </a:solidFill>
              <a:round/>
            </a:ln>
            <a:effectLst/>
          </c:spPr>
          <c:marker>
            <c:symbol val="none"/>
          </c:marker>
          <c:cat>
            <c:numRef>
              <c:f>Sheet1!$A$2:$A$24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Sheet1!$E$2:$E$24</c:f>
              <c:numCache>
                <c:formatCode>General</c:formatCode>
                <c:ptCount val="23"/>
                <c:pt idx="0">
                  <c:v>1262645</c:v>
                </c:pt>
                <c:pt idx="1">
                  <c:v>1271850</c:v>
                </c:pt>
                <c:pt idx="2">
                  <c:v>1280400</c:v>
                </c:pt>
                <c:pt idx="3">
                  <c:v>1288400</c:v>
                </c:pt>
                <c:pt idx="4">
                  <c:v>1296075</c:v>
                </c:pt>
                <c:pt idx="5">
                  <c:v>1303720</c:v>
                </c:pt>
                <c:pt idx="6">
                  <c:v>1311020</c:v>
                </c:pt>
                <c:pt idx="7">
                  <c:v>1317885</c:v>
                </c:pt>
                <c:pt idx="8">
                  <c:v>1324655</c:v>
                </c:pt>
                <c:pt idx="9">
                  <c:v>1331260</c:v>
                </c:pt>
                <c:pt idx="10">
                  <c:v>1337705</c:v>
                </c:pt>
                <c:pt idx="11">
                  <c:v>1345035</c:v>
                </c:pt>
                <c:pt idx="12">
                  <c:v>1354190</c:v>
                </c:pt>
                <c:pt idx="13">
                  <c:v>1363240</c:v>
                </c:pt>
                <c:pt idx="14">
                  <c:v>1371860</c:v>
                </c:pt>
                <c:pt idx="15">
                  <c:v>1379860</c:v>
                </c:pt>
                <c:pt idx="16">
                  <c:v>1387790</c:v>
                </c:pt>
                <c:pt idx="17">
                  <c:v>1396215</c:v>
                </c:pt>
                <c:pt idx="18">
                  <c:v>1402760</c:v>
                </c:pt>
                <c:pt idx="19">
                  <c:v>1407745</c:v>
                </c:pt>
                <c:pt idx="20">
                  <c:v>1411100</c:v>
                </c:pt>
                <c:pt idx="21">
                  <c:v>1412360</c:v>
                </c:pt>
                <c:pt idx="22">
                  <c:v>1412175</c:v>
                </c:pt>
              </c:numCache>
            </c:numRef>
          </c:val>
          <c:smooth val="0"/>
          <c:extLst>
            <c:ext xmlns:c16="http://schemas.microsoft.com/office/drawing/2014/chart" uri="{C3380CC4-5D6E-409C-BE32-E72D297353CC}">
              <c16:uniqueId val="{00000016-D435-4270-81DA-F45FC84443F4}"/>
            </c:ext>
          </c:extLst>
        </c:ser>
        <c:ser>
          <c:idx val="4"/>
          <c:order val="4"/>
          <c:tx>
            <c:strRef>
              <c:f>Sheet1!$F$1</c:f>
              <c:strCache>
                <c:ptCount val="1"/>
                <c:pt idx="0">
                  <c:v>India</c:v>
                </c:pt>
              </c:strCache>
            </c:strRef>
          </c:tx>
          <c:spPr>
            <a:ln w="28575" cap="rnd">
              <a:solidFill>
                <a:schemeClr val="accent5"/>
              </a:solidFill>
              <a:round/>
            </a:ln>
            <a:effectLst/>
          </c:spPr>
          <c:marker>
            <c:symbol val="none"/>
          </c:marker>
          <c:cat>
            <c:numRef>
              <c:f>Sheet1!$A$2:$A$24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Sheet1!$F$2:$F$24</c:f>
              <c:numCache>
                <c:formatCode>General</c:formatCode>
                <c:ptCount val="23"/>
                <c:pt idx="0">
                  <c:v>1059633.675</c:v>
                </c:pt>
                <c:pt idx="1">
                  <c:v>1078970.9069999999</c:v>
                </c:pt>
                <c:pt idx="2">
                  <c:v>1098313.0390000001</c:v>
                </c:pt>
                <c:pt idx="3">
                  <c:v>1117415.1229999999</c:v>
                </c:pt>
                <c:pt idx="4">
                  <c:v>1136264.5830000001</c:v>
                </c:pt>
                <c:pt idx="5">
                  <c:v>1154638.713</c:v>
                </c:pt>
                <c:pt idx="6">
                  <c:v>1172373.7879999999</c:v>
                </c:pt>
                <c:pt idx="7">
                  <c:v>1189691.8089999999</c:v>
                </c:pt>
                <c:pt idx="8">
                  <c:v>1206734.8060000001</c:v>
                </c:pt>
                <c:pt idx="9">
                  <c:v>1223640.1599999999</c:v>
                </c:pt>
                <c:pt idx="10">
                  <c:v>1240613.6200000001</c:v>
                </c:pt>
                <c:pt idx="11">
                  <c:v>1257621.1910000001</c:v>
                </c:pt>
                <c:pt idx="12">
                  <c:v>1274487.2150000001</c:v>
                </c:pt>
                <c:pt idx="13">
                  <c:v>1291132.0630000001</c:v>
                </c:pt>
                <c:pt idx="14">
                  <c:v>1307246.5090000001</c:v>
                </c:pt>
                <c:pt idx="15">
                  <c:v>1322866.5049999999</c:v>
                </c:pt>
                <c:pt idx="16">
                  <c:v>1338636.3400000001</c:v>
                </c:pt>
                <c:pt idx="17">
                  <c:v>1354195.68</c:v>
                </c:pt>
                <c:pt idx="18">
                  <c:v>1369003.3060000001</c:v>
                </c:pt>
                <c:pt idx="19">
                  <c:v>1383112.05</c:v>
                </c:pt>
                <c:pt idx="20">
                  <c:v>1396387.1270000001</c:v>
                </c:pt>
                <c:pt idx="21">
                  <c:v>1407563.8419999999</c:v>
                </c:pt>
                <c:pt idx="22">
                  <c:v>1417173.173</c:v>
                </c:pt>
              </c:numCache>
            </c:numRef>
          </c:val>
          <c:smooth val="0"/>
          <c:extLst>
            <c:ext xmlns:c16="http://schemas.microsoft.com/office/drawing/2014/chart" uri="{C3380CC4-5D6E-409C-BE32-E72D297353CC}">
              <c16:uniqueId val="{00000017-D435-4270-81DA-F45FC84443F4}"/>
            </c:ext>
          </c:extLst>
        </c:ser>
        <c:dLbls>
          <c:showLegendKey val="0"/>
          <c:showVal val="0"/>
          <c:showCatName val="0"/>
          <c:showSerName val="0"/>
          <c:showPercent val="0"/>
          <c:showBubbleSize val="0"/>
        </c:dLbls>
        <c:smooth val="0"/>
        <c:axId val="465704016"/>
        <c:axId val="465700776"/>
      </c:lineChart>
      <c:catAx>
        <c:axId val="465704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65700776"/>
        <c:crosses val="autoZero"/>
        <c:auto val="1"/>
        <c:lblAlgn val="ctr"/>
        <c:lblOffset val="100"/>
        <c:noMultiLvlLbl val="0"/>
      </c:catAx>
      <c:valAx>
        <c:axId val="465700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65704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工作表1!$B$1</c:f>
              <c:strCache>
                <c:ptCount val="1"/>
                <c:pt idx="0">
                  <c:v>Hong Kong</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工作表1!$A$2:$A$24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工作表1!$B$2:$B$24</c:f>
              <c:numCache>
                <c:formatCode>General</c:formatCode>
                <c:ptCount val="23"/>
                <c:pt idx="0">
                  <c:v>25756.77</c:v>
                </c:pt>
                <c:pt idx="1">
                  <c:v>25230.38</c:v>
                </c:pt>
                <c:pt idx="2">
                  <c:v>24665.84</c:v>
                </c:pt>
                <c:pt idx="3">
                  <c:v>23977.17</c:v>
                </c:pt>
                <c:pt idx="4">
                  <c:v>24928.1</c:v>
                </c:pt>
                <c:pt idx="5">
                  <c:v>26649.64</c:v>
                </c:pt>
                <c:pt idx="6">
                  <c:v>28224.1</c:v>
                </c:pt>
                <c:pt idx="7">
                  <c:v>30593.95</c:v>
                </c:pt>
                <c:pt idx="8">
                  <c:v>31515.53</c:v>
                </c:pt>
                <c:pt idx="9">
                  <c:v>30697.54</c:v>
                </c:pt>
                <c:pt idx="10">
                  <c:v>32550.14</c:v>
                </c:pt>
                <c:pt idx="11">
                  <c:v>35142.49</c:v>
                </c:pt>
                <c:pt idx="12">
                  <c:v>36730.800000000003</c:v>
                </c:pt>
                <c:pt idx="13">
                  <c:v>38403.78</c:v>
                </c:pt>
                <c:pt idx="14">
                  <c:v>40315.370000000003</c:v>
                </c:pt>
                <c:pt idx="15">
                  <c:v>42432.160000000003</c:v>
                </c:pt>
                <c:pt idx="16">
                  <c:v>43734.2</c:v>
                </c:pt>
                <c:pt idx="17">
                  <c:v>46160.43</c:v>
                </c:pt>
                <c:pt idx="18">
                  <c:v>48537.57</c:v>
                </c:pt>
                <c:pt idx="19">
                  <c:v>48359</c:v>
                </c:pt>
                <c:pt idx="20">
                  <c:v>46109.23</c:v>
                </c:pt>
                <c:pt idx="21">
                  <c:v>49764.79</c:v>
                </c:pt>
                <c:pt idx="22">
                  <c:v>48983.62</c:v>
                </c:pt>
              </c:numCache>
            </c:numRef>
          </c:val>
          <c:smooth val="0"/>
          <c:extLst>
            <c:ext xmlns:c16="http://schemas.microsoft.com/office/drawing/2014/chart" uri="{C3380CC4-5D6E-409C-BE32-E72D297353CC}">
              <c16:uniqueId val="{00000000-4BEF-4217-8B46-E8FBEA47FB09}"/>
            </c:ext>
          </c:extLst>
        </c:ser>
        <c:ser>
          <c:idx val="1"/>
          <c:order val="1"/>
          <c:tx>
            <c:strRef>
              <c:f>工作表1!$C$1</c:f>
              <c:strCache>
                <c:ptCount val="1"/>
                <c:pt idx="0">
                  <c:v>United Kingdom</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工作表1!$A$2:$A$24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工作表1!$C$2:$C$24</c:f>
              <c:numCache>
                <c:formatCode>General</c:formatCode>
                <c:ptCount val="23"/>
                <c:pt idx="0">
                  <c:v>28280.93</c:v>
                </c:pt>
                <c:pt idx="1">
                  <c:v>27906.57</c:v>
                </c:pt>
                <c:pt idx="2">
                  <c:v>30077.74</c:v>
                </c:pt>
                <c:pt idx="3">
                  <c:v>34442.69</c:v>
                </c:pt>
                <c:pt idx="4">
                  <c:v>40366.89</c:v>
                </c:pt>
                <c:pt idx="5">
                  <c:v>42104.79</c:v>
                </c:pt>
                <c:pt idx="6">
                  <c:v>44512.46</c:v>
                </c:pt>
                <c:pt idx="7">
                  <c:v>50397.69</c:v>
                </c:pt>
                <c:pt idx="8">
                  <c:v>47396.12</c:v>
                </c:pt>
                <c:pt idx="9">
                  <c:v>38744.129999999997</c:v>
                </c:pt>
                <c:pt idx="10">
                  <c:v>39598.959999999999</c:v>
                </c:pt>
                <c:pt idx="11">
                  <c:v>42109.64</c:v>
                </c:pt>
                <c:pt idx="12">
                  <c:v>42497.34</c:v>
                </c:pt>
                <c:pt idx="13">
                  <c:v>43426.3</c:v>
                </c:pt>
                <c:pt idx="14">
                  <c:v>47439.62</c:v>
                </c:pt>
                <c:pt idx="15">
                  <c:v>44964.39</c:v>
                </c:pt>
                <c:pt idx="16">
                  <c:v>40985.24</c:v>
                </c:pt>
                <c:pt idx="17">
                  <c:v>40572.120000000003</c:v>
                </c:pt>
                <c:pt idx="18">
                  <c:v>43203.81</c:v>
                </c:pt>
                <c:pt idx="19">
                  <c:v>42662.54</c:v>
                </c:pt>
                <c:pt idx="20">
                  <c:v>40217.01</c:v>
                </c:pt>
                <c:pt idx="21">
                  <c:v>46869.760000000002</c:v>
                </c:pt>
                <c:pt idx="22">
                  <c:v>46125.26</c:v>
                </c:pt>
              </c:numCache>
            </c:numRef>
          </c:val>
          <c:smooth val="0"/>
          <c:extLst>
            <c:ext xmlns:c16="http://schemas.microsoft.com/office/drawing/2014/chart" uri="{C3380CC4-5D6E-409C-BE32-E72D297353CC}">
              <c16:uniqueId val="{00000001-4BEF-4217-8B46-E8FBEA47FB09}"/>
            </c:ext>
          </c:extLst>
        </c:ser>
        <c:ser>
          <c:idx val="2"/>
          <c:order val="2"/>
          <c:tx>
            <c:strRef>
              <c:f>工作表1!$D$1</c:f>
              <c:strCache>
                <c:ptCount val="1"/>
                <c:pt idx="0">
                  <c:v>United States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工作表1!$A$2:$A$24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工作表1!$D$2:$D$24</c:f>
              <c:numCache>
                <c:formatCode>General</c:formatCode>
                <c:ptCount val="23"/>
                <c:pt idx="0">
                  <c:v>36329.96</c:v>
                </c:pt>
                <c:pt idx="1">
                  <c:v>37133.620000000003</c:v>
                </c:pt>
                <c:pt idx="2">
                  <c:v>37997.760000000002</c:v>
                </c:pt>
                <c:pt idx="3">
                  <c:v>39490.269999999997</c:v>
                </c:pt>
                <c:pt idx="4">
                  <c:v>41724.629999999997</c:v>
                </c:pt>
                <c:pt idx="5">
                  <c:v>44123.41</c:v>
                </c:pt>
                <c:pt idx="6">
                  <c:v>46302</c:v>
                </c:pt>
                <c:pt idx="7">
                  <c:v>48050.22</c:v>
                </c:pt>
                <c:pt idx="8">
                  <c:v>48570.05</c:v>
                </c:pt>
                <c:pt idx="9">
                  <c:v>47194.94</c:v>
                </c:pt>
                <c:pt idx="10">
                  <c:v>48650.64</c:v>
                </c:pt>
                <c:pt idx="11">
                  <c:v>50065.97</c:v>
                </c:pt>
                <c:pt idx="12">
                  <c:v>51784.42</c:v>
                </c:pt>
                <c:pt idx="13">
                  <c:v>53291.13</c:v>
                </c:pt>
                <c:pt idx="14">
                  <c:v>55123.85</c:v>
                </c:pt>
                <c:pt idx="15">
                  <c:v>56762.73</c:v>
                </c:pt>
                <c:pt idx="16">
                  <c:v>57866.74</c:v>
                </c:pt>
                <c:pt idx="17">
                  <c:v>59907.75</c:v>
                </c:pt>
                <c:pt idx="18">
                  <c:v>62823.31</c:v>
                </c:pt>
                <c:pt idx="19">
                  <c:v>65120.39</c:v>
                </c:pt>
                <c:pt idx="20">
                  <c:v>63528.63</c:v>
                </c:pt>
                <c:pt idx="21">
                  <c:v>70219.47</c:v>
                </c:pt>
                <c:pt idx="22">
                  <c:v>76329.58</c:v>
                </c:pt>
              </c:numCache>
            </c:numRef>
          </c:val>
          <c:smooth val="0"/>
          <c:extLst>
            <c:ext xmlns:c16="http://schemas.microsoft.com/office/drawing/2014/chart" uri="{C3380CC4-5D6E-409C-BE32-E72D297353CC}">
              <c16:uniqueId val="{00000002-4BEF-4217-8B46-E8FBEA47FB09}"/>
            </c:ext>
          </c:extLst>
        </c:ser>
        <c:ser>
          <c:idx val="3"/>
          <c:order val="3"/>
          <c:tx>
            <c:strRef>
              <c:f>工作表1!$E$1</c:f>
              <c:strCache>
                <c:ptCount val="1"/>
                <c:pt idx="0">
                  <c:v>India</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工作表1!$A$2:$A$24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工作表1!$E$2:$E$24</c:f>
              <c:numCache>
                <c:formatCode>General</c:formatCode>
                <c:ptCount val="23"/>
                <c:pt idx="0">
                  <c:v>442.03</c:v>
                </c:pt>
                <c:pt idx="1">
                  <c:v>449.91</c:v>
                </c:pt>
                <c:pt idx="2">
                  <c:v>468.84</c:v>
                </c:pt>
                <c:pt idx="3">
                  <c:v>543.84</c:v>
                </c:pt>
                <c:pt idx="4">
                  <c:v>624.11</c:v>
                </c:pt>
                <c:pt idx="5">
                  <c:v>710.51</c:v>
                </c:pt>
                <c:pt idx="6">
                  <c:v>802.01</c:v>
                </c:pt>
                <c:pt idx="7">
                  <c:v>1022.73</c:v>
                </c:pt>
                <c:pt idx="8">
                  <c:v>993.5</c:v>
                </c:pt>
                <c:pt idx="9">
                  <c:v>1096.6400000000001</c:v>
                </c:pt>
                <c:pt idx="10">
                  <c:v>1350.63</c:v>
                </c:pt>
                <c:pt idx="11">
                  <c:v>1449.6</c:v>
                </c:pt>
                <c:pt idx="12">
                  <c:v>1434.02</c:v>
                </c:pt>
                <c:pt idx="13">
                  <c:v>1438.06</c:v>
                </c:pt>
                <c:pt idx="14">
                  <c:v>1559.86</c:v>
                </c:pt>
                <c:pt idx="15">
                  <c:v>1590.17</c:v>
                </c:pt>
                <c:pt idx="16">
                  <c:v>1714.28</c:v>
                </c:pt>
                <c:pt idx="17">
                  <c:v>1957.97</c:v>
                </c:pt>
                <c:pt idx="18">
                  <c:v>1974.38</c:v>
                </c:pt>
                <c:pt idx="19">
                  <c:v>2050.16</c:v>
                </c:pt>
                <c:pt idx="20">
                  <c:v>1913.22</c:v>
                </c:pt>
                <c:pt idx="21">
                  <c:v>2238.13</c:v>
                </c:pt>
                <c:pt idx="22">
                  <c:v>2410.89</c:v>
                </c:pt>
              </c:numCache>
            </c:numRef>
          </c:val>
          <c:smooth val="0"/>
          <c:extLst>
            <c:ext xmlns:c16="http://schemas.microsoft.com/office/drawing/2014/chart" uri="{C3380CC4-5D6E-409C-BE32-E72D297353CC}">
              <c16:uniqueId val="{00000003-4BEF-4217-8B46-E8FBEA47FB09}"/>
            </c:ext>
          </c:extLst>
        </c:ser>
        <c:ser>
          <c:idx val="4"/>
          <c:order val="4"/>
          <c:tx>
            <c:strRef>
              <c:f>工作表1!$F$1</c:f>
              <c:strCache>
                <c:ptCount val="1"/>
                <c:pt idx="0">
                  <c:v>China</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f>工作表1!$A$2:$A$24</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cat>
          <c:val>
            <c:numRef>
              <c:f>工作表1!$F$2:$F$24</c:f>
              <c:numCache>
                <c:formatCode>General</c:formatCode>
                <c:ptCount val="23"/>
                <c:pt idx="0">
                  <c:v>959.36</c:v>
                </c:pt>
                <c:pt idx="1">
                  <c:v>1053.1099999999999</c:v>
                </c:pt>
                <c:pt idx="2">
                  <c:v>1148.51</c:v>
                </c:pt>
                <c:pt idx="3">
                  <c:v>1288.6400000000001</c:v>
                </c:pt>
                <c:pt idx="4">
                  <c:v>1508.67</c:v>
                </c:pt>
                <c:pt idx="5">
                  <c:v>1753.41</c:v>
                </c:pt>
                <c:pt idx="6">
                  <c:v>2099.2199999999998</c:v>
                </c:pt>
                <c:pt idx="7">
                  <c:v>2693.96</c:v>
                </c:pt>
                <c:pt idx="8">
                  <c:v>3468.33</c:v>
                </c:pt>
                <c:pt idx="9">
                  <c:v>3832.23</c:v>
                </c:pt>
                <c:pt idx="10">
                  <c:v>4550.47</c:v>
                </c:pt>
                <c:pt idx="11">
                  <c:v>5614.39</c:v>
                </c:pt>
                <c:pt idx="12">
                  <c:v>6300.58</c:v>
                </c:pt>
                <c:pt idx="13">
                  <c:v>7020.39</c:v>
                </c:pt>
                <c:pt idx="14">
                  <c:v>7636.07</c:v>
                </c:pt>
                <c:pt idx="15">
                  <c:v>8016.45</c:v>
                </c:pt>
                <c:pt idx="16">
                  <c:v>8094.39</c:v>
                </c:pt>
                <c:pt idx="17">
                  <c:v>8817.0499999999993</c:v>
                </c:pt>
                <c:pt idx="18">
                  <c:v>9905.41</c:v>
                </c:pt>
                <c:pt idx="19">
                  <c:v>10143.86</c:v>
                </c:pt>
                <c:pt idx="20">
                  <c:v>10408.719999999999</c:v>
                </c:pt>
                <c:pt idx="21">
                  <c:v>12617.51</c:v>
                </c:pt>
                <c:pt idx="22">
                  <c:v>12720.22</c:v>
                </c:pt>
              </c:numCache>
            </c:numRef>
          </c:val>
          <c:smooth val="0"/>
          <c:extLst>
            <c:ext xmlns:c16="http://schemas.microsoft.com/office/drawing/2014/chart" uri="{C3380CC4-5D6E-409C-BE32-E72D297353CC}">
              <c16:uniqueId val="{00000004-4BEF-4217-8B46-E8FBEA47FB09}"/>
            </c:ext>
          </c:extLst>
        </c:ser>
        <c:dLbls>
          <c:showLegendKey val="0"/>
          <c:showVal val="0"/>
          <c:showCatName val="0"/>
          <c:showSerName val="0"/>
          <c:showPercent val="0"/>
          <c:showBubbleSize val="0"/>
        </c:dLbls>
        <c:marker val="1"/>
        <c:smooth val="0"/>
        <c:axId val="52988800"/>
        <c:axId val="52992400"/>
      </c:lineChart>
      <c:catAx>
        <c:axId val="52988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52992400"/>
        <c:crosses val="autoZero"/>
        <c:auto val="1"/>
        <c:lblAlgn val="ctr"/>
        <c:lblOffset val="100"/>
        <c:noMultiLvlLbl val="0"/>
      </c:catAx>
      <c:valAx>
        <c:axId val="52992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52988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工作表1!$B$1</c:f>
              <c:strCache>
                <c:ptCount val="1"/>
                <c:pt idx="0">
                  <c:v>Hong Kong</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工作表1!$A$2:$A$23</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cat>
          <c:val>
            <c:numRef>
              <c:f>工作表1!$B$2:$B$23</c:f>
              <c:numCache>
                <c:formatCode>0.00</c:formatCode>
                <c:ptCount val="22"/>
                <c:pt idx="0">
                  <c:v>-2.0436956963159565</c:v>
                </c:pt>
                <c:pt idx="1">
                  <c:v>-2.2375406157180384</c:v>
                </c:pt>
                <c:pt idx="2">
                  <c:v>-2.7919989751007948</c:v>
                </c:pt>
                <c:pt idx="3">
                  <c:v>3.9659809727336479</c:v>
                </c:pt>
                <c:pt idx="4">
                  <c:v>6.9060217184623021</c:v>
                </c:pt>
                <c:pt idx="5">
                  <c:v>5.9079972562481116</c:v>
                </c:pt>
                <c:pt idx="6">
                  <c:v>8.3965476312796596</c:v>
                </c:pt>
                <c:pt idx="7">
                  <c:v>3.0122949145174065</c:v>
                </c:pt>
                <c:pt idx="8">
                  <c:v>-2.5955140211825665</c:v>
                </c:pt>
                <c:pt idx="9">
                  <c:v>6.0350112745190607</c:v>
                </c:pt>
                <c:pt idx="10">
                  <c:v>7.964174654855551</c:v>
                </c:pt>
                <c:pt idx="11">
                  <c:v>4.5196285180703049</c:v>
                </c:pt>
                <c:pt idx="12">
                  <c:v>4.5547061321833331</c:v>
                </c:pt>
                <c:pt idx="13">
                  <c:v>4.977608974949872</c:v>
                </c:pt>
                <c:pt idx="14">
                  <c:v>5.2505781293834106</c:v>
                </c:pt>
                <c:pt idx="15">
                  <c:v>3.0685216119094418</c:v>
                </c:pt>
                <c:pt idx="16">
                  <c:v>5.5476720735717207</c:v>
                </c:pt>
                <c:pt idx="17">
                  <c:v>5.1497353902465797</c:v>
                </c:pt>
                <c:pt idx="18">
                  <c:v>-0.36790057681091104</c:v>
                </c:pt>
                <c:pt idx="19">
                  <c:v>-4.6522260592650726</c:v>
                </c:pt>
                <c:pt idx="20">
                  <c:v>7.9280439079117082</c:v>
                </c:pt>
                <c:pt idx="21">
                  <c:v>-1.5697242970381233</c:v>
                </c:pt>
              </c:numCache>
            </c:numRef>
          </c:val>
          <c:smooth val="0"/>
          <c:extLst>
            <c:ext xmlns:c16="http://schemas.microsoft.com/office/drawing/2014/chart" uri="{C3380CC4-5D6E-409C-BE32-E72D297353CC}">
              <c16:uniqueId val="{00000000-9A02-4E31-A3FD-3E049501AC0D}"/>
            </c:ext>
          </c:extLst>
        </c:ser>
        <c:ser>
          <c:idx val="1"/>
          <c:order val="1"/>
          <c:tx>
            <c:strRef>
              <c:f>工作表1!$C$1</c:f>
              <c:strCache>
                <c:ptCount val="1"/>
                <c:pt idx="0">
                  <c:v>United Kingdom</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工作表1!$A$2:$A$23</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cat>
          <c:val>
            <c:numRef>
              <c:f>工作表1!$C$2:$C$23</c:f>
              <c:numCache>
                <c:formatCode>0.00</c:formatCode>
                <c:ptCount val="22"/>
                <c:pt idx="0">
                  <c:v>-1.3237188451723496</c:v>
                </c:pt>
                <c:pt idx="1">
                  <c:v>7.780139228862601</c:v>
                </c:pt>
                <c:pt idx="2">
                  <c:v>14.512227314951193</c:v>
                </c:pt>
                <c:pt idx="3">
                  <c:v>17.200166421379969</c:v>
                </c:pt>
                <c:pt idx="4">
                  <c:v>4.3052610691584157</c:v>
                </c:pt>
                <c:pt idx="5">
                  <c:v>5.7182805091772178</c:v>
                </c:pt>
                <c:pt idx="6">
                  <c:v>13.221533925557031</c:v>
                </c:pt>
                <c:pt idx="7">
                  <c:v>-5.9557690044920699</c:v>
                </c:pt>
                <c:pt idx="8">
                  <c:v>-18.254637721399988</c:v>
                </c:pt>
                <c:pt idx="9">
                  <c:v>2.2063471292296453</c:v>
                </c:pt>
                <c:pt idx="10">
                  <c:v>6.340267522177351</c:v>
                </c:pt>
                <c:pt idx="11">
                  <c:v>0.92069179408799762</c:v>
                </c:pt>
                <c:pt idx="12">
                  <c:v>2.1859250484854029</c:v>
                </c:pt>
                <c:pt idx="13">
                  <c:v>9.2416807326435819</c:v>
                </c:pt>
                <c:pt idx="14">
                  <c:v>-5.2176429743745905</c:v>
                </c:pt>
                <c:pt idx="15">
                  <c:v>-8.8495585061867885</c:v>
                </c:pt>
                <c:pt idx="16">
                  <c:v>-1.0079726262429971</c:v>
                </c:pt>
                <c:pt idx="17">
                  <c:v>6.4864493154412308</c:v>
                </c:pt>
                <c:pt idx="18">
                  <c:v>-1.2528293222287499</c:v>
                </c:pt>
                <c:pt idx="19">
                  <c:v>-5.7322653550398046</c:v>
                </c:pt>
                <c:pt idx="20">
                  <c:v>16.542129810246955</c:v>
                </c:pt>
                <c:pt idx="21">
                  <c:v>-1.5884442335527211</c:v>
                </c:pt>
              </c:numCache>
            </c:numRef>
          </c:val>
          <c:smooth val="0"/>
          <c:extLst>
            <c:ext xmlns:c16="http://schemas.microsoft.com/office/drawing/2014/chart" uri="{C3380CC4-5D6E-409C-BE32-E72D297353CC}">
              <c16:uniqueId val="{00000001-9A02-4E31-A3FD-3E049501AC0D}"/>
            </c:ext>
          </c:extLst>
        </c:ser>
        <c:ser>
          <c:idx val="2"/>
          <c:order val="2"/>
          <c:tx>
            <c:strRef>
              <c:f>工作表1!$D$1</c:f>
              <c:strCache>
                <c:ptCount val="1"/>
                <c:pt idx="0">
                  <c:v>United States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工作表1!$A$2:$A$23</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cat>
          <c:val>
            <c:numRef>
              <c:f>工作表1!$D$2:$D$23</c:f>
              <c:numCache>
                <c:formatCode>0.00</c:formatCode>
                <c:ptCount val="22"/>
                <c:pt idx="0">
                  <c:v>2.2121136384405693</c:v>
                </c:pt>
                <c:pt idx="1">
                  <c:v>2.3271095034634368</c:v>
                </c:pt>
                <c:pt idx="2">
                  <c:v>3.9278894334823811</c:v>
                </c:pt>
                <c:pt idx="3">
                  <c:v>5.6580013253897752</c:v>
                </c:pt>
                <c:pt idx="4">
                  <c:v>5.749074347693452</c:v>
                </c:pt>
                <c:pt idx="5">
                  <c:v>4.9374923651639717</c:v>
                </c:pt>
                <c:pt idx="6">
                  <c:v>3.7756900349876923</c:v>
                </c:pt>
                <c:pt idx="7">
                  <c:v>1.081847283945842</c:v>
                </c:pt>
                <c:pt idx="8">
                  <c:v>-2.8311891793399444</c:v>
                </c:pt>
                <c:pt idx="9">
                  <c:v>3.0844408320044416</c:v>
                </c:pt>
                <c:pt idx="10">
                  <c:v>2.9091703624042804</c:v>
                </c:pt>
                <c:pt idx="11">
                  <c:v>3.4323713292681579</c:v>
                </c:pt>
                <c:pt idx="12">
                  <c:v>2.9095816849932841</c:v>
                </c:pt>
                <c:pt idx="13">
                  <c:v>3.4390713801715247</c:v>
                </c:pt>
                <c:pt idx="14">
                  <c:v>2.973086966893649</c:v>
                </c:pt>
                <c:pt idx="15">
                  <c:v>1.9449557834867963</c:v>
                </c:pt>
                <c:pt idx="16">
                  <c:v>3.5270865440147521</c:v>
                </c:pt>
                <c:pt idx="17">
                  <c:v>4.8667492937057357</c:v>
                </c:pt>
                <c:pt idx="18">
                  <c:v>3.656413519122125</c:v>
                </c:pt>
                <c:pt idx="19">
                  <c:v>-2.4443342553691743</c:v>
                </c:pt>
                <c:pt idx="20">
                  <c:v>10.53200737997971</c:v>
                </c:pt>
                <c:pt idx="21">
                  <c:v>8.7014470488028479</c:v>
                </c:pt>
              </c:numCache>
            </c:numRef>
          </c:val>
          <c:smooth val="0"/>
          <c:extLst>
            <c:ext xmlns:c16="http://schemas.microsoft.com/office/drawing/2014/chart" uri="{C3380CC4-5D6E-409C-BE32-E72D297353CC}">
              <c16:uniqueId val="{00000002-9A02-4E31-A3FD-3E049501AC0D}"/>
            </c:ext>
          </c:extLst>
        </c:ser>
        <c:ser>
          <c:idx val="3"/>
          <c:order val="3"/>
          <c:tx>
            <c:strRef>
              <c:f>工作表1!$E$1</c:f>
              <c:strCache>
                <c:ptCount val="1"/>
                <c:pt idx="0">
                  <c:v>India</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工作表1!$A$2:$A$23</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cat>
          <c:val>
            <c:numRef>
              <c:f>工作表1!$E$2:$E$23</c:f>
              <c:numCache>
                <c:formatCode>0.00</c:formatCode>
                <c:ptCount val="22"/>
                <c:pt idx="0">
                  <c:v>1.7826844331832798</c:v>
                </c:pt>
                <c:pt idx="1">
                  <c:v>4.2075081683003157</c:v>
                </c:pt>
                <c:pt idx="2">
                  <c:v>15.996928589710787</c:v>
                </c:pt>
                <c:pt idx="3">
                  <c:v>14.759855839952923</c:v>
                </c:pt>
                <c:pt idx="4">
                  <c:v>13.843713447949876</c:v>
                </c:pt>
                <c:pt idx="5">
                  <c:v>12.878073496502513</c:v>
                </c:pt>
                <c:pt idx="6">
                  <c:v>27.520853854690095</c:v>
                </c:pt>
                <c:pt idx="7">
                  <c:v>-2.8580368230129181</c:v>
                </c:pt>
                <c:pt idx="8">
                  <c:v>10.38147961751385</c:v>
                </c:pt>
                <c:pt idx="9">
                  <c:v>23.160745550043767</c:v>
                </c:pt>
                <c:pt idx="10">
                  <c:v>7.3276915217342866</c:v>
                </c:pt>
                <c:pt idx="11">
                  <c:v>-1.0747792494481185</c:v>
                </c:pt>
                <c:pt idx="12">
                  <c:v>0.28172549894701354</c:v>
                </c:pt>
                <c:pt idx="13">
                  <c:v>8.4697439606136022</c:v>
                </c:pt>
                <c:pt idx="14">
                  <c:v>1.9431231007911078</c:v>
                </c:pt>
                <c:pt idx="15">
                  <c:v>7.8048258991176986</c:v>
                </c:pt>
                <c:pt idx="16">
                  <c:v>14.215297384324618</c:v>
                </c:pt>
                <c:pt idx="17">
                  <c:v>0.83811294350782084</c:v>
                </c:pt>
                <c:pt idx="18">
                  <c:v>3.8381669182224161</c:v>
                </c:pt>
                <c:pt idx="19">
                  <c:v>-6.679478674835126</c:v>
                </c:pt>
                <c:pt idx="20">
                  <c:v>16.982364809065352</c:v>
                </c:pt>
                <c:pt idx="21">
                  <c:v>7.7189439398068815</c:v>
                </c:pt>
              </c:numCache>
            </c:numRef>
          </c:val>
          <c:smooth val="0"/>
          <c:extLst>
            <c:ext xmlns:c16="http://schemas.microsoft.com/office/drawing/2014/chart" uri="{C3380CC4-5D6E-409C-BE32-E72D297353CC}">
              <c16:uniqueId val="{00000003-9A02-4E31-A3FD-3E049501AC0D}"/>
            </c:ext>
          </c:extLst>
        </c:ser>
        <c:ser>
          <c:idx val="4"/>
          <c:order val="4"/>
          <c:tx>
            <c:strRef>
              <c:f>工作表1!$F$1</c:f>
              <c:strCache>
                <c:ptCount val="1"/>
                <c:pt idx="0">
                  <c:v>China</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f>工作表1!$A$2:$A$23</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cat>
          <c:val>
            <c:numRef>
              <c:f>工作表1!$F$2:$F$23</c:f>
              <c:numCache>
                <c:formatCode>0.00</c:formatCode>
                <c:ptCount val="22"/>
                <c:pt idx="0">
                  <c:v>9.7721397598398809</c:v>
                </c:pt>
                <c:pt idx="1">
                  <c:v>9.0588827377956811</c:v>
                </c:pt>
                <c:pt idx="2">
                  <c:v>12.201025676746404</c:v>
                </c:pt>
                <c:pt idx="3">
                  <c:v>17.074590265706476</c:v>
                </c:pt>
                <c:pt idx="4">
                  <c:v>16.222235478931772</c:v>
                </c:pt>
                <c:pt idx="5">
                  <c:v>19.722141427275979</c:v>
                </c:pt>
                <c:pt idx="6">
                  <c:v>28.331475500423981</c:v>
                </c:pt>
                <c:pt idx="7">
                  <c:v>28.744673269090846</c:v>
                </c:pt>
                <c:pt idx="8">
                  <c:v>10.492081203345705</c:v>
                </c:pt>
                <c:pt idx="9">
                  <c:v>18.742090114633001</c:v>
                </c:pt>
                <c:pt idx="10">
                  <c:v>23.380442020274831</c:v>
                </c:pt>
                <c:pt idx="11">
                  <c:v>12.221986716277272</c:v>
                </c:pt>
                <c:pt idx="12">
                  <c:v>11.424503775842867</c:v>
                </c:pt>
                <c:pt idx="13">
                  <c:v>8.7698831546395475</c:v>
                </c:pt>
                <c:pt idx="14">
                  <c:v>4.9813582117502868</c:v>
                </c:pt>
                <c:pt idx="15">
                  <c:v>0.97225080927343788</c:v>
                </c:pt>
                <c:pt idx="16">
                  <c:v>8.9279118006421605</c:v>
                </c:pt>
                <c:pt idx="17">
                  <c:v>12.343811138646153</c:v>
                </c:pt>
                <c:pt idx="18">
                  <c:v>2.4072703704339422</c:v>
                </c:pt>
                <c:pt idx="19">
                  <c:v>2.6110376129007964</c:v>
                </c:pt>
                <c:pt idx="20">
                  <c:v>21.220572750539944</c:v>
                </c:pt>
                <c:pt idx="21">
                  <c:v>0.81402749036853639</c:v>
                </c:pt>
              </c:numCache>
            </c:numRef>
          </c:val>
          <c:smooth val="0"/>
          <c:extLst>
            <c:ext xmlns:c16="http://schemas.microsoft.com/office/drawing/2014/chart" uri="{C3380CC4-5D6E-409C-BE32-E72D297353CC}">
              <c16:uniqueId val="{00000004-9A02-4E31-A3FD-3E049501AC0D}"/>
            </c:ext>
          </c:extLst>
        </c:ser>
        <c:dLbls>
          <c:showLegendKey val="0"/>
          <c:showVal val="0"/>
          <c:showCatName val="0"/>
          <c:showSerName val="0"/>
          <c:showPercent val="0"/>
          <c:showBubbleSize val="0"/>
        </c:dLbls>
        <c:marker val="1"/>
        <c:smooth val="0"/>
        <c:axId val="492134648"/>
        <c:axId val="492136448"/>
      </c:lineChart>
      <c:catAx>
        <c:axId val="492134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92136448"/>
        <c:crosses val="autoZero"/>
        <c:auto val="1"/>
        <c:lblAlgn val="ctr"/>
        <c:lblOffset val="100"/>
        <c:noMultiLvlLbl val="0"/>
      </c:catAx>
      <c:valAx>
        <c:axId val="4921364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92134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工作表1!$B$1</c:f>
              <c:strCache>
                <c:ptCount val="1"/>
                <c:pt idx="0">
                  <c:v>Hong Kong</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工作表1!$A$2:$A$5</c:f>
              <c:numCache>
                <c:formatCode>General</c:formatCode>
                <c:ptCount val="4"/>
                <c:pt idx="0">
                  <c:v>2019</c:v>
                </c:pt>
                <c:pt idx="1">
                  <c:v>2020</c:v>
                </c:pt>
                <c:pt idx="2">
                  <c:v>2021</c:v>
                </c:pt>
                <c:pt idx="3">
                  <c:v>2022</c:v>
                </c:pt>
              </c:numCache>
            </c:numRef>
          </c:cat>
          <c:val>
            <c:numRef>
              <c:f>工作表1!$B$2:$B$5</c:f>
              <c:numCache>
                <c:formatCode>General</c:formatCode>
                <c:ptCount val="4"/>
                <c:pt idx="0">
                  <c:v>48359</c:v>
                </c:pt>
                <c:pt idx="1">
                  <c:v>46109.23</c:v>
                </c:pt>
                <c:pt idx="2">
                  <c:v>49764.79</c:v>
                </c:pt>
                <c:pt idx="3">
                  <c:v>48983.62</c:v>
                </c:pt>
              </c:numCache>
            </c:numRef>
          </c:val>
          <c:smooth val="0"/>
          <c:extLst>
            <c:ext xmlns:c16="http://schemas.microsoft.com/office/drawing/2014/chart" uri="{C3380CC4-5D6E-409C-BE32-E72D297353CC}">
              <c16:uniqueId val="{00000000-716D-4C50-A505-72E60A65A6F6}"/>
            </c:ext>
          </c:extLst>
        </c:ser>
        <c:ser>
          <c:idx val="1"/>
          <c:order val="1"/>
          <c:tx>
            <c:strRef>
              <c:f>工作表1!$C$1</c:f>
              <c:strCache>
                <c:ptCount val="1"/>
                <c:pt idx="0">
                  <c:v>United Kingdom</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工作表1!$A$2:$A$5</c:f>
              <c:numCache>
                <c:formatCode>General</c:formatCode>
                <c:ptCount val="4"/>
                <c:pt idx="0">
                  <c:v>2019</c:v>
                </c:pt>
                <c:pt idx="1">
                  <c:v>2020</c:v>
                </c:pt>
                <c:pt idx="2">
                  <c:v>2021</c:v>
                </c:pt>
                <c:pt idx="3">
                  <c:v>2022</c:v>
                </c:pt>
              </c:numCache>
            </c:numRef>
          </c:cat>
          <c:val>
            <c:numRef>
              <c:f>工作表1!$C$2:$C$5</c:f>
              <c:numCache>
                <c:formatCode>General</c:formatCode>
                <c:ptCount val="4"/>
                <c:pt idx="0">
                  <c:v>42662.54</c:v>
                </c:pt>
                <c:pt idx="1">
                  <c:v>40217.01</c:v>
                </c:pt>
                <c:pt idx="2">
                  <c:v>46869.760000000002</c:v>
                </c:pt>
                <c:pt idx="3">
                  <c:v>46125.26</c:v>
                </c:pt>
              </c:numCache>
            </c:numRef>
          </c:val>
          <c:smooth val="0"/>
          <c:extLst>
            <c:ext xmlns:c16="http://schemas.microsoft.com/office/drawing/2014/chart" uri="{C3380CC4-5D6E-409C-BE32-E72D297353CC}">
              <c16:uniqueId val="{00000001-716D-4C50-A505-72E60A65A6F6}"/>
            </c:ext>
          </c:extLst>
        </c:ser>
        <c:ser>
          <c:idx val="2"/>
          <c:order val="2"/>
          <c:tx>
            <c:strRef>
              <c:f>工作表1!$D$1</c:f>
              <c:strCache>
                <c:ptCount val="1"/>
                <c:pt idx="0">
                  <c:v>United States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工作表1!$A$2:$A$5</c:f>
              <c:numCache>
                <c:formatCode>General</c:formatCode>
                <c:ptCount val="4"/>
                <c:pt idx="0">
                  <c:v>2019</c:v>
                </c:pt>
                <c:pt idx="1">
                  <c:v>2020</c:v>
                </c:pt>
                <c:pt idx="2">
                  <c:v>2021</c:v>
                </c:pt>
                <c:pt idx="3">
                  <c:v>2022</c:v>
                </c:pt>
              </c:numCache>
            </c:numRef>
          </c:cat>
          <c:val>
            <c:numRef>
              <c:f>工作表1!$D$2:$D$5</c:f>
              <c:numCache>
                <c:formatCode>General</c:formatCode>
                <c:ptCount val="4"/>
                <c:pt idx="0">
                  <c:v>65120.39</c:v>
                </c:pt>
                <c:pt idx="1">
                  <c:v>63528.63</c:v>
                </c:pt>
                <c:pt idx="2">
                  <c:v>70219.47</c:v>
                </c:pt>
                <c:pt idx="3">
                  <c:v>76329.58</c:v>
                </c:pt>
              </c:numCache>
            </c:numRef>
          </c:val>
          <c:smooth val="0"/>
          <c:extLst>
            <c:ext xmlns:c16="http://schemas.microsoft.com/office/drawing/2014/chart" uri="{C3380CC4-5D6E-409C-BE32-E72D297353CC}">
              <c16:uniqueId val="{00000002-716D-4C50-A505-72E60A65A6F6}"/>
            </c:ext>
          </c:extLst>
        </c:ser>
        <c:ser>
          <c:idx val="3"/>
          <c:order val="3"/>
          <c:tx>
            <c:strRef>
              <c:f>工作表1!$E$1</c:f>
              <c:strCache>
                <c:ptCount val="1"/>
                <c:pt idx="0">
                  <c:v>India</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工作表1!$A$2:$A$5</c:f>
              <c:numCache>
                <c:formatCode>General</c:formatCode>
                <c:ptCount val="4"/>
                <c:pt idx="0">
                  <c:v>2019</c:v>
                </c:pt>
                <c:pt idx="1">
                  <c:v>2020</c:v>
                </c:pt>
                <c:pt idx="2">
                  <c:v>2021</c:v>
                </c:pt>
                <c:pt idx="3">
                  <c:v>2022</c:v>
                </c:pt>
              </c:numCache>
            </c:numRef>
          </c:cat>
          <c:val>
            <c:numRef>
              <c:f>工作表1!$E$2:$E$5</c:f>
              <c:numCache>
                <c:formatCode>General</c:formatCode>
                <c:ptCount val="4"/>
                <c:pt idx="0">
                  <c:v>2050.16</c:v>
                </c:pt>
                <c:pt idx="1">
                  <c:v>1913.22</c:v>
                </c:pt>
                <c:pt idx="2">
                  <c:v>2238.13</c:v>
                </c:pt>
                <c:pt idx="3">
                  <c:v>2410.89</c:v>
                </c:pt>
              </c:numCache>
            </c:numRef>
          </c:val>
          <c:smooth val="0"/>
          <c:extLst>
            <c:ext xmlns:c16="http://schemas.microsoft.com/office/drawing/2014/chart" uri="{C3380CC4-5D6E-409C-BE32-E72D297353CC}">
              <c16:uniqueId val="{00000003-716D-4C50-A505-72E60A65A6F6}"/>
            </c:ext>
          </c:extLst>
        </c:ser>
        <c:ser>
          <c:idx val="4"/>
          <c:order val="4"/>
          <c:tx>
            <c:strRef>
              <c:f>工作表1!$F$1</c:f>
              <c:strCache>
                <c:ptCount val="1"/>
                <c:pt idx="0">
                  <c:v>China</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f>工作表1!$A$2:$A$5</c:f>
              <c:numCache>
                <c:formatCode>General</c:formatCode>
                <c:ptCount val="4"/>
                <c:pt idx="0">
                  <c:v>2019</c:v>
                </c:pt>
                <c:pt idx="1">
                  <c:v>2020</c:v>
                </c:pt>
                <c:pt idx="2">
                  <c:v>2021</c:v>
                </c:pt>
                <c:pt idx="3">
                  <c:v>2022</c:v>
                </c:pt>
              </c:numCache>
            </c:numRef>
          </c:cat>
          <c:val>
            <c:numRef>
              <c:f>工作表1!$F$2:$F$5</c:f>
              <c:numCache>
                <c:formatCode>General</c:formatCode>
                <c:ptCount val="4"/>
                <c:pt idx="0">
                  <c:v>10143.86</c:v>
                </c:pt>
                <c:pt idx="1">
                  <c:v>10408.719999999999</c:v>
                </c:pt>
                <c:pt idx="2">
                  <c:v>12617.51</c:v>
                </c:pt>
                <c:pt idx="3">
                  <c:v>12720.22</c:v>
                </c:pt>
              </c:numCache>
            </c:numRef>
          </c:val>
          <c:smooth val="0"/>
          <c:extLst>
            <c:ext xmlns:c16="http://schemas.microsoft.com/office/drawing/2014/chart" uri="{C3380CC4-5D6E-409C-BE32-E72D297353CC}">
              <c16:uniqueId val="{00000004-716D-4C50-A505-72E60A65A6F6}"/>
            </c:ext>
          </c:extLst>
        </c:ser>
        <c:dLbls>
          <c:showLegendKey val="0"/>
          <c:showVal val="0"/>
          <c:showCatName val="0"/>
          <c:showSerName val="0"/>
          <c:showPercent val="0"/>
          <c:showBubbleSize val="0"/>
        </c:dLbls>
        <c:marker val="1"/>
        <c:smooth val="0"/>
        <c:axId val="52988800"/>
        <c:axId val="52992400"/>
      </c:lineChart>
      <c:catAx>
        <c:axId val="52988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52992400"/>
        <c:crosses val="autoZero"/>
        <c:auto val="1"/>
        <c:lblAlgn val="ctr"/>
        <c:lblOffset val="100"/>
        <c:noMultiLvlLbl val="0"/>
      </c:catAx>
      <c:valAx>
        <c:axId val="52992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52988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工作表1!$B$1</c:f>
              <c:strCache>
                <c:ptCount val="1"/>
                <c:pt idx="0">
                  <c:v>Hong Kong</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工作表1!$A$2:$A$5</c:f>
              <c:numCache>
                <c:formatCode>General</c:formatCode>
                <c:ptCount val="4"/>
                <c:pt idx="0">
                  <c:v>2019</c:v>
                </c:pt>
                <c:pt idx="1">
                  <c:v>2020</c:v>
                </c:pt>
                <c:pt idx="2">
                  <c:v>2021</c:v>
                </c:pt>
                <c:pt idx="3">
                  <c:v>2022</c:v>
                </c:pt>
              </c:numCache>
            </c:numRef>
          </c:cat>
          <c:val>
            <c:numRef>
              <c:f>工作表1!$B$2:$B$5</c:f>
              <c:numCache>
                <c:formatCode>0.00</c:formatCode>
                <c:ptCount val="4"/>
                <c:pt idx="0">
                  <c:v>-0.36790057681091104</c:v>
                </c:pt>
                <c:pt idx="1">
                  <c:v>-4.6522260592650726</c:v>
                </c:pt>
                <c:pt idx="2">
                  <c:v>7.9280439079117082</c:v>
                </c:pt>
                <c:pt idx="3">
                  <c:v>-1.5697242970381233</c:v>
                </c:pt>
              </c:numCache>
            </c:numRef>
          </c:val>
          <c:smooth val="0"/>
          <c:extLst>
            <c:ext xmlns:c16="http://schemas.microsoft.com/office/drawing/2014/chart" uri="{C3380CC4-5D6E-409C-BE32-E72D297353CC}">
              <c16:uniqueId val="{00000000-82C8-48F4-8A58-CAA250EFE378}"/>
            </c:ext>
          </c:extLst>
        </c:ser>
        <c:ser>
          <c:idx val="1"/>
          <c:order val="1"/>
          <c:tx>
            <c:strRef>
              <c:f>工作表1!$C$1</c:f>
              <c:strCache>
                <c:ptCount val="1"/>
                <c:pt idx="0">
                  <c:v>United Kingdom</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工作表1!$A$2:$A$5</c:f>
              <c:numCache>
                <c:formatCode>General</c:formatCode>
                <c:ptCount val="4"/>
                <c:pt idx="0">
                  <c:v>2019</c:v>
                </c:pt>
                <c:pt idx="1">
                  <c:v>2020</c:v>
                </c:pt>
                <c:pt idx="2">
                  <c:v>2021</c:v>
                </c:pt>
                <c:pt idx="3">
                  <c:v>2022</c:v>
                </c:pt>
              </c:numCache>
            </c:numRef>
          </c:cat>
          <c:val>
            <c:numRef>
              <c:f>工作表1!$C$2:$C$5</c:f>
              <c:numCache>
                <c:formatCode>0.00</c:formatCode>
                <c:ptCount val="4"/>
                <c:pt idx="0">
                  <c:v>-1.2528293222287499</c:v>
                </c:pt>
                <c:pt idx="1">
                  <c:v>-5.7322653550398046</c:v>
                </c:pt>
                <c:pt idx="2">
                  <c:v>16.542129810246955</c:v>
                </c:pt>
                <c:pt idx="3">
                  <c:v>-1.5884442335527211</c:v>
                </c:pt>
              </c:numCache>
            </c:numRef>
          </c:val>
          <c:smooth val="0"/>
          <c:extLst>
            <c:ext xmlns:c16="http://schemas.microsoft.com/office/drawing/2014/chart" uri="{C3380CC4-5D6E-409C-BE32-E72D297353CC}">
              <c16:uniqueId val="{00000001-82C8-48F4-8A58-CAA250EFE378}"/>
            </c:ext>
          </c:extLst>
        </c:ser>
        <c:ser>
          <c:idx val="2"/>
          <c:order val="2"/>
          <c:tx>
            <c:strRef>
              <c:f>工作表1!$D$1</c:f>
              <c:strCache>
                <c:ptCount val="1"/>
                <c:pt idx="0">
                  <c:v>United States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工作表1!$A$2:$A$5</c:f>
              <c:numCache>
                <c:formatCode>General</c:formatCode>
                <c:ptCount val="4"/>
                <c:pt idx="0">
                  <c:v>2019</c:v>
                </c:pt>
                <c:pt idx="1">
                  <c:v>2020</c:v>
                </c:pt>
                <c:pt idx="2">
                  <c:v>2021</c:v>
                </c:pt>
                <c:pt idx="3">
                  <c:v>2022</c:v>
                </c:pt>
              </c:numCache>
            </c:numRef>
          </c:cat>
          <c:val>
            <c:numRef>
              <c:f>工作表1!$D$2:$D$5</c:f>
              <c:numCache>
                <c:formatCode>0.00</c:formatCode>
                <c:ptCount val="4"/>
                <c:pt idx="0">
                  <c:v>3.656413519122125</c:v>
                </c:pt>
                <c:pt idx="1">
                  <c:v>-2.4443342553691743</c:v>
                </c:pt>
                <c:pt idx="2">
                  <c:v>10.53200737997971</c:v>
                </c:pt>
                <c:pt idx="3">
                  <c:v>8.7014470488028479</c:v>
                </c:pt>
              </c:numCache>
            </c:numRef>
          </c:val>
          <c:smooth val="0"/>
          <c:extLst>
            <c:ext xmlns:c16="http://schemas.microsoft.com/office/drawing/2014/chart" uri="{C3380CC4-5D6E-409C-BE32-E72D297353CC}">
              <c16:uniqueId val="{00000002-82C8-48F4-8A58-CAA250EFE378}"/>
            </c:ext>
          </c:extLst>
        </c:ser>
        <c:ser>
          <c:idx val="3"/>
          <c:order val="3"/>
          <c:tx>
            <c:strRef>
              <c:f>工作表1!$E$1</c:f>
              <c:strCache>
                <c:ptCount val="1"/>
                <c:pt idx="0">
                  <c:v>India</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工作表1!$A$2:$A$5</c:f>
              <c:numCache>
                <c:formatCode>General</c:formatCode>
                <c:ptCount val="4"/>
                <c:pt idx="0">
                  <c:v>2019</c:v>
                </c:pt>
                <c:pt idx="1">
                  <c:v>2020</c:v>
                </c:pt>
                <c:pt idx="2">
                  <c:v>2021</c:v>
                </c:pt>
                <c:pt idx="3">
                  <c:v>2022</c:v>
                </c:pt>
              </c:numCache>
            </c:numRef>
          </c:cat>
          <c:val>
            <c:numRef>
              <c:f>工作表1!$E$2:$E$5</c:f>
              <c:numCache>
                <c:formatCode>0.00</c:formatCode>
                <c:ptCount val="4"/>
                <c:pt idx="0">
                  <c:v>3.8381669182224161</c:v>
                </c:pt>
                <c:pt idx="1">
                  <c:v>-6.679478674835126</c:v>
                </c:pt>
                <c:pt idx="2">
                  <c:v>16.982364809065352</c:v>
                </c:pt>
                <c:pt idx="3">
                  <c:v>7.7189439398068815</c:v>
                </c:pt>
              </c:numCache>
            </c:numRef>
          </c:val>
          <c:smooth val="0"/>
          <c:extLst>
            <c:ext xmlns:c16="http://schemas.microsoft.com/office/drawing/2014/chart" uri="{C3380CC4-5D6E-409C-BE32-E72D297353CC}">
              <c16:uniqueId val="{00000003-82C8-48F4-8A58-CAA250EFE378}"/>
            </c:ext>
          </c:extLst>
        </c:ser>
        <c:ser>
          <c:idx val="4"/>
          <c:order val="4"/>
          <c:tx>
            <c:strRef>
              <c:f>工作表1!$F$1</c:f>
              <c:strCache>
                <c:ptCount val="1"/>
                <c:pt idx="0">
                  <c:v>China</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f>工作表1!$A$2:$A$5</c:f>
              <c:numCache>
                <c:formatCode>General</c:formatCode>
                <c:ptCount val="4"/>
                <c:pt idx="0">
                  <c:v>2019</c:v>
                </c:pt>
                <c:pt idx="1">
                  <c:v>2020</c:v>
                </c:pt>
                <c:pt idx="2">
                  <c:v>2021</c:v>
                </c:pt>
                <c:pt idx="3">
                  <c:v>2022</c:v>
                </c:pt>
              </c:numCache>
            </c:numRef>
          </c:cat>
          <c:val>
            <c:numRef>
              <c:f>工作表1!$F$2:$F$5</c:f>
              <c:numCache>
                <c:formatCode>0.00</c:formatCode>
                <c:ptCount val="4"/>
                <c:pt idx="0">
                  <c:v>2.4072703704339422</c:v>
                </c:pt>
                <c:pt idx="1">
                  <c:v>2.6110376129007964</c:v>
                </c:pt>
                <c:pt idx="2">
                  <c:v>21.220572750539944</c:v>
                </c:pt>
                <c:pt idx="3">
                  <c:v>0.81402749036853639</c:v>
                </c:pt>
              </c:numCache>
            </c:numRef>
          </c:val>
          <c:smooth val="0"/>
          <c:extLst>
            <c:ext xmlns:c16="http://schemas.microsoft.com/office/drawing/2014/chart" uri="{C3380CC4-5D6E-409C-BE32-E72D297353CC}">
              <c16:uniqueId val="{00000004-82C8-48F4-8A58-CAA250EFE378}"/>
            </c:ext>
          </c:extLst>
        </c:ser>
        <c:dLbls>
          <c:showLegendKey val="0"/>
          <c:showVal val="0"/>
          <c:showCatName val="0"/>
          <c:showSerName val="0"/>
          <c:showPercent val="0"/>
          <c:showBubbleSize val="0"/>
        </c:dLbls>
        <c:marker val="1"/>
        <c:smooth val="0"/>
        <c:axId val="492134648"/>
        <c:axId val="492136448"/>
      </c:lineChart>
      <c:catAx>
        <c:axId val="492134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92136448"/>
        <c:crosses val="autoZero"/>
        <c:auto val="1"/>
        <c:lblAlgn val="ctr"/>
        <c:lblOffset val="100"/>
        <c:noMultiLvlLbl val="0"/>
      </c:catAx>
      <c:valAx>
        <c:axId val="4921364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92134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B2812B-9B7A-47DB-B98A-755DB7BB0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1060</TotalTime>
  <Pages>36</Pages>
  <Words>8046</Words>
  <Characters>45865</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53804</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rebeccaluk</cp:lastModifiedBy>
  <cp:revision>86</cp:revision>
  <cp:lastPrinted>2010-07-30T07:51:00Z</cp:lastPrinted>
  <dcterms:created xsi:type="dcterms:W3CDTF">2024-02-25T17:02:00Z</dcterms:created>
  <dcterms:modified xsi:type="dcterms:W3CDTF">2024-03-11T11:24:00Z</dcterms:modified>
</cp:coreProperties>
</file>