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5EBCE" w14:textId="7297F367" w:rsidR="00E6780A" w:rsidRDefault="00AA2D6B" w:rsidP="00AA2D6B">
      <w:pPr>
        <w:jc w:val="center"/>
        <w:rPr>
          <w:rFonts w:eastAsia="Calibri" w:cs="Times New Roman"/>
          <w:b/>
          <w:noProof/>
          <w:sz w:val="40"/>
          <w:szCs w:val="40"/>
          <w:lang w:val="en-GB"/>
        </w:rPr>
      </w:pPr>
      <w:r>
        <w:rPr>
          <w:rFonts w:eastAsia="Calibri" w:cs="Times New Roman"/>
          <w:b/>
          <w:noProof/>
          <w:sz w:val="40"/>
          <w:szCs w:val="40"/>
          <w:lang w:val="en-GB"/>
        </w:rPr>
        <w:t xml:space="preserve">Assessment 2 – Community Engagement: </w:t>
      </w:r>
      <w:r w:rsidR="00A6082F" w:rsidRPr="00A6082F">
        <w:rPr>
          <w:rFonts w:eastAsia="Calibri" w:cs="Times New Roman"/>
          <w:b/>
          <w:noProof/>
          <w:sz w:val="40"/>
          <w:szCs w:val="40"/>
          <w:lang w:val="en-GB"/>
        </w:rPr>
        <w:t xml:space="preserve">Reflection on Community Engagement Project of </w:t>
      </w:r>
      <w:r w:rsidR="00A6082F">
        <w:rPr>
          <w:rFonts w:eastAsia="Calibri" w:cs="Times New Roman"/>
          <w:b/>
          <w:noProof/>
          <w:sz w:val="40"/>
          <w:szCs w:val="40"/>
          <w:lang w:val="en-GB"/>
        </w:rPr>
        <w:t>Next PLC</w:t>
      </w:r>
      <w:r w:rsidR="00A6082F" w:rsidRPr="00A6082F">
        <w:rPr>
          <w:rFonts w:eastAsia="Calibri" w:cs="Times New Roman"/>
          <w:b/>
          <w:noProof/>
          <w:sz w:val="40"/>
          <w:szCs w:val="40"/>
          <w:lang w:val="en-GB"/>
        </w:rPr>
        <w:t xml:space="preserve"> Through Social Media</w:t>
      </w:r>
    </w:p>
    <w:p w14:paraId="4A619F64" w14:textId="77777777" w:rsidR="00AA2D6B" w:rsidRDefault="00AA2D6B" w:rsidP="00AA2D6B">
      <w:pPr>
        <w:jc w:val="center"/>
        <w:rPr>
          <w:rFonts w:eastAsia="Calibri" w:cs="Times New Roman"/>
          <w:b/>
          <w:noProof/>
          <w:sz w:val="40"/>
          <w:szCs w:val="40"/>
          <w:lang w:val="en-GB"/>
        </w:rPr>
      </w:pPr>
    </w:p>
    <w:p w14:paraId="400B6D20" w14:textId="77777777" w:rsidR="00E6780A" w:rsidRPr="00BB40E3" w:rsidRDefault="00E6780A" w:rsidP="00E6780A">
      <w:pPr>
        <w:spacing w:line="259" w:lineRule="auto"/>
        <w:jc w:val="center"/>
        <w:rPr>
          <w:b/>
          <w:bCs/>
          <w:sz w:val="40"/>
          <w:szCs w:val="36"/>
        </w:rPr>
      </w:pPr>
      <w:r w:rsidRPr="00BB40E3">
        <w:rPr>
          <w:b/>
          <w:bCs/>
          <w:sz w:val="40"/>
          <w:szCs w:val="36"/>
        </w:rPr>
        <w:t>Student Name: Daniela Jicmon</w:t>
      </w:r>
    </w:p>
    <w:p w14:paraId="1166315B" w14:textId="77777777" w:rsidR="00E6780A" w:rsidRPr="00BB40E3" w:rsidRDefault="00E6780A" w:rsidP="00E6780A">
      <w:pPr>
        <w:spacing w:line="259" w:lineRule="auto"/>
        <w:jc w:val="center"/>
        <w:rPr>
          <w:b/>
          <w:bCs/>
          <w:sz w:val="40"/>
          <w:szCs w:val="36"/>
        </w:rPr>
      </w:pPr>
      <w:r w:rsidRPr="00BB40E3">
        <w:rPr>
          <w:b/>
          <w:bCs/>
          <w:sz w:val="40"/>
          <w:szCs w:val="36"/>
        </w:rPr>
        <w:t>Student ID: 2119900</w:t>
      </w:r>
    </w:p>
    <w:p w14:paraId="18802389" w14:textId="77777777" w:rsidR="00E6780A" w:rsidRPr="00BB40E3" w:rsidRDefault="00E6780A" w:rsidP="00E6780A">
      <w:pPr>
        <w:spacing w:line="259" w:lineRule="auto"/>
        <w:jc w:val="center"/>
        <w:rPr>
          <w:b/>
          <w:bCs/>
          <w:sz w:val="40"/>
          <w:szCs w:val="36"/>
        </w:rPr>
      </w:pPr>
      <w:r w:rsidRPr="00BB40E3">
        <w:rPr>
          <w:b/>
          <w:bCs/>
          <w:sz w:val="40"/>
          <w:szCs w:val="36"/>
        </w:rPr>
        <w:t xml:space="preserve">Date: </w:t>
      </w:r>
      <w:r>
        <w:rPr>
          <w:b/>
          <w:bCs/>
          <w:sz w:val="40"/>
          <w:szCs w:val="36"/>
        </w:rPr>
        <w:t>01</w:t>
      </w:r>
      <w:r w:rsidRPr="00BB40E3">
        <w:rPr>
          <w:b/>
          <w:bCs/>
          <w:sz w:val="40"/>
          <w:szCs w:val="36"/>
        </w:rPr>
        <w:t>/0</w:t>
      </w:r>
      <w:r>
        <w:rPr>
          <w:b/>
          <w:bCs/>
          <w:sz w:val="40"/>
          <w:szCs w:val="36"/>
        </w:rPr>
        <w:t>9</w:t>
      </w:r>
      <w:r w:rsidRPr="00BB40E3">
        <w:rPr>
          <w:b/>
          <w:bCs/>
          <w:sz w:val="40"/>
          <w:szCs w:val="36"/>
        </w:rPr>
        <w:t>/2022</w:t>
      </w:r>
    </w:p>
    <w:p w14:paraId="06E01072" w14:textId="2EE69D09" w:rsidR="00E6780A" w:rsidRPr="00BB40E3" w:rsidRDefault="00E6780A" w:rsidP="00E6780A">
      <w:pPr>
        <w:spacing w:line="259" w:lineRule="auto"/>
        <w:jc w:val="center"/>
        <w:rPr>
          <w:b/>
          <w:bCs/>
          <w:sz w:val="40"/>
          <w:szCs w:val="36"/>
        </w:rPr>
      </w:pPr>
      <w:r w:rsidRPr="00BB40E3">
        <w:rPr>
          <w:b/>
          <w:bCs/>
          <w:sz w:val="40"/>
          <w:szCs w:val="36"/>
        </w:rPr>
        <w:t xml:space="preserve">Module Code: </w:t>
      </w:r>
      <w:r w:rsidR="007925E6" w:rsidRPr="00A6082F">
        <w:rPr>
          <w:rFonts w:eastAsia="Calibri" w:cs="Times New Roman"/>
          <w:b/>
          <w:noProof/>
          <w:sz w:val="40"/>
          <w:szCs w:val="40"/>
          <w:lang w:val="en-GB"/>
        </w:rPr>
        <w:t>LCBB4002</w:t>
      </w:r>
    </w:p>
    <w:p w14:paraId="5CE39870" w14:textId="6F7CD288" w:rsidR="00E6780A" w:rsidRPr="00BB40E3" w:rsidRDefault="00E6780A" w:rsidP="00E6780A">
      <w:pPr>
        <w:spacing w:line="259" w:lineRule="auto"/>
        <w:jc w:val="center"/>
        <w:rPr>
          <w:b/>
          <w:bCs/>
          <w:sz w:val="40"/>
          <w:szCs w:val="36"/>
        </w:rPr>
      </w:pPr>
      <w:r w:rsidRPr="00BB40E3">
        <w:rPr>
          <w:b/>
          <w:bCs/>
          <w:sz w:val="40"/>
          <w:szCs w:val="36"/>
        </w:rPr>
        <w:t xml:space="preserve">Module Name: </w:t>
      </w:r>
      <w:r w:rsidR="007925E6">
        <w:rPr>
          <w:b/>
          <w:bCs/>
          <w:sz w:val="40"/>
          <w:szCs w:val="36"/>
        </w:rPr>
        <w:t>Community Engagement</w:t>
      </w:r>
      <w:r w:rsidRPr="00BB40E3">
        <w:rPr>
          <w:b/>
          <w:bCs/>
          <w:sz w:val="40"/>
          <w:szCs w:val="36"/>
        </w:rPr>
        <w:t xml:space="preserve"> </w:t>
      </w:r>
    </w:p>
    <w:p w14:paraId="3A21DC41" w14:textId="2AA947AE" w:rsidR="00E6780A" w:rsidRPr="00A6082F" w:rsidRDefault="00E6780A" w:rsidP="00E6780A">
      <w:pPr>
        <w:jc w:val="center"/>
        <w:rPr>
          <w:rFonts w:ascii="Arial" w:eastAsia="Calibri" w:hAnsi="Arial" w:cs="Arial"/>
          <w:b/>
          <w:noProof/>
          <w:sz w:val="32"/>
          <w:szCs w:val="18"/>
          <w:lang w:val="en-GB"/>
        </w:rPr>
      </w:pPr>
      <w:r w:rsidRPr="00BB40E3">
        <w:rPr>
          <w:b/>
          <w:bCs/>
          <w:sz w:val="40"/>
          <w:szCs w:val="36"/>
        </w:rPr>
        <w:t xml:space="preserve">Module Lecturer: </w:t>
      </w:r>
      <w:r>
        <w:rPr>
          <w:b/>
          <w:bCs/>
          <w:sz w:val="40"/>
          <w:szCs w:val="36"/>
        </w:rPr>
        <w:t>Toyin</w:t>
      </w:r>
      <w:r>
        <w:rPr>
          <w:b/>
          <w:bCs/>
          <w:sz w:val="40"/>
          <w:szCs w:val="36"/>
        </w:rPr>
        <w:t xml:space="preserve"> </w:t>
      </w:r>
      <w:proofErr w:type="spellStart"/>
      <w:r>
        <w:rPr>
          <w:b/>
          <w:bCs/>
          <w:sz w:val="40"/>
          <w:szCs w:val="36"/>
        </w:rPr>
        <w:t>Adisa</w:t>
      </w:r>
      <w:proofErr w:type="spellEnd"/>
    </w:p>
    <w:p w14:paraId="03B5E4BA" w14:textId="77777777" w:rsidR="00A6082F" w:rsidRDefault="00A6082F" w:rsidP="00A6082F"/>
    <w:p w14:paraId="7414580F" w14:textId="77777777" w:rsidR="00A6082F" w:rsidRDefault="00A6082F" w:rsidP="00A6082F">
      <w:pPr>
        <w:rPr>
          <w:rFonts w:eastAsiaTheme="majorEastAsia" w:cstheme="majorBidi"/>
          <w:sz w:val="32"/>
          <w:szCs w:val="32"/>
        </w:rPr>
      </w:pPr>
      <w:r>
        <w:br w:type="page"/>
      </w:r>
    </w:p>
    <w:p w14:paraId="37315098" w14:textId="7E561B88" w:rsidR="00B429A5" w:rsidRPr="00B429A5" w:rsidRDefault="00B429A5" w:rsidP="00B429A5">
      <w:pPr>
        <w:rPr>
          <w:rFonts w:cs="Times New Roman"/>
          <w:b/>
          <w:bCs/>
          <w:sz w:val="32"/>
          <w:szCs w:val="32"/>
        </w:rPr>
      </w:pPr>
      <w:r>
        <w:rPr>
          <w:rFonts w:cs="Times New Roman"/>
          <w:b/>
          <w:bCs/>
          <w:sz w:val="32"/>
          <w:szCs w:val="32"/>
        </w:rPr>
        <w:lastRenderedPageBreak/>
        <w:t>Abstract</w:t>
      </w:r>
    </w:p>
    <w:p w14:paraId="79EDAD88" w14:textId="77777777" w:rsidR="00B429A5" w:rsidRDefault="00B429A5" w:rsidP="00B429A5">
      <w:pPr>
        <w:rPr>
          <w:rFonts w:cs="Times New Roman"/>
        </w:rPr>
      </w:pPr>
      <w:r>
        <w:rPr>
          <w:rFonts w:cs="Times New Roman"/>
        </w:rPr>
        <w:t xml:space="preserve">This report focuses on how Next plc engages with the community, particularly </w:t>
      </w:r>
      <w:proofErr w:type="gramStart"/>
      <w:r>
        <w:rPr>
          <w:rFonts w:cs="Times New Roman"/>
        </w:rPr>
        <w:t>through the use of</w:t>
      </w:r>
      <w:proofErr w:type="gramEnd"/>
      <w:r>
        <w:rPr>
          <w:rFonts w:cs="Times New Roman"/>
        </w:rPr>
        <w:t xml:space="preserve"> social media. It analyses Next plc’s strategy and the cycle the company uses when engaging with the community. In particular, the report evaluates how this cycle aligns with the principles of community engagement. Some recommendations are made which could help improve Next plc’s strategy of using social media to engage with the community.</w:t>
      </w:r>
    </w:p>
    <w:p w14:paraId="2904218B" w14:textId="77777777" w:rsidR="00A6082F" w:rsidRDefault="00A6082F" w:rsidP="00A6082F"/>
    <w:p w14:paraId="1E87A39F" w14:textId="77777777" w:rsidR="00A6082F" w:rsidRDefault="00A6082F" w:rsidP="00A6082F">
      <w:pPr>
        <w:rPr>
          <w:rFonts w:eastAsiaTheme="majorEastAsia" w:cstheme="majorBidi"/>
          <w:sz w:val="32"/>
          <w:szCs w:val="32"/>
        </w:rPr>
      </w:pPr>
      <w:r>
        <w:br w:type="page"/>
      </w:r>
    </w:p>
    <w:p w14:paraId="549CC13C" w14:textId="77777777" w:rsidR="00482809" w:rsidRDefault="00482809" w:rsidP="00482809">
      <w:pPr>
        <w:pStyle w:val="Heading1"/>
      </w:pPr>
      <w:r>
        <w:lastRenderedPageBreak/>
        <w:t>Introduction</w:t>
      </w:r>
    </w:p>
    <w:p w14:paraId="1CADF6A9" w14:textId="5C3421AD" w:rsidR="00812F2A" w:rsidRDefault="00330392" w:rsidP="00482809">
      <w:r w:rsidRPr="00330392">
        <w:rPr>
          <w:lang w:val="en-GB"/>
        </w:rPr>
        <w:t>Community engagement is a process through which a group of people in a community come together to solve core community issues such as environmental concerns, crime, insecurity social deprivation and lack of recreation, etc. through community engagement, a particular concern from major community issues is selected and then the appropriate actions are set to address the issue. It increases the participation of the community people as well as ensures the welfare of the community.</w:t>
      </w:r>
      <w:r>
        <w:rPr>
          <w:lang w:val="en-GB"/>
        </w:rPr>
        <w:t xml:space="preserve">  </w:t>
      </w:r>
      <w:r w:rsidR="00C7246C" w:rsidRPr="00C7246C">
        <w:t xml:space="preserve">Taking time to think things through </w:t>
      </w:r>
      <w:r>
        <w:t xml:space="preserve">is fundamental to every </w:t>
      </w:r>
      <w:r w:rsidR="00402045">
        <w:t>endeavour</w:t>
      </w:r>
      <w:r w:rsidR="00C7246C" w:rsidRPr="00C7246C">
        <w:t xml:space="preserve">. It helps people learn from their past experiences by highlighting the outcomes and accomplishments of a project's implementation. With the use of the reflective learning strategy, one may </w:t>
      </w:r>
      <w:r w:rsidR="00402045" w:rsidRPr="00C7246C">
        <w:t>analyze</w:t>
      </w:r>
      <w:r w:rsidR="00C7246C" w:rsidRPr="00C7246C">
        <w:t xml:space="preserve"> past performance on a project, draw conclusions about what worked and what didn't, and then </w:t>
      </w:r>
      <w:r w:rsidR="00402045" w:rsidRPr="00C7246C">
        <w:t>utilize</w:t>
      </w:r>
      <w:r w:rsidR="00C7246C" w:rsidRPr="00C7246C">
        <w:t xml:space="preserve"> those findings to inform an action plan for future success. Consciousness and observation are encouraged in the reflective learning method</w:t>
      </w:r>
      <w:r w:rsidR="00B92FC1">
        <w:t xml:space="preserve"> (</w:t>
      </w:r>
      <w:proofErr w:type="spellStart"/>
      <w:r w:rsidR="00B92FC1">
        <w:t>Ghaye</w:t>
      </w:r>
      <w:proofErr w:type="spellEnd"/>
      <w:r w:rsidR="00B92FC1">
        <w:t>, 2010)</w:t>
      </w:r>
      <w:r w:rsidR="00C7246C" w:rsidRPr="00C7246C">
        <w:t>. This research looks at the community outreach programme run by Next Plc. People who read might well benefit from a quick overview o</w:t>
      </w:r>
      <w:r w:rsidR="00402045">
        <w:t>f</w:t>
      </w:r>
      <w:r w:rsidR="00C7246C" w:rsidRPr="00C7246C">
        <w:t xml:space="preserve"> my role as a community engagement professional for Next Plc's project, in which I discussed how to forge the most productive link possible between the project's various stakeholders and, more specifically, how to employ the most effective engagement strategies for each group. It's a fantastic idea to try this out. </w:t>
      </w:r>
      <w:r w:rsidR="00402045" w:rsidRPr="00C7246C">
        <w:t>I used</w:t>
      </w:r>
      <w:r w:rsidR="00C7246C" w:rsidRPr="00C7246C">
        <w:t xml:space="preserve"> Gibb's reflective cycle model while creating this reflective report. As such, this framework has been used to clarify the educational results for the initial evaluation phase. After comparing the two, I have arrived at the opinion.</w:t>
      </w:r>
      <w:r w:rsidR="00482809">
        <w:t> </w:t>
      </w:r>
    </w:p>
    <w:p w14:paraId="5A29A9BE" w14:textId="77777777" w:rsidR="00812F2A" w:rsidRDefault="00812F2A">
      <w:pPr>
        <w:spacing w:line="259" w:lineRule="auto"/>
        <w:jc w:val="left"/>
      </w:pPr>
      <w:r>
        <w:br w:type="page"/>
      </w:r>
    </w:p>
    <w:p w14:paraId="58DC7F65" w14:textId="77777777" w:rsidR="00701B49" w:rsidRDefault="00701B49" w:rsidP="00701B49">
      <w:pPr>
        <w:pStyle w:val="Heading1"/>
      </w:pPr>
      <w:r w:rsidRPr="00701B49">
        <w:lastRenderedPageBreak/>
        <w:t>Reflection on Next Plc's Social Media Community Engagement Project</w:t>
      </w:r>
    </w:p>
    <w:p w14:paraId="1E1022E8" w14:textId="20C3FAF2" w:rsidR="00482809" w:rsidRDefault="009B7762" w:rsidP="00482809">
      <w:r w:rsidRPr="009B7762">
        <w:t xml:space="preserve">The reflective learning strategy is an effective learning method among the numerous available options. Certain instructional strategies may benefit from a student's ability to absorb knowledge via hands-on experience. The goal here is to offer a technique through which the student may get insight from their own life circumstances. Among these approaches is called "reflective learning," and it's one of numerous. The student may utilize this method to evaluate </w:t>
      </w:r>
      <w:r w:rsidR="005C736F">
        <w:t xml:space="preserve">the </w:t>
      </w:r>
      <w:r w:rsidRPr="009B7762">
        <w:t>procedure followed on a topic, draw conclusions about what went well and what might be done differently, and then incorporate those findings into an adaptive management program to ensure prospective success</w:t>
      </w:r>
      <w:r w:rsidR="00B84F42">
        <w:t xml:space="preserve"> (Markkanen, </w:t>
      </w:r>
      <w:proofErr w:type="spellStart"/>
      <w:r w:rsidR="00B84F42">
        <w:t>Välimäki</w:t>
      </w:r>
      <w:proofErr w:type="spellEnd"/>
      <w:r w:rsidR="00B84F42">
        <w:t xml:space="preserve">, </w:t>
      </w:r>
      <w:proofErr w:type="spellStart"/>
      <w:r w:rsidR="00B84F42">
        <w:t>Anttila</w:t>
      </w:r>
      <w:proofErr w:type="spellEnd"/>
      <w:r w:rsidR="00B84F42">
        <w:t xml:space="preserve">, and </w:t>
      </w:r>
      <w:proofErr w:type="spellStart"/>
      <w:r w:rsidR="00B84F42">
        <w:t>Kuuskorpi</w:t>
      </w:r>
      <w:proofErr w:type="spellEnd"/>
      <w:r w:rsidR="00B84F42">
        <w:t xml:space="preserve">, </w:t>
      </w:r>
      <w:r w:rsidR="00B84F42" w:rsidRPr="00A24252">
        <w:t>2020</w:t>
      </w:r>
      <w:r w:rsidR="00B84F42">
        <w:t>)</w:t>
      </w:r>
      <w:r w:rsidRPr="009B7762">
        <w:t xml:space="preserve">. Professor Graham Gibbs demonstrated a variety of modifications </w:t>
      </w:r>
      <w:r w:rsidR="005C736F">
        <w:t>to</w:t>
      </w:r>
      <w:r w:rsidRPr="009B7762">
        <w:t xml:space="preserve"> this technique; he called his method the "Gibbs Reflective Cycle Procedure." </w:t>
      </w:r>
      <w:r w:rsidR="007C1809" w:rsidRPr="007C1809">
        <w:t xml:space="preserve">Because of its circular character, it works especially well for repeated events, which means that may draw lessons and make plans from both the positive and negative outcomes </w:t>
      </w:r>
      <w:r w:rsidR="005C736F">
        <w:t xml:space="preserve">that </w:t>
      </w:r>
      <w:r w:rsidR="007C1809" w:rsidRPr="007C1809">
        <w:t>may happen.</w:t>
      </w:r>
      <w:r w:rsidR="00482809">
        <w:t xml:space="preserve"> </w:t>
      </w:r>
    </w:p>
    <w:p w14:paraId="197EE1AB" w14:textId="77777777" w:rsidR="00F94155" w:rsidRDefault="00F94155" w:rsidP="00482809"/>
    <w:p w14:paraId="6C17D042" w14:textId="32831648" w:rsidR="00DC4B3B" w:rsidRDefault="00DC4B3B" w:rsidP="00DC4B3B">
      <w:pPr>
        <w:rPr>
          <w:b/>
        </w:rPr>
      </w:pPr>
      <w:r w:rsidRPr="00DC4B3B">
        <w:t xml:space="preserve">According to this approach, individuals should proceed over six steps in order to analyze systematically. This is essential for the model to function properly. These six methods may be used to evaluate the good and </w:t>
      </w:r>
      <w:r w:rsidR="00007B26">
        <w:t>unfavourable</w:t>
      </w:r>
      <w:r w:rsidRPr="00DC4B3B">
        <w:t xml:space="preserve"> influences of a project on a community.</w:t>
      </w:r>
      <w:r w:rsidR="0092174F">
        <w:t xml:space="preserve"> </w:t>
      </w:r>
      <w:r w:rsidR="0092174F" w:rsidRPr="0092174F">
        <w:t xml:space="preserve">Using the model's first part, I may </w:t>
      </w:r>
      <w:r w:rsidR="00007B26" w:rsidRPr="0092174F">
        <w:t>analyze</w:t>
      </w:r>
      <w:r w:rsidR="0092174F" w:rsidRPr="0092174F">
        <w:t xml:space="preserve"> what occurred in the past and utilize its second half to better grasp the based on the regarding the development alternatives and conduct </w:t>
      </w:r>
      <w:r w:rsidR="005C736F">
        <w:t>activities</w:t>
      </w:r>
      <w:r w:rsidR="0092174F" w:rsidRPr="0092174F">
        <w:t xml:space="preserve"> to enhance my productivity in potential comparable scenarios.</w:t>
      </w:r>
      <w:r w:rsidR="0092174F">
        <w:t xml:space="preserve"> </w:t>
      </w:r>
      <w:r w:rsidRPr="00DC4B3B">
        <w:t xml:space="preserve"> After the conclusion of the inquiry, one might </w:t>
      </w:r>
      <w:r w:rsidR="005C736F" w:rsidRPr="00DC4B3B">
        <w:t>utilize</w:t>
      </w:r>
      <w:r w:rsidRPr="00DC4B3B">
        <w:t xml:space="preserve"> the findings to make modifications as required</w:t>
      </w:r>
      <w:r w:rsidR="00C85755">
        <w:t xml:space="preserve"> (Gibbs, </w:t>
      </w:r>
      <w:r w:rsidR="00C85755" w:rsidRPr="003741A3">
        <w:t xml:space="preserve">and </w:t>
      </w:r>
      <w:r w:rsidR="00C85755">
        <w:t xml:space="preserve">Andrew, </w:t>
      </w:r>
      <w:r w:rsidR="00C85755" w:rsidRPr="003741A3">
        <w:t>2001</w:t>
      </w:r>
      <w:r w:rsidR="00C85755">
        <w:t>)</w:t>
      </w:r>
      <w:r w:rsidRPr="00DC4B3B">
        <w:t xml:space="preserve">. By using this strategy, it is easy to evaluate the efficiency and get valuable information that can be </w:t>
      </w:r>
      <w:r w:rsidR="005C736F" w:rsidRPr="00DC4B3B">
        <w:t>utilized</w:t>
      </w:r>
      <w:r w:rsidRPr="00DC4B3B">
        <w:t xml:space="preserve"> to enhance possible outcomes. Here </w:t>
      </w:r>
      <w:proofErr w:type="gramStart"/>
      <w:r w:rsidRPr="00DC4B3B">
        <w:t>I  used</w:t>
      </w:r>
      <w:proofErr w:type="gramEnd"/>
      <w:r w:rsidRPr="00DC4B3B">
        <w:t xml:space="preserve"> the expertise and understanding gained from the prior assessment in order to present a thorough study of Next Plc's informational method.</w:t>
      </w:r>
      <w:r w:rsidR="00A1774B">
        <w:t xml:space="preserve">     </w:t>
      </w:r>
    </w:p>
    <w:p w14:paraId="689D53BC" w14:textId="77777777" w:rsidR="00DC4B3B" w:rsidRDefault="000E4C63" w:rsidP="00DC4B3B">
      <w:r>
        <w:rPr>
          <w:b/>
          <w:noProof/>
        </w:rPr>
        <w:lastRenderedPageBreak/>
        <w:drawing>
          <wp:anchor distT="0" distB="0" distL="114300" distR="114300" simplePos="0" relativeHeight="251658240" behindDoc="0" locked="0" layoutInCell="1" allowOverlap="1" wp14:anchorId="4F9FA1BE" wp14:editId="3A0CC992">
            <wp:simplePos x="0" y="0"/>
            <wp:positionH relativeFrom="column">
              <wp:posOffset>0</wp:posOffset>
            </wp:positionH>
            <wp:positionV relativeFrom="paragraph">
              <wp:posOffset>-1270</wp:posOffset>
            </wp:positionV>
            <wp:extent cx="5486400" cy="3200400"/>
            <wp:effectExtent l="0" t="0" r="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76A23287" w14:textId="77777777" w:rsidR="000E4C63" w:rsidRDefault="000E4C63" w:rsidP="00A6082F"/>
    <w:p w14:paraId="47796013" w14:textId="77777777" w:rsidR="000E4C63" w:rsidRDefault="000E4C63" w:rsidP="00A6082F"/>
    <w:p w14:paraId="16679CA2" w14:textId="77777777" w:rsidR="000E4C63" w:rsidRDefault="000E4C63" w:rsidP="00A6082F"/>
    <w:p w14:paraId="1FF0C3A0" w14:textId="77777777" w:rsidR="000E4C63" w:rsidRDefault="000E4C63" w:rsidP="00A6082F"/>
    <w:p w14:paraId="728DA39E" w14:textId="77777777" w:rsidR="000E4C63" w:rsidRDefault="000E4C63" w:rsidP="00A6082F"/>
    <w:p w14:paraId="3ECAE414" w14:textId="77777777" w:rsidR="00482809" w:rsidRDefault="00482809" w:rsidP="00C80A98">
      <w:pPr>
        <w:pStyle w:val="Heading2"/>
      </w:pPr>
      <w:r>
        <w:t>Description</w:t>
      </w:r>
    </w:p>
    <w:p w14:paraId="089C9A87" w14:textId="52FD9F9B" w:rsidR="00FF1459" w:rsidRDefault="00967823" w:rsidP="00482809">
      <w:r w:rsidRPr="00967823">
        <w:t xml:space="preserve">The learner should now recall their configuration tales from recollection at this stage of the procedure. This isn't an assessment, instead a detailed breakdown of the setting, the operations, and the timetables that will be followed. A variety of concerns are answered in this document, among them how the project has been implemented, wherever it has </w:t>
      </w:r>
      <w:proofErr w:type="gramStart"/>
      <w:r w:rsidRPr="00967823">
        <w:t>actually occurred</w:t>
      </w:r>
      <w:proofErr w:type="gramEnd"/>
      <w:r w:rsidRPr="00967823">
        <w:t>, and how it has been incorporated into the community. In addition, I've gained insight into Next Plc's community-building methods</w:t>
      </w:r>
      <w:r w:rsidR="005F388D">
        <w:t xml:space="preserve"> (Cartwright, 2011)</w:t>
      </w:r>
      <w:r w:rsidRPr="00967823">
        <w:t xml:space="preserve">. Getting engaged in society and using different types of social media were some of the things I </w:t>
      </w:r>
      <w:r w:rsidR="00276A99">
        <w:t>learned</w:t>
      </w:r>
      <w:r w:rsidRPr="00967823">
        <w:t xml:space="preserve"> throughout this step of the process. A detailed description of </w:t>
      </w:r>
      <w:proofErr w:type="gramStart"/>
      <w:r w:rsidRPr="00967823">
        <w:t>all of</w:t>
      </w:r>
      <w:proofErr w:type="gramEnd"/>
      <w:r w:rsidRPr="00967823">
        <w:t xml:space="preserve"> the various social networking sites was required at the start.</w:t>
      </w:r>
    </w:p>
    <w:p w14:paraId="06EC369B" w14:textId="77777777" w:rsidR="00114857" w:rsidRDefault="00114857" w:rsidP="00482809"/>
    <w:p w14:paraId="7AE0D68D" w14:textId="77777777" w:rsidR="00482809" w:rsidRDefault="00482809" w:rsidP="00C80A98">
      <w:pPr>
        <w:pStyle w:val="Heading2"/>
      </w:pPr>
      <w:r>
        <w:t>Feelings</w:t>
      </w:r>
    </w:p>
    <w:p w14:paraId="1E93D131" w14:textId="393CB75C" w:rsidR="00FF1459" w:rsidRDefault="00967823" w:rsidP="00FF1459">
      <w:r w:rsidRPr="00967823">
        <w:t xml:space="preserve">Our goal at this point is for individuals to </w:t>
      </w:r>
      <w:proofErr w:type="gramStart"/>
      <w:r w:rsidRPr="00967823">
        <w:t>open up</w:t>
      </w:r>
      <w:proofErr w:type="gramEnd"/>
      <w:r w:rsidRPr="00967823">
        <w:t xml:space="preserve"> about </w:t>
      </w:r>
      <w:r w:rsidR="00276A99">
        <w:t>their</w:t>
      </w:r>
      <w:r w:rsidRPr="00967823">
        <w:t xml:space="preserve"> thoughts and emotions that the session has elicited. As a member </w:t>
      </w:r>
      <w:r w:rsidR="008C590A">
        <w:t>of</w:t>
      </w:r>
      <w:r w:rsidRPr="00967823">
        <w:t xml:space="preserve"> such a community engagement campaign, I now feel well-versed </w:t>
      </w:r>
      <w:r w:rsidR="008C590A">
        <w:t>in</w:t>
      </w:r>
      <w:r w:rsidRPr="00967823">
        <w:t xml:space="preserve"> the benefits of using social media to include </w:t>
      </w:r>
      <w:r w:rsidR="008F7788">
        <w:t>the community</w:t>
      </w:r>
      <w:r w:rsidRPr="00967823">
        <w:t xml:space="preserve"> in the company. Before, I lacked this. Now, I've got it. It is also hoped that the community would be given greater authority as a result of this ex</w:t>
      </w:r>
      <w:r w:rsidR="0058352B">
        <w:t>tensive community involvement (</w:t>
      </w:r>
      <w:r w:rsidR="0058352B" w:rsidRPr="003741A3">
        <w:t>Gibbs</w:t>
      </w:r>
      <w:r w:rsidR="0058352B">
        <w:t xml:space="preserve"> and Andrew, 2001).</w:t>
      </w:r>
      <w:r w:rsidRPr="00967823">
        <w:t xml:space="preserve"> This shows that the company cares about its customers and aims to improve </w:t>
      </w:r>
      <w:proofErr w:type="gramStart"/>
      <w:r w:rsidRPr="00967823">
        <w:t>society as a whole</w:t>
      </w:r>
      <w:proofErr w:type="gramEnd"/>
      <w:r w:rsidRPr="00967823">
        <w:t xml:space="preserve">. Achieving this </w:t>
      </w:r>
      <w:r w:rsidRPr="00967823">
        <w:lastRenderedPageBreak/>
        <w:t xml:space="preserve">common purpose will be possible via cooperative efforts among many groups and </w:t>
      </w:r>
      <w:r w:rsidR="008C590A" w:rsidRPr="00967823">
        <w:t>organizations</w:t>
      </w:r>
      <w:r w:rsidR="00B84F42">
        <w:t xml:space="preserve"> (Dare, Schirmer, and </w:t>
      </w:r>
      <w:proofErr w:type="spellStart"/>
      <w:r w:rsidR="00B84F42">
        <w:t>Vanclay</w:t>
      </w:r>
      <w:proofErr w:type="spellEnd"/>
      <w:r w:rsidR="00B84F42">
        <w:t xml:space="preserve">, </w:t>
      </w:r>
      <w:r w:rsidR="00B84F42" w:rsidRPr="00720AE2">
        <w:t>2014</w:t>
      </w:r>
      <w:r w:rsidR="00B84F42">
        <w:t>)</w:t>
      </w:r>
      <w:r w:rsidRPr="00967823">
        <w:t>.</w:t>
      </w:r>
    </w:p>
    <w:p w14:paraId="46621EE5" w14:textId="77777777" w:rsidR="00114857" w:rsidRDefault="00114857" w:rsidP="00C80A98">
      <w:pPr>
        <w:pStyle w:val="Heading2"/>
      </w:pPr>
    </w:p>
    <w:p w14:paraId="27CD02EB" w14:textId="7D732BBE" w:rsidR="00482809" w:rsidRDefault="00482809" w:rsidP="00C80A98">
      <w:pPr>
        <w:pStyle w:val="Heading2"/>
      </w:pPr>
      <w:r>
        <w:t>Evaluation</w:t>
      </w:r>
    </w:p>
    <w:p w14:paraId="7EF5BB19" w14:textId="4F08E58F" w:rsidR="00FF1459" w:rsidRDefault="00967823" w:rsidP="00482809">
      <w:r w:rsidRPr="00967823">
        <w:t xml:space="preserve">Results have taken </w:t>
      </w:r>
      <w:r w:rsidR="008C590A">
        <w:t>centre</w:t>
      </w:r>
      <w:r w:rsidRPr="00967823">
        <w:t xml:space="preserve"> stage at this point in the project's development. Working in the area of programme </w:t>
      </w:r>
      <w:r w:rsidR="008C590A">
        <w:t>practice</w:t>
      </w:r>
      <w:r w:rsidRPr="00967823">
        <w:t xml:space="preserve"> allowed me to gather extensive experience. For the time being, I'm pleased with the way things are going. Just for myself, I've devised a unique educational opportunity. Many of the firms involved in this project's many facets are now </w:t>
      </w:r>
      <w:r w:rsidR="008C590A" w:rsidRPr="00967823">
        <w:t>recognizable</w:t>
      </w:r>
      <w:r w:rsidRPr="00967823">
        <w:t xml:space="preserve"> to me, as are the various tactics they use to engage the local community</w:t>
      </w:r>
      <w:r w:rsidR="004373F3">
        <w:t xml:space="preserve"> (Cartwright, 2011)</w:t>
      </w:r>
      <w:r w:rsidRPr="00967823">
        <w:t xml:space="preserve">. But it doesn't seem to be focused on the right area of the community. It is, nevertheless, necessary that such a community participate in order to have a lasting impact. As a community engagement initiative, though, I can see how it could be able to foster cooperation. </w:t>
      </w:r>
      <w:proofErr w:type="gramStart"/>
      <w:r w:rsidRPr="00967823">
        <w:t>In light of</w:t>
      </w:r>
      <w:proofErr w:type="gramEnd"/>
      <w:r w:rsidRPr="00967823">
        <w:t xml:space="preserve"> the community's benefits, it has a positive influence on the participants</w:t>
      </w:r>
      <w:r w:rsidR="0059594E">
        <w:t xml:space="preserve"> (</w:t>
      </w:r>
      <w:r w:rsidR="0059594E" w:rsidRPr="00EF5C4B">
        <w:t>Ferreira</w:t>
      </w:r>
      <w:r w:rsidR="0059594E">
        <w:t xml:space="preserve"> et al., 2020)</w:t>
      </w:r>
      <w:r w:rsidRPr="00967823">
        <w:t>.</w:t>
      </w:r>
    </w:p>
    <w:p w14:paraId="3F272374" w14:textId="77777777" w:rsidR="00114857" w:rsidRDefault="00114857" w:rsidP="00482809"/>
    <w:p w14:paraId="3417A418" w14:textId="77777777" w:rsidR="00482809" w:rsidRDefault="00482809" w:rsidP="00335633">
      <w:pPr>
        <w:pStyle w:val="Heading2"/>
      </w:pPr>
      <w:r>
        <w:t>Analysis</w:t>
      </w:r>
    </w:p>
    <w:p w14:paraId="09FF09DC" w14:textId="406441D6" w:rsidR="00FF1459" w:rsidRDefault="009F3CA8" w:rsidP="00FF1459">
      <w:r w:rsidRPr="009F3CA8">
        <w:t xml:space="preserve">When anything like this takes place, determining the reason why it did so is not a simple task. </w:t>
      </w:r>
      <w:proofErr w:type="gramStart"/>
      <w:r w:rsidRPr="009F3CA8">
        <w:t>As a consequence of</w:t>
      </w:r>
      <w:proofErr w:type="gramEnd"/>
      <w:r w:rsidRPr="009F3CA8">
        <w:t xml:space="preserve"> this, the person who is receiving instruction is the one who is ultimately responsible for determining the reasons why some concepts were practical while others were not. It's possible to draw the conclusion that the project has been successful in its goal of promoting a positive attitude </w:t>
      </w:r>
      <w:r w:rsidR="008423D0">
        <w:t>in</w:t>
      </w:r>
      <w:r w:rsidRPr="009F3CA8">
        <w:t xml:space="preserve"> the </w:t>
      </w:r>
      <w:proofErr w:type="spellStart"/>
      <w:r w:rsidR="008423D0">
        <w:t>neighbourhood</w:t>
      </w:r>
      <w:proofErr w:type="spellEnd"/>
      <w:r w:rsidR="00262A1E">
        <w:t xml:space="preserve"> (</w:t>
      </w:r>
      <w:r w:rsidR="00262A1E" w:rsidRPr="003741A3">
        <w:t>Gibbs</w:t>
      </w:r>
      <w:r w:rsidR="00262A1E">
        <w:t xml:space="preserve"> and Andrew, 2001)</w:t>
      </w:r>
      <w:r w:rsidRPr="009F3CA8">
        <w:t xml:space="preserve">. The research is difficult in a variety of different ways. I have, for instance, investigated the many methods used by Next Plc for involving the general public in the activities of the business. If the fashion company </w:t>
      </w:r>
      <w:proofErr w:type="gramStart"/>
      <w:r w:rsidRPr="009F3CA8">
        <w:t>is able to</w:t>
      </w:r>
      <w:proofErr w:type="gramEnd"/>
      <w:r w:rsidRPr="009F3CA8">
        <w:t xml:space="preserve"> appeal to a diverse clientele, then it will be able to participate in the community in a meaningful way. The participation freedoms and safe working conditions of workers need to be protected, but workers also have an obligation to do so on their own behalf</w:t>
      </w:r>
      <w:r w:rsidR="008D4FBC">
        <w:t xml:space="preserve"> (Greenwood, 2001)</w:t>
      </w:r>
      <w:r w:rsidRPr="009F3CA8">
        <w:t>. On the other hand, the corporation is entrusted with growing a client base that is loyal to the brand, establishing relationships with influential individuals, and a variety of other tasks.</w:t>
      </w:r>
    </w:p>
    <w:p w14:paraId="1CB72A51" w14:textId="77777777" w:rsidR="00114857" w:rsidRDefault="00114857" w:rsidP="00FF1459"/>
    <w:p w14:paraId="1829E7EF" w14:textId="204C0E7D" w:rsidR="00482809" w:rsidRDefault="00BF5906" w:rsidP="00335633">
      <w:pPr>
        <w:pStyle w:val="Heading2"/>
      </w:pPr>
      <w:r>
        <w:lastRenderedPageBreak/>
        <w:t>Summary</w:t>
      </w:r>
    </w:p>
    <w:p w14:paraId="1AB37958" w14:textId="77777777" w:rsidR="009F3CA8" w:rsidRDefault="009F3CA8" w:rsidP="009F3CA8">
      <w:pPr>
        <w:rPr>
          <w:b/>
        </w:rPr>
      </w:pPr>
      <w:proofErr w:type="gramStart"/>
      <w:r w:rsidRPr="009F3CA8">
        <w:t>In order for</w:t>
      </w:r>
      <w:proofErr w:type="gramEnd"/>
      <w:r w:rsidRPr="009F3CA8">
        <w:t xml:space="preserve"> businesses to keep up with the rapid technological advancements that are going place all over the world right now, it is vital for them to maintain communication via social media. I was able to acquire new knowledge and discover this while going through the evaluation procedure. As a result of going through these experiences, I now understand how vital it is to be able to effectively connect with other people who are a part of a community and to be able to take charge in that community</w:t>
      </w:r>
      <w:r w:rsidR="00DD6704">
        <w:t xml:space="preserve"> (</w:t>
      </w:r>
      <w:proofErr w:type="spellStart"/>
      <w:r w:rsidR="00DD6704">
        <w:t>Ghaye</w:t>
      </w:r>
      <w:proofErr w:type="spellEnd"/>
      <w:r w:rsidR="00DD6704">
        <w:t>, 2010)</w:t>
      </w:r>
      <w:r w:rsidRPr="009F3CA8">
        <w:t>. These qualities are referred to together as "people skills." Companies are more aware than they have ever been in the past about the potential role that social media platforms might play in the expansion of their business operations in today's environment.</w:t>
      </w:r>
    </w:p>
    <w:p w14:paraId="107D34AF" w14:textId="77777777" w:rsidR="00114857" w:rsidRDefault="00114857" w:rsidP="008F3738">
      <w:pPr>
        <w:pStyle w:val="Heading2"/>
      </w:pPr>
    </w:p>
    <w:p w14:paraId="7242DD50" w14:textId="3D480F3C" w:rsidR="00482809" w:rsidRDefault="00482809" w:rsidP="008F3738">
      <w:pPr>
        <w:pStyle w:val="Heading2"/>
      </w:pPr>
      <w:r>
        <w:t>Action Plan</w:t>
      </w:r>
    </w:p>
    <w:p w14:paraId="0A3136AF" w14:textId="4F3964F9" w:rsidR="00FF1459" w:rsidRDefault="00FF1459" w:rsidP="00FF1459">
      <w:pPr>
        <w:rPr>
          <w:b/>
        </w:rPr>
      </w:pPr>
      <w:r w:rsidRPr="00FF1459">
        <w:t xml:space="preserve">Assisting the person in formulating a strategy for how they will behave when confronted with </w:t>
      </w:r>
      <w:r w:rsidR="008C590A">
        <w:t xml:space="preserve">the </w:t>
      </w:r>
      <w:r w:rsidRPr="00FF1459">
        <w:t xml:space="preserve">same circumstances in the future while also taking into consideration any routine adjustments they believe would be more efficient is an essential component of this step. Think about any changes that people make </w:t>
      </w:r>
      <w:proofErr w:type="gramStart"/>
      <w:r w:rsidRPr="00FF1459">
        <w:t>on a daily basis</w:t>
      </w:r>
      <w:proofErr w:type="gramEnd"/>
      <w:r w:rsidRPr="00FF1459">
        <w:t xml:space="preserve"> that they think could help enhance their response during that time period. After they have reached their conclusion, the reflector should think about how they may begin preparing themselves for future events, and how they can do it in a way that is more successful than what they have done in the past</w:t>
      </w:r>
      <w:r w:rsidR="005B342F">
        <w:t xml:space="preserve"> (Greenwood, 2001)</w:t>
      </w:r>
      <w:r w:rsidRPr="00FF1459">
        <w:t>. It is planned that the reflector will also take part in the activities that will successfully raise their level of production. At this level, it is the learner's responsibility to choose the kind of activities in which they could participate in order to further develop their skills and comprehension of the material. In addition to this, individuals are free to include in their plans any method of education that they think would be beneficial to others and include it in their plans</w:t>
      </w:r>
      <w:r w:rsidR="00FD5C8D">
        <w:t xml:space="preserve"> (Markkanen, </w:t>
      </w:r>
      <w:proofErr w:type="spellStart"/>
      <w:r w:rsidR="00FD5C8D">
        <w:t>Välimäki</w:t>
      </w:r>
      <w:proofErr w:type="spellEnd"/>
      <w:r w:rsidR="00FD5C8D">
        <w:t xml:space="preserve">, </w:t>
      </w:r>
      <w:proofErr w:type="spellStart"/>
      <w:r w:rsidR="00FD5C8D">
        <w:t>Anttila</w:t>
      </w:r>
      <w:proofErr w:type="spellEnd"/>
      <w:r w:rsidR="00FD5C8D">
        <w:t xml:space="preserve">, and </w:t>
      </w:r>
      <w:proofErr w:type="spellStart"/>
      <w:r w:rsidR="00FD5C8D">
        <w:t>Kuuskorpi</w:t>
      </w:r>
      <w:proofErr w:type="spellEnd"/>
      <w:r w:rsidR="00FD5C8D">
        <w:t xml:space="preserve">, </w:t>
      </w:r>
      <w:r w:rsidR="00FD5C8D" w:rsidRPr="00A24252">
        <w:t>2020</w:t>
      </w:r>
      <w:r w:rsidR="00FD5C8D">
        <w:t>)</w:t>
      </w:r>
      <w:r w:rsidRPr="00FF1459">
        <w:t xml:space="preserve">. </w:t>
      </w:r>
      <w:r w:rsidR="008C590A">
        <w:t>In</w:t>
      </w:r>
      <w:r w:rsidRPr="00FF1459">
        <w:t xml:space="preserve"> </w:t>
      </w:r>
      <w:r w:rsidR="008C590A">
        <w:t>the</w:t>
      </w:r>
      <w:r w:rsidRPr="00FF1459">
        <w:t xml:space="preserve"> last phase, it is the responsibility of the reflector to determine the necessary assistance or </w:t>
      </w:r>
      <w:r w:rsidR="008C590A">
        <w:t>access</w:t>
      </w:r>
      <w:r w:rsidRPr="00FF1459">
        <w:t xml:space="preserve"> data that might potentially improve the actions they do in the future in response to circumstances that are </w:t>
      </w:r>
      <w:proofErr w:type="gramStart"/>
      <w:r w:rsidRPr="00FF1459">
        <w:t>similar to</w:t>
      </w:r>
      <w:proofErr w:type="gramEnd"/>
      <w:r w:rsidRPr="00FF1459">
        <w:t xml:space="preserve"> those encountered.</w:t>
      </w:r>
    </w:p>
    <w:p w14:paraId="1199A671" w14:textId="77777777" w:rsidR="00BF5906" w:rsidRDefault="00BF5906">
      <w:pPr>
        <w:spacing w:line="259" w:lineRule="auto"/>
        <w:jc w:val="left"/>
        <w:rPr>
          <w:rFonts w:eastAsiaTheme="majorEastAsia" w:cstheme="majorBidi"/>
          <w:b/>
          <w:sz w:val="32"/>
          <w:szCs w:val="32"/>
        </w:rPr>
      </w:pPr>
      <w:r>
        <w:br w:type="page"/>
      </w:r>
    </w:p>
    <w:p w14:paraId="1D0B8B5A" w14:textId="0EC0B2D7" w:rsidR="007768B5" w:rsidRDefault="007768B5" w:rsidP="007768B5">
      <w:pPr>
        <w:pStyle w:val="Heading1"/>
      </w:pPr>
      <w:r w:rsidRPr="007768B5">
        <w:lastRenderedPageBreak/>
        <w:t>Conformity to the Principle of Community Engagement</w:t>
      </w:r>
    </w:p>
    <w:p w14:paraId="5EEDC2E0" w14:textId="3486AAC5" w:rsidR="00F00514" w:rsidRDefault="00F00514" w:rsidP="00482809">
      <w:r w:rsidRPr="00F00514">
        <w:t xml:space="preserve">While conducting this study, researchers adhered to most of the program's guidelines for community engagement. To determine the benefits to society that a community engagement programme will offer, its </w:t>
      </w:r>
      <w:r w:rsidR="008423D0" w:rsidRPr="00F00514">
        <w:t>organizer</w:t>
      </w:r>
      <w:r w:rsidRPr="00F00514">
        <w:t xml:space="preserve"> will use a set of guiding principles</w:t>
      </w:r>
      <w:r w:rsidR="007852E9">
        <w:t xml:space="preserve"> (Dare, Schirmer, and </w:t>
      </w:r>
      <w:proofErr w:type="spellStart"/>
      <w:r w:rsidR="007852E9">
        <w:t>Vanclay</w:t>
      </w:r>
      <w:proofErr w:type="spellEnd"/>
      <w:r w:rsidR="007852E9">
        <w:t xml:space="preserve">, </w:t>
      </w:r>
      <w:r w:rsidR="007852E9" w:rsidRPr="00720AE2">
        <w:t>2014</w:t>
      </w:r>
      <w:r w:rsidR="007852E9">
        <w:t>)</w:t>
      </w:r>
      <w:r w:rsidRPr="00F00514">
        <w:t>. They're</w:t>
      </w:r>
      <w:r w:rsidR="008C2995">
        <w:t xml:space="preserve"> as described in the following:</w:t>
      </w:r>
    </w:p>
    <w:p w14:paraId="6259FAA4" w14:textId="77777777" w:rsidR="00F00514" w:rsidRDefault="00F00514" w:rsidP="00F00514">
      <w:pPr>
        <w:pStyle w:val="ListParagraph"/>
        <w:numPr>
          <w:ilvl w:val="0"/>
          <w:numId w:val="1"/>
        </w:numPr>
      </w:pPr>
      <w:r>
        <w:t>Preparation and planning are essential. Ensure that the design, structure, and convening of the process serves both a clearly stated objective and the requirements of the participants by doing appropriate and inclusive preparation prior to the process.</w:t>
      </w:r>
    </w:p>
    <w:p w14:paraId="30F15BAB" w14:textId="77777777" w:rsidR="00F00514" w:rsidRDefault="00F00514" w:rsidP="00F00514">
      <w:pPr>
        <w:pStyle w:val="ListParagraph"/>
        <w:numPr>
          <w:ilvl w:val="0"/>
          <w:numId w:val="1"/>
        </w:numPr>
      </w:pPr>
      <w:r>
        <w:t>Diversity in demographics and the inclusion of people from many backgrounds. Integrate various perspectives, ideas and information into the process to ensure excellent results and democratic legitimacy</w:t>
      </w:r>
      <w:r w:rsidR="009B6B36">
        <w:t xml:space="preserve"> (</w:t>
      </w:r>
      <w:r w:rsidR="009B6B36" w:rsidRPr="00A24252">
        <w:t>Br</w:t>
      </w:r>
      <w:r w:rsidR="009B6B36">
        <w:t xml:space="preserve">yson and Quinn Patton, </w:t>
      </w:r>
      <w:r w:rsidR="009B6B36" w:rsidRPr="00A24252">
        <w:t>2015</w:t>
      </w:r>
      <w:r w:rsidR="009B6B36">
        <w:t>)</w:t>
      </w:r>
      <w:r>
        <w:t>.</w:t>
      </w:r>
    </w:p>
    <w:p w14:paraId="36566CCA" w14:textId="215947E8" w:rsidR="00724103" w:rsidRDefault="00F00514" w:rsidP="00724103">
      <w:pPr>
        <w:pStyle w:val="ListParagraph"/>
        <w:numPr>
          <w:ilvl w:val="0"/>
          <w:numId w:val="1"/>
        </w:numPr>
      </w:pPr>
      <w:r>
        <w:t xml:space="preserve">Having </w:t>
      </w:r>
      <w:r w:rsidR="008423D0">
        <w:t>the</w:t>
      </w:r>
      <w:r>
        <w:t xml:space="preserve"> same goal and working together. </w:t>
      </w:r>
      <w:r w:rsidR="00724103" w:rsidRPr="00724103">
        <w:t>Do their best to assist individuals from all types of backgrounds working toward the betterment.</w:t>
      </w:r>
    </w:p>
    <w:p w14:paraId="2C9847AB" w14:textId="11FFC0A8" w:rsidR="00724103" w:rsidRDefault="00724103" w:rsidP="00724103">
      <w:pPr>
        <w:pStyle w:val="ListParagraph"/>
        <w:numPr>
          <w:ilvl w:val="0"/>
          <w:numId w:val="1"/>
        </w:numPr>
      </w:pPr>
      <w:r w:rsidRPr="00724103">
        <w:t xml:space="preserve">Acceptance of new experiences and knowledge. There ought to be </w:t>
      </w:r>
      <w:r w:rsidR="008423D0">
        <w:t xml:space="preserve">a </w:t>
      </w:r>
      <w:r w:rsidRPr="00724103">
        <w:t xml:space="preserve">methodical evaluation of the performance of community involvement activities by enabling individuals involved to hear </w:t>
      </w:r>
      <w:r w:rsidR="008423D0">
        <w:t>from</w:t>
      </w:r>
      <w:r w:rsidRPr="00724103">
        <w:t xml:space="preserve"> other people and think deeply beyond preset conclusions</w:t>
      </w:r>
      <w:r w:rsidR="00C15858">
        <w:t xml:space="preserve"> (Barnes and Schmitz, </w:t>
      </w:r>
      <w:r w:rsidR="00C15858" w:rsidRPr="00D655BE">
        <w:t>2016</w:t>
      </w:r>
      <w:r w:rsidR="00C15858">
        <w:t>).</w:t>
      </w:r>
    </w:p>
    <w:p w14:paraId="69022D21" w14:textId="77777777" w:rsidR="00724103" w:rsidRDefault="00724103" w:rsidP="00724103">
      <w:pPr>
        <w:pStyle w:val="ListParagraph"/>
        <w:numPr>
          <w:ilvl w:val="0"/>
          <w:numId w:val="1"/>
        </w:numPr>
      </w:pPr>
      <w:r w:rsidRPr="00724103">
        <w:t>Honesty and confidence are essential. Include a documentary evidence of the participants, supporters, achievements, and a wide spectrum of opinions and ideas stated.</w:t>
      </w:r>
    </w:p>
    <w:p w14:paraId="138A4C2B" w14:textId="77777777" w:rsidR="00724103" w:rsidRDefault="00724103" w:rsidP="00724103">
      <w:pPr>
        <w:pStyle w:val="ListParagraph"/>
        <w:numPr>
          <w:ilvl w:val="0"/>
          <w:numId w:val="1"/>
        </w:numPr>
      </w:pPr>
      <w:r w:rsidRPr="00724103">
        <w:t>It's all about the work and the outcomes. It's important for individuals to comprehend how their actions may have a direct influence on the world at large.</w:t>
      </w:r>
    </w:p>
    <w:p w14:paraId="3B98C6CB" w14:textId="49DB8AF5" w:rsidR="00F00514" w:rsidRDefault="00F00514" w:rsidP="00724103">
      <w:pPr>
        <w:pStyle w:val="ListParagraph"/>
        <w:numPr>
          <w:ilvl w:val="0"/>
          <w:numId w:val="1"/>
        </w:numPr>
      </w:pPr>
      <w:r>
        <w:t xml:space="preserve">Creating a Participatory and Engaging Environment. Incorporate activities and </w:t>
      </w:r>
      <w:r w:rsidR="008423D0">
        <w:t>organizations</w:t>
      </w:r>
      <w:r>
        <w:t xml:space="preserve"> that encourage long-term, high-quality involvement in the community to help foster a participation culture</w:t>
      </w:r>
      <w:r w:rsidR="002666B3">
        <w:t xml:space="preserve"> (</w:t>
      </w:r>
      <w:proofErr w:type="spellStart"/>
      <w:r w:rsidR="002666B3">
        <w:t>Chinyio</w:t>
      </w:r>
      <w:proofErr w:type="spellEnd"/>
      <w:r w:rsidR="002666B3">
        <w:t xml:space="preserve">, and Akintoye, </w:t>
      </w:r>
      <w:r w:rsidR="002666B3" w:rsidRPr="00A24252">
        <w:t>2008</w:t>
      </w:r>
      <w:r w:rsidR="002666B3">
        <w:t>)</w:t>
      </w:r>
      <w:r>
        <w:t>.</w:t>
      </w:r>
    </w:p>
    <w:p w14:paraId="6F0F23EC" w14:textId="61FAA12E" w:rsidR="00482809" w:rsidRDefault="00F00514" w:rsidP="00F00514">
      <w:r w:rsidRPr="00F00514">
        <w:t xml:space="preserve">Additionally, the project </w:t>
      </w:r>
      <w:r w:rsidR="008423D0" w:rsidRPr="00F00514">
        <w:t>utilizes</w:t>
      </w:r>
      <w:r w:rsidRPr="00F00514">
        <w:t xml:space="preserve"> different social media platforms to promote a two-way communication between the society and the project. Because of these considerations, it is feasible to say that the programme has made steps to maintain the ideals listed above.</w:t>
      </w:r>
    </w:p>
    <w:p w14:paraId="70544BE3" w14:textId="77777777" w:rsidR="00114857" w:rsidRDefault="00114857">
      <w:pPr>
        <w:spacing w:line="259" w:lineRule="auto"/>
        <w:jc w:val="left"/>
        <w:rPr>
          <w:rFonts w:eastAsiaTheme="majorEastAsia" w:cstheme="majorBidi"/>
          <w:b/>
          <w:sz w:val="32"/>
          <w:szCs w:val="32"/>
        </w:rPr>
      </w:pPr>
      <w:r>
        <w:br w:type="page"/>
      </w:r>
    </w:p>
    <w:p w14:paraId="25475893" w14:textId="2E5AE6C8" w:rsidR="00482809" w:rsidRDefault="00482809" w:rsidP="00482809">
      <w:pPr>
        <w:pStyle w:val="Heading1"/>
      </w:pPr>
      <w:r>
        <w:lastRenderedPageBreak/>
        <w:t>Conclusion</w:t>
      </w:r>
      <w:r w:rsidR="00F47E25">
        <w:t xml:space="preserve"> &amp; Recommendations</w:t>
      </w:r>
    </w:p>
    <w:p w14:paraId="3D1DD306" w14:textId="0EBAE341" w:rsidR="00804895" w:rsidRDefault="00283D2C" w:rsidP="005953C7">
      <w:r w:rsidRPr="00283D2C">
        <w:t xml:space="preserve">It may be claimed that social media helps individuals to interact through virtualization and community. Using social media makes it easier to communicate data, articles, videos and photographs since it is </w:t>
      </w:r>
      <w:r w:rsidR="008423D0">
        <w:t xml:space="preserve">the </w:t>
      </w:r>
      <w:r w:rsidRPr="00283D2C">
        <w:t xml:space="preserve">world wide web. On a desktop or mobile device, apps and web-based applications enable social media usage. The </w:t>
      </w:r>
      <w:r w:rsidR="008423D0" w:rsidRPr="00283D2C">
        <w:t>utilization</w:t>
      </w:r>
      <w:r w:rsidRPr="00283D2C">
        <w:t xml:space="preserve"> of social media is now a need for all companies. Businesses use social media as a tool for community engagement. </w:t>
      </w:r>
      <w:r w:rsidR="008423D0">
        <w:t>Everyone</w:t>
      </w:r>
      <w:r w:rsidRPr="00283D2C">
        <w:t xml:space="preserve"> is really affected by a variety of factors, some of which may be discovered and addressed by active participation in their local community.</w:t>
      </w:r>
      <w:r w:rsidR="006450A2">
        <w:t xml:space="preserve"> </w:t>
      </w:r>
      <w:r w:rsidR="003077A3">
        <w:t xml:space="preserve">Participating in local affairs gives people a voice in the choices that influence their daily lives, their towns, cities, and </w:t>
      </w:r>
      <w:r w:rsidR="008423D0">
        <w:t>neighborhoods</w:t>
      </w:r>
      <w:r w:rsidR="003077A3">
        <w:t xml:space="preserve">. It gives citizens a voice in public decision-making, while also keeping them informed and educating them about policy problems that </w:t>
      </w:r>
      <w:proofErr w:type="gramStart"/>
      <w:r w:rsidR="003077A3">
        <w:t>have an effect on</w:t>
      </w:r>
      <w:proofErr w:type="gramEnd"/>
      <w:r w:rsidR="003077A3">
        <w:t xml:space="preserve"> their day-to-day lives. As a result of citizen input, government and public decision-making institutions are better equipped to hear what the people have to say and thereby illustrate the value of community involvement. In other words, community involvement strengthens and fosters confidence among government agencies and the populations they serve.</w:t>
      </w:r>
      <w:r w:rsidR="005953C7">
        <w:t xml:space="preserve"> </w:t>
      </w:r>
      <w:r w:rsidR="005953C7" w:rsidRPr="005953C7">
        <w:t>When a project's goals are achieved, it is considered a success. In order to successfully complete a project, one must have a well-thought-out work strategy, specific goals, and a system in place to monitor progress.</w:t>
      </w:r>
      <w:r w:rsidR="00804895">
        <w:t xml:space="preserve"> They can also take </w:t>
      </w:r>
      <w:r w:rsidR="008423D0">
        <w:t xml:space="preserve">a </w:t>
      </w:r>
      <w:r w:rsidR="00804895">
        <w:t xml:space="preserve">few </w:t>
      </w:r>
      <w:proofErr w:type="gramStart"/>
      <w:r w:rsidR="00804895">
        <w:t>suggestions:-</w:t>
      </w:r>
      <w:proofErr w:type="gramEnd"/>
    </w:p>
    <w:p w14:paraId="3C355BEE" w14:textId="77777777" w:rsidR="00CB50ED" w:rsidRDefault="00CF4020" w:rsidP="00CF4020">
      <w:pPr>
        <w:pStyle w:val="ListParagraph"/>
        <w:numPr>
          <w:ilvl w:val="0"/>
          <w:numId w:val="2"/>
        </w:numPr>
      </w:pPr>
      <w:r w:rsidRPr="00CF4020">
        <w:t>Keeping the project on track is vital after identifying and reducing potential risks. Data monitoring and analytics may help keep the project on pace.</w:t>
      </w:r>
    </w:p>
    <w:p w14:paraId="66148FA0" w14:textId="77777777" w:rsidR="00CF4020" w:rsidRDefault="00CF4020" w:rsidP="00CF4020">
      <w:pPr>
        <w:pStyle w:val="ListParagraph"/>
        <w:numPr>
          <w:ilvl w:val="0"/>
          <w:numId w:val="2"/>
        </w:numPr>
      </w:pPr>
      <w:r w:rsidRPr="00CF4020">
        <w:t>An organization's documentation system serves as a roadmap to ultimate prosperity. This can assist to eliminate misconceptions and certain other interaction issues that may arise amongst individuals. </w:t>
      </w:r>
    </w:p>
    <w:p w14:paraId="3DD6E8FB" w14:textId="77777777" w:rsidR="00CF4020" w:rsidRDefault="003C1F5E" w:rsidP="003C1F5E">
      <w:pPr>
        <w:pStyle w:val="ListParagraph"/>
        <w:numPr>
          <w:ilvl w:val="0"/>
          <w:numId w:val="2"/>
        </w:numPr>
      </w:pPr>
      <w:r w:rsidRPr="003C1F5E">
        <w:t xml:space="preserve">Organizations can strive to improve their productivity at all </w:t>
      </w:r>
      <w:proofErr w:type="gramStart"/>
      <w:r w:rsidRPr="003C1F5E">
        <w:t>times, and</w:t>
      </w:r>
      <w:proofErr w:type="gramEnd"/>
      <w:r w:rsidRPr="003C1F5E">
        <w:t xml:space="preserve"> being abreast of cutting-edge methods like agile and lean may aid in this endeavour.</w:t>
      </w:r>
    </w:p>
    <w:p w14:paraId="78B4C8AF" w14:textId="77777777" w:rsidR="00091C14" w:rsidRDefault="00091C14" w:rsidP="00091C14"/>
    <w:p w14:paraId="4A83EA2B" w14:textId="77777777" w:rsidR="00091C14" w:rsidRDefault="00091C14" w:rsidP="00091C14"/>
    <w:p w14:paraId="41BB528E" w14:textId="77777777" w:rsidR="00091C14" w:rsidRDefault="00091C14" w:rsidP="00091C14"/>
    <w:p w14:paraId="39D7450C" w14:textId="3FAD64EA" w:rsidR="008F4A6B" w:rsidRDefault="008F4A6B" w:rsidP="007516C4">
      <w:pPr>
        <w:pStyle w:val="Heading1"/>
      </w:pPr>
      <w:r>
        <w:lastRenderedPageBreak/>
        <w:t>Word count:</w:t>
      </w:r>
      <w:r w:rsidR="00F44692">
        <w:t xml:space="preserve"> 2143</w:t>
      </w:r>
    </w:p>
    <w:p w14:paraId="4A5AF0BF" w14:textId="52BD0E37" w:rsidR="00091C14" w:rsidRPr="002F063D" w:rsidRDefault="007516C4" w:rsidP="007516C4">
      <w:pPr>
        <w:pStyle w:val="Heading1"/>
      </w:pPr>
      <w:r>
        <w:t xml:space="preserve">References </w:t>
      </w:r>
    </w:p>
    <w:p w14:paraId="38BE70B9" w14:textId="77777777" w:rsidR="008F4A6B" w:rsidRDefault="008F4A6B" w:rsidP="00942DA4">
      <w:pPr>
        <w:pStyle w:val="ListParagraph"/>
        <w:numPr>
          <w:ilvl w:val="0"/>
          <w:numId w:val="3"/>
        </w:numPr>
      </w:pPr>
      <w:r>
        <w:t>Barnes, M. and Schmitz, P.</w:t>
      </w:r>
      <w:r w:rsidRPr="00D655BE">
        <w:t xml:space="preserve"> </w:t>
      </w:r>
      <w:r>
        <w:t>(</w:t>
      </w:r>
      <w:r w:rsidRPr="00D655BE">
        <w:t>2016</w:t>
      </w:r>
      <w:r>
        <w:t>)</w:t>
      </w:r>
      <w:r w:rsidRPr="00D655BE">
        <w:t>. Community engagement matters (now more than ever). </w:t>
      </w:r>
      <w:r w:rsidRPr="00942DA4">
        <w:rPr>
          <w:i/>
          <w:iCs/>
        </w:rPr>
        <w:t>Stanford Social Innovation Review</w:t>
      </w:r>
      <w:r w:rsidRPr="00D655BE">
        <w:t>, </w:t>
      </w:r>
      <w:r w:rsidRPr="00942DA4">
        <w:rPr>
          <w:i/>
          <w:iCs/>
        </w:rPr>
        <w:t>14</w:t>
      </w:r>
      <w:r w:rsidRPr="00D655BE">
        <w:t>(2), pp.32-39.</w:t>
      </w:r>
    </w:p>
    <w:p w14:paraId="7CF72C6A" w14:textId="77777777" w:rsidR="008F4A6B" w:rsidRDefault="008F4A6B" w:rsidP="00942DA4">
      <w:pPr>
        <w:pStyle w:val="ListParagraph"/>
        <w:numPr>
          <w:ilvl w:val="0"/>
          <w:numId w:val="3"/>
        </w:numPr>
      </w:pPr>
      <w:r w:rsidRPr="00A24252">
        <w:t>Br</w:t>
      </w:r>
      <w:r>
        <w:t>yson, J.M. and Quinn Patton, M.</w:t>
      </w:r>
      <w:r w:rsidRPr="00A24252">
        <w:t xml:space="preserve"> </w:t>
      </w:r>
      <w:r>
        <w:t>(</w:t>
      </w:r>
      <w:r w:rsidRPr="00A24252">
        <w:t>2015</w:t>
      </w:r>
      <w:r>
        <w:t>)</w:t>
      </w:r>
      <w:r w:rsidRPr="00A24252">
        <w:t>. Analyzing and engaging stakeholders. </w:t>
      </w:r>
      <w:r w:rsidRPr="00942DA4">
        <w:rPr>
          <w:i/>
          <w:iCs/>
        </w:rPr>
        <w:t>Handbook of practical program evaluation</w:t>
      </w:r>
      <w:r w:rsidRPr="00A24252">
        <w:t>, pp.36-61.</w:t>
      </w:r>
    </w:p>
    <w:p w14:paraId="316FDC17" w14:textId="77777777" w:rsidR="008F4A6B" w:rsidRDefault="008F4A6B" w:rsidP="00942DA4">
      <w:pPr>
        <w:pStyle w:val="ListParagraph"/>
        <w:numPr>
          <w:ilvl w:val="0"/>
          <w:numId w:val="3"/>
        </w:numPr>
      </w:pPr>
      <w:r>
        <w:t>Cartwright, T.</w:t>
      </w:r>
      <w:r w:rsidRPr="00A24252">
        <w:t xml:space="preserve"> </w:t>
      </w:r>
      <w:r>
        <w:t>(</w:t>
      </w:r>
      <w:r w:rsidRPr="00A24252">
        <w:t>2011</w:t>
      </w:r>
      <w:r>
        <w:t>)</w:t>
      </w:r>
      <w:r w:rsidRPr="00A24252">
        <w:t>. </w:t>
      </w:r>
      <w:r w:rsidRPr="00942DA4">
        <w:rPr>
          <w:i/>
          <w:iCs/>
        </w:rPr>
        <w:t>Developing your intuition: A guide to reflective practice</w:t>
      </w:r>
      <w:r w:rsidRPr="00A24252">
        <w:t> (Vol. 108). John Wiley &amp; Sons.</w:t>
      </w:r>
    </w:p>
    <w:p w14:paraId="2B5B2251" w14:textId="77777777" w:rsidR="008F4A6B" w:rsidRDefault="008F4A6B" w:rsidP="00942DA4">
      <w:pPr>
        <w:pStyle w:val="ListParagraph"/>
        <w:numPr>
          <w:ilvl w:val="0"/>
          <w:numId w:val="3"/>
        </w:numPr>
      </w:pPr>
      <w:proofErr w:type="spellStart"/>
      <w:r>
        <w:t>Chinyio</w:t>
      </w:r>
      <w:proofErr w:type="spellEnd"/>
      <w:r>
        <w:t>, E.A. and Akintoye, A.</w:t>
      </w:r>
      <w:r w:rsidRPr="00A24252">
        <w:t xml:space="preserve"> </w:t>
      </w:r>
      <w:r>
        <w:t>(</w:t>
      </w:r>
      <w:r w:rsidRPr="00A24252">
        <w:t>2008</w:t>
      </w:r>
      <w:r>
        <w:t>)</w:t>
      </w:r>
      <w:r w:rsidRPr="00A24252">
        <w:t>. Practical approaches for engaging stakeholders: findings from the UK. </w:t>
      </w:r>
      <w:r w:rsidRPr="00942DA4">
        <w:rPr>
          <w:i/>
          <w:iCs/>
        </w:rPr>
        <w:t>Construction Management and Economics</w:t>
      </w:r>
      <w:r w:rsidRPr="00A24252">
        <w:t>, </w:t>
      </w:r>
      <w:r w:rsidRPr="00942DA4">
        <w:rPr>
          <w:i/>
          <w:iCs/>
        </w:rPr>
        <w:t>26</w:t>
      </w:r>
      <w:r w:rsidRPr="00A24252">
        <w:t>(6), pp.591-599.</w:t>
      </w:r>
    </w:p>
    <w:p w14:paraId="62404D99" w14:textId="77777777" w:rsidR="008F4A6B" w:rsidRDefault="008F4A6B" w:rsidP="00942DA4">
      <w:pPr>
        <w:pStyle w:val="ListParagraph"/>
        <w:numPr>
          <w:ilvl w:val="0"/>
          <w:numId w:val="3"/>
        </w:numPr>
      </w:pPr>
      <w:r w:rsidRPr="00720AE2">
        <w:t>Dare, M</w:t>
      </w:r>
      <w:r>
        <w:t xml:space="preserve">., Schirmer, J. and </w:t>
      </w:r>
      <w:proofErr w:type="spellStart"/>
      <w:r>
        <w:t>Vanclay</w:t>
      </w:r>
      <w:proofErr w:type="spellEnd"/>
      <w:r>
        <w:t>, F.</w:t>
      </w:r>
      <w:r w:rsidRPr="00720AE2">
        <w:t xml:space="preserve"> </w:t>
      </w:r>
      <w:r>
        <w:t>(</w:t>
      </w:r>
      <w:r w:rsidRPr="00720AE2">
        <w:t>2014</w:t>
      </w:r>
      <w:r>
        <w:t>)</w:t>
      </w:r>
      <w:r w:rsidRPr="00720AE2">
        <w:t xml:space="preserve">. Community engagement and social </w:t>
      </w:r>
      <w:proofErr w:type="spellStart"/>
      <w:r w:rsidRPr="00720AE2">
        <w:t>licence</w:t>
      </w:r>
      <w:proofErr w:type="spellEnd"/>
      <w:r w:rsidRPr="00720AE2">
        <w:t xml:space="preserve"> to operate. </w:t>
      </w:r>
      <w:r w:rsidRPr="00942DA4">
        <w:rPr>
          <w:i/>
          <w:iCs/>
        </w:rPr>
        <w:t>Impact assessment and project appraisal</w:t>
      </w:r>
      <w:r w:rsidRPr="00720AE2">
        <w:t>, </w:t>
      </w:r>
      <w:r w:rsidRPr="00942DA4">
        <w:rPr>
          <w:i/>
          <w:iCs/>
        </w:rPr>
        <w:t>32</w:t>
      </w:r>
      <w:r w:rsidRPr="00720AE2">
        <w:t>(3), pp.188-197.</w:t>
      </w:r>
    </w:p>
    <w:p w14:paraId="57EDCE0F" w14:textId="77777777" w:rsidR="008F4A6B" w:rsidRPr="00942DA4" w:rsidRDefault="008F4A6B" w:rsidP="00942DA4">
      <w:pPr>
        <w:pStyle w:val="ListParagraph"/>
        <w:numPr>
          <w:ilvl w:val="0"/>
          <w:numId w:val="3"/>
        </w:numPr>
        <w:rPr>
          <w:lang w:val="en-GB"/>
        </w:rPr>
      </w:pPr>
      <w:r w:rsidRPr="00942DA4">
        <w:rPr>
          <w:lang w:val="en-GB"/>
        </w:rPr>
        <w:t>Day, G (2006) Community and Everyday Life. UK: Routledge</w:t>
      </w:r>
    </w:p>
    <w:p w14:paraId="5906E95E" w14:textId="77777777" w:rsidR="008F4A6B" w:rsidRDefault="008F4A6B" w:rsidP="00942DA4">
      <w:pPr>
        <w:pStyle w:val="ListParagraph"/>
        <w:numPr>
          <w:ilvl w:val="0"/>
          <w:numId w:val="3"/>
        </w:numPr>
      </w:pPr>
      <w:r w:rsidRPr="00EF5C4B">
        <w:t xml:space="preserve">Ferreira, V., </w:t>
      </w:r>
      <w:proofErr w:type="spellStart"/>
      <w:r w:rsidRPr="00EF5C4B">
        <w:t>Barreira</w:t>
      </w:r>
      <w:proofErr w:type="spellEnd"/>
      <w:r w:rsidRPr="00EF5C4B">
        <w:t xml:space="preserve">, A.P., </w:t>
      </w:r>
      <w:proofErr w:type="spellStart"/>
      <w:r w:rsidRPr="00EF5C4B">
        <w:t>Loures</w:t>
      </w:r>
      <w:proofErr w:type="spellEnd"/>
      <w:r w:rsidRPr="00EF5C4B">
        <w:t>, L., A</w:t>
      </w:r>
      <w:r>
        <w:t>ntunes, D. and Panagopoulos, T.</w:t>
      </w:r>
      <w:r w:rsidRPr="00EF5C4B">
        <w:t xml:space="preserve"> </w:t>
      </w:r>
      <w:r>
        <w:t>(</w:t>
      </w:r>
      <w:r w:rsidRPr="00EF5C4B">
        <w:t>2020</w:t>
      </w:r>
      <w:r>
        <w:t>)</w:t>
      </w:r>
      <w:r w:rsidRPr="00EF5C4B">
        <w:t>. Stakeholders’ engagement on nature-based solutions: A systematic literature review. </w:t>
      </w:r>
      <w:r w:rsidRPr="00942DA4">
        <w:rPr>
          <w:i/>
          <w:iCs/>
        </w:rPr>
        <w:t>Sustainability</w:t>
      </w:r>
      <w:r w:rsidRPr="00EF5C4B">
        <w:t>, </w:t>
      </w:r>
      <w:r w:rsidRPr="00942DA4">
        <w:rPr>
          <w:i/>
          <w:iCs/>
        </w:rPr>
        <w:t>12</w:t>
      </w:r>
      <w:r w:rsidRPr="00EF5C4B">
        <w:t>(2), p.640.</w:t>
      </w:r>
    </w:p>
    <w:p w14:paraId="7933A5C5" w14:textId="77777777" w:rsidR="008F4A6B" w:rsidRDefault="008F4A6B" w:rsidP="00942DA4">
      <w:pPr>
        <w:pStyle w:val="ListParagraph"/>
        <w:numPr>
          <w:ilvl w:val="0"/>
          <w:numId w:val="3"/>
        </w:numPr>
      </w:pPr>
      <w:proofErr w:type="spellStart"/>
      <w:r>
        <w:t>Ghaye</w:t>
      </w:r>
      <w:proofErr w:type="spellEnd"/>
      <w:r>
        <w:t>, T.</w:t>
      </w:r>
      <w:r w:rsidRPr="00A24252">
        <w:t xml:space="preserve"> </w:t>
      </w:r>
      <w:r>
        <w:t>(</w:t>
      </w:r>
      <w:r w:rsidRPr="00A24252">
        <w:t>2010</w:t>
      </w:r>
      <w:r>
        <w:t>)</w:t>
      </w:r>
      <w:r w:rsidRPr="00A24252">
        <w:t>. </w:t>
      </w:r>
      <w:r w:rsidRPr="00942DA4">
        <w:rPr>
          <w:i/>
          <w:iCs/>
        </w:rPr>
        <w:t>Teaching and learning through reflective practice: A practical guide for positive action</w:t>
      </w:r>
      <w:r w:rsidRPr="00A24252">
        <w:t>. Routledge.</w:t>
      </w:r>
    </w:p>
    <w:p w14:paraId="4D6B629D" w14:textId="77777777" w:rsidR="008F4A6B" w:rsidRDefault="008F4A6B" w:rsidP="00942DA4">
      <w:pPr>
        <w:pStyle w:val="ListParagraph"/>
        <w:numPr>
          <w:ilvl w:val="0"/>
          <w:numId w:val="3"/>
        </w:numPr>
      </w:pPr>
      <w:r w:rsidRPr="003741A3">
        <w:t xml:space="preserve">Gibbs, G. and </w:t>
      </w:r>
      <w:r>
        <w:t>Andrew, C.</w:t>
      </w:r>
      <w:r w:rsidRPr="003741A3">
        <w:t xml:space="preserve"> </w:t>
      </w:r>
      <w:r>
        <w:t>(</w:t>
      </w:r>
      <w:r w:rsidRPr="003741A3">
        <w:t>2001</w:t>
      </w:r>
      <w:r>
        <w:t>)</w:t>
      </w:r>
      <w:r w:rsidRPr="003741A3">
        <w:t>. Learning by Doing: A guide to teaching and learning methods: Geography discipline network.</w:t>
      </w:r>
    </w:p>
    <w:p w14:paraId="2BB2F82E" w14:textId="77777777" w:rsidR="008F4A6B" w:rsidRPr="00942DA4" w:rsidRDefault="008F4A6B" w:rsidP="00942DA4">
      <w:pPr>
        <w:pStyle w:val="ListParagraph"/>
        <w:numPr>
          <w:ilvl w:val="0"/>
          <w:numId w:val="3"/>
        </w:numPr>
        <w:rPr>
          <w:lang w:val="en-GB"/>
        </w:rPr>
      </w:pPr>
      <w:r w:rsidRPr="00942DA4">
        <w:rPr>
          <w:lang w:val="en-GB"/>
        </w:rPr>
        <w:t>Gilchrist, A., (2009). The Well-Connected Community, a networking approach to Community Development. London: Policy Press</w:t>
      </w:r>
    </w:p>
    <w:p w14:paraId="0BE7B9B5" w14:textId="77777777" w:rsidR="008F4A6B" w:rsidRDefault="008F4A6B" w:rsidP="00942DA4">
      <w:pPr>
        <w:pStyle w:val="ListParagraph"/>
        <w:numPr>
          <w:ilvl w:val="0"/>
          <w:numId w:val="3"/>
        </w:numPr>
      </w:pPr>
      <w:r>
        <w:t>Greenwood, M.</w:t>
      </w:r>
      <w:r w:rsidRPr="00EB594A">
        <w:t xml:space="preserve"> </w:t>
      </w:r>
      <w:r>
        <w:t>(</w:t>
      </w:r>
      <w:r w:rsidRPr="00EB594A">
        <w:t>2001</w:t>
      </w:r>
      <w:r>
        <w:t>)</w:t>
      </w:r>
      <w:r w:rsidRPr="00EB594A">
        <w:t>. The importance of stakeholders according to business leaders. </w:t>
      </w:r>
      <w:r w:rsidRPr="00942DA4">
        <w:rPr>
          <w:i/>
          <w:iCs/>
        </w:rPr>
        <w:t>Business and Society Review</w:t>
      </w:r>
      <w:r w:rsidRPr="00EB594A">
        <w:t>, </w:t>
      </w:r>
      <w:r w:rsidRPr="00942DA4">
        <w:rPr>
          <w:i/>
          <w:iCs/>
        </w:rPr>
        <w:t>106</w:t>
      </w:r>
      <w:r w:rsidRPr="00EB594A">
        <w:t>(1), pp.29-29.</w:t>
      </w:r>
    </w:p>
    <w:p w14:paraId="53CC02AF" w14:textId="77777777" w:rsidR="008F4A6B" w:rsidRPr="00942DA4" w:rsidRDefault="008F4A6B" w:rsidP="00942DA4">
      <w:pPr>
        <w:pStyle w:val="ListParagraph"/>
        <w:numPr>
          <w:ilvl w:val="0"/>
          <w:numId w:val="3"/>
        </w:numPr>
        <w:rPr>
          <w:lang w:val="en-GB"/>
        </w:rPr>
      </w:pPr>
      <w:r w:rsidRPr="00942DA4">
        <w:rPr>
          <w:lang w:val="en-GB"/>
        </w:rPr>
        <w:t>Hart, A., Maddison, E., Wolff, D. (eds) (2007) Community</w:t>
      </w:r>
      <w:r>
        <w:rPr>
          <w:lang w:val="en-GB"/>
        </w:rPr>
        <w:t xml:space="preserve"> </w:t>
      </w:r>
      <w:r w:rsidRPr="00942DA4">
        <w:rPr>
          <w:lang w:val="en-GB"/>
        </w:rPr>
        <w:t>University Partnerships in Practice. Leicester: National Institute of Adult Continuing Education.</w:t>
      </w:r>
    </w:p>
    <w:p w14:paraId="548FDAAD" w14:textId="77777777" w:rsidR="008F4A6B" w:rsidRDefault="008F4A6B" w:rsidP="00942DA4">
      <w:pPr>
        <w:pStyle w:val="ListParagraph"/>
        <w:numPr>
          <w:ilvl w:val="0"/>
          <w:numId w:val="3"/>
        </w:numPr>
      </w:pPr>
      <w:r w:rsidRPr="00A24252">
        <w:t xml:space="preserve">Markkanen, P., </w:t>
      </w:r>
      <w:proofErr w:type="spellStart"/>
      <w:r w:rsidRPr="00A24252">
        <w:t>Välimäki</w:t>
      </w:r>
      <w:proofErr w:type="spellEnd"/>
      <w:r w:rsidRPr="00A24252">
        <w:t>, M.</w:t>
      </w:r>
      <w:r>
        <w:t xml:space="preserve">, </w:t>
      </w:r>
      <w:proofErr w:type="spellStart"/>
      <w:r>
        <w:t>Anttila</w:t>
      </w:r>
      <w:proofErr w:type="spellEnd"/>
      <w:r>
        <w:t xml:space="preserve">, M. and </w:t>
      </w:r>
      <w:proofErr w:type="spellStart"/>
      <w:r>
        <w:t>Kuuskorpi</w:t>
      </w:r>
      <w:proofErr w:type="spellEnd"/>
      <w:r>
        <w:t>, M.</w:t>
      </w:r>
      <w:r w:rsidRPr="00A24252">
        <w:t xml:space="preserve"> </w:t>
      </w:r>
      <w:r>
        <w:t>(</w:t>
      </w:r>
      <w:r w:rsidRPr="00A24252">
        <w:t>2020</w:t>
      </w:r>
      <w:r>
        <w:t>)</w:t>
      </w:r>
      <w:r w:rsidRPr="00A24252">
        <w:t>. A reflective cycle: Understanding challenging situations in a school setting. </w:t>
      </w:r>
      <w:r w:rsidRPr="00942DA4">
        <w:rPr>
          <w:i/>
          <w:iCs/>
        </w:rPr>
        <w:t>Educational Research</w:t>
      </w:r>
      <w:r w:rsidRPr="00A24252">
        <w:t>, </w:t>
      </w:r>
      <w:r w:rsidRPr="00942DA4">
        <w:rPr>
          <w:i/>
          <w:iCs/>
        </w:rPr>
        <w:t>62</w:t>
      </w:r>
      <w:r w:rsidRPr="00A24252">
        <w:t>(1), pp.46-62.</w:t>
      </w:r>
    </w:p>
    <w:p w14:paraId="2DC4F64A" w14:textId="77777777" w:rsidR="008F4A6B" w:rsidRPr="00942DA4" w:rsidRDefault="008F4A6B" w:rsidP="00942DA4">
      <w:pPr>
        <w:pStyle w:val="ListParagraph"/>
        <w:numPr>
          <w:ilvl w:val="0"/>
          <w:numId w:val="3"/>
        </w:numPr>
        <w:rPr>
          <w:lang w:val="en-GB"/>
        </w:rPr>
      </w:pPr>
      <w:r w:rsidRPr="00942DA4">
        <w:rPr>
          <w:lang w:val="en-GB"/>
        </w:rPr>
        <w:lastRenderedPageBreak/>
        <w:t>Moon, J., (2004) A handbook of reflective practice and experimental learning: theory and practice. UK: Routledge.</w:t>
      </w:r>
    </w:p>
    <w:p w14:paraId="78294DBF" w14:textId="77777777" w:rsidR="008F4A6B" w:rsidRPr="00942DA4" w:rsidRDefault="008F4A6B" w:rsidP="00942DA4">
      <w:pPr>
        <w:pStyle w:val="ListParagraph"/>
        <w:numPr>
          <w:ilvl w:val="0"/>
          <w:numId w:val="3"/>
        </w:numPr>
        <w:rPr>
          <w:lang w:val="en-GB"/>
        </w:rPr>
      </w:pPr>
      <w:r w:rsidRPr="00942DA4">
        <w:rPr>
          <w:lang w:val="en-GB"/>
        </w:rPr>
        <w:t>Rochester, C., Ellis Paine, A., Howlett, S. (2012). Volunteering and Society in the 21st Century. Palgrave: Macmillan</w:t>
      </w:r>
    </w:p>
    <w:p w14:paraId="0D2B426A" w14:textId="77777777" w:rsidR="00091C14" w:rsidRDefault="00091C14" w:rsidP="00091C14"/>
    <w:sectPr w:rsidR="00091C1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AFEA0" w14:textId="77777777" w:rsidR="00CD06E0" w:rsidRDefault="00CD06E0" w:rsidP="00A6082F">
      <w:pPr>
        <w:spacing w:after="0" w:line="240" w:lineRule="auto"/>
      </w:pPr>
      <w:r>
        <w:separator/>
      </w:r>
    </w:p>
  </w:endnote>
  <w:endnote w:type="continuationSeparator" w:id="0">
    <w:p w14:paraId="462287F2" w14:textId="77777777" w:rsidR="00CD06E0" w:rsidRDefault="00CD06E0" w:rsidP="00A60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58780"/>
      <w:docPartObj>
        <w:docPartGallery w:val="Page Numbers (Bottom of Page)"/>
        <w:docPartUnique/>
      </w:docPartObj>
    </w:sdtPr>
    <w:sdtEndPr>
      <w:rPr>
        <w:noProof/>
      </w:rPr>
    </w:sdtEndPr>
    <w:sdtContent>
      <w:p w14:paraId="66EAF3A6" w14:textId="77777777" w:rsidR="00A6082F" w:rsidRDefault="00A6082F">
        <w:pPr>
          <w:pStyle w:val="Footer"/>
          <w:jc w:val="right"/>
        </w:pPr>
        <w:r>
          <w:fldChar w:fldCharType="begin"/>
        </w:r>
        <w:r>
          <w:instrText xml:space="preserve"> PAGE   \* MERGEFORMAT </w:instrText>
        </w:r>
        <w:r>
          <w:fldChar w:fldCharType="separate"/>
        </w:r>
        <w:r w:rsidR="00FC2E24">
          <w:rPr>
            <w:noProof/>
          </w:rPr>
          <w:t>1</w:t>
        </w:r>
        <w:r>
          <w:rPr>
            <w:noProof/>
          </w:rPr>
          <w:fldChar w:fldCharType="end"/>
        </w:r>
      </w:p>
    </w:sdtContent>
  </w:sdt>
  <w:p w14:paraId="5E921EF7" w14:textId="77777777" w:rsidR="00A6082F" w:rsidRDefault="00A60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60AC7" w14:textId="77777777" w:rsidR="00CD06E0" w:rsidRDefault="00CD06E0" w:rsidP="00A6082F">
      <w:pPr>
        <w:spacing w:after="0" w:line="240" w:lineRule="auto"/>
      </w:pPr>
      <w:r>
        <w:separator/>
      </w:r>
    </w:p>
  </w:footnote>
  <w:footnote w:type="continuationSeparator" w:id="0">
    <w:p w14:paraId="5EA2EA1D" w14:textId="77777777" w:rsidR="00CD06E0" w:rsidRDefault="00CD06E0" w:rsidP="00A608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1B1442"/>
    <w:multiLevelType w:val="hybridMultilevel"/>
    <w:tmpl w:val="D11E1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FE5EDC"/>
    <w:multiLevelType w:val="hybridMultilevel"/>
    <w:tmpl w:val="BF2A611E"/>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69DF6D40"/>
    <w:multiLevelType w:val="hybridMultilevel"/>
    <w:tmpl w:val="18F26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EA4B3E"/>
    <w:multiLevelType w:val="hybridMultilevel"/>
    <w:tmpl w:val="B9B28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079913">
    <w:abstractNumId w:val="2"/>
  </w:num>
  <w:num w:numId="2" w16cid:durableId="1576354359">
    <w:abstractNumId w:val="1"/>
  </w:num>
  <w:num w:numId="3" w16cid:durableId="994919918">
    <w:abstractNumId w:val="3"/>
  </w:num>
  <w:num w:numId="4" w16cid:durableId="691491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809"/>
    <w:rsid w:val="00007B26"/>
    <w:rsid w:val="0008182F"/>
    <w:rsid w:val="00091C14"/>
    <w:rsid w:val="000E4C63"/>
    <w:rsid w:val="00114857"/>
    <w:rsid w:val="001D3926"/>
    <w:rsid w:val="00262A1E"/>
    <w:rsid w:val="002666B3"/>
    <w:rsid w:val="00276A99"/>
    <w:rsid w:val="00283D2C"/>
    <w:rsid w:val="0029266C"/>
    <w:rsid w:val="002E58D5"/>
    <w:rsid w:val="002F259A"/>
    <w:rsid w:val="003077A3"/>
    <w:rsid w:val="00330392"/>
    <w:rsid w:val="00335633"/>
    <w:rsid w:val="00337388"/>
    <w:rsid w:val="0037576B"/>
    <w:rsid w:val="00384EF6"/>
    <w:rsid w:val="003C1F5E"/>
    <w:rsid w:val="00402045"/>
    <w:rsid w:val="004373F3"/>
    <w:rsid w:val="00482809"/>
    <w:rsid w:val="0058352B"/>
    <w:rsid w:val="005953C7"/>
    <w:rsid w:val="0059594E"/>
    <w:rsid w:val="005B342F"/>
    <w:rsid w:val="005C736F"/>
    <w:rsid w:val="005D40F5"/>
    <w:rsid w:val="005F388D"/>
    <w:rsid w:val="0060195D"/>
    <w:rsid w:val="006274B3"/>
    <w:rsid w:val="006450A2"/>
    <w:rsid w:val="006E4133"/>
    <w:rsid w:val="00701B49"/>
    <w:rsid w:val="00724103"/>
    <w:rsid w:val="007516C4"/>
    <w:rsid w:val="007768B5"/>
    <w:rsid w:val="007852E9"/>
    <w:rsid w:val="007925E6"/>
    <w:rsid w:val="007C1809"/>
    <w:rsid w:val="007C3C2B"/>
    <w:rsid w:val="00804895"/>
    <w:rsid w:val="00812F2A"/>
    <w:rsid w:val="008423D0"/>
    <w:rsid w:val="008C2995"/>
    <w:rsid w:val="008C590A"/>
    <w:rsid w:val="008D4FBC"/>
    <w:rsid w:val="008F3738"/>
    <w:rsid w:val="008F4A6B"/>
    <w:rsid w:val="008F7788"/>
    <w:rsid w:val="0092174F"/>
    <w:rsid w:val="00942DA4"/>
    <w:rsid w:val="00967823"/>
    <w:rsid w:val="009B6B36"/>
    <w:rsid w:val="009B7762"/>
    <w:rsid w:val="009D7EFF"/>
    <w:rsid w:val="009F3CA8"/>
    <w:rsid w:val="00A1774B"/>
    <w:rsid w:val="00A6082F"/>
    <w:rsid w:val="00AA2D6B"/>
    <w:rsid w:val="00B429A5"/>
    <w:rsid w:val="00B84F42"/>
    <w:rsid w:val="00B92FC1"/>
    <w:rsid w:val="00BD60B7"/>
    <w:rsid w:val="00BF5906"/>
    <w:rsid w:val="00C15858"/>
    <w:rsid w:val="00C7246C"/>
    <w:rsid w:val="00C80A98"/>
    <w:rsid w:val="00C85755"/>
    <w:rsid w:val="00CB50ED"/>
    <w:rsid w:val="00CD06E0"/>
    <w:rsid w:val="00CE6067"/>
    <w:rsid w:val="00CF4020"/>
    <w:rsid w:val="00DC4B3B"/>
    <w:rsid w:val="00DD6704"/>
    <w:rsid w:val="00DE40CF"/>
    <w:rsid w:val="00E6780A"/>
    <w:rsid w:val="00EA71DC"/>
    <w:rsid w:val="00F00514"/>
    <w:rsid w:val="00F44692"/>
    <w:rsid w:val="00F47E25"/>
    <w:rsid w:val="00F94155"/>
    <w:rsid w:val="00FC2E24"/>
    <w:rsid w:val="00FD5C8D"/>
    <w:rsid w:val="00FE301F"/>
    <w:rsid w:val="00FF14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5E30"/>
  <w15:chartTrackingRefBased/>
  <w15:docId w15:val="{AA7520C4-602F-44B9-915F-182C46F20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80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280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0A9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80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80A98"/>
    <w:rPr>
      <w:rFonts w:ascii="Times New Roman" w:eastAsiaTheme="majorEastAsia" w:hAnsi="Times New Roman" w:cstheme="majorBidi"/>
      <w:b/>
      <w:sz w:val="28"/>
      <w:szCs w:val="26"/>
    </w:rPr>
  </w:style>
  <w:style w:type="paragraph" w:styleId="ListParagraph">
    <w:name w:val="List Paragraph"/>
    <w:basedOn w:val="Normal"/>
    <w:uiPriority w:val="34"/>
    <w:qFormat/>
    <w:rsid w:val="00F00514"/>
    <w:pPr>
      <w:ind w:left="720"/>
      <w:contextualSpacing/>
    </w:pPr>
  </w:style>
  <w:style w:type="paragraph" w:styleId="Header">
    <w:name w:val="header"/>
    <w:basedOn w:val="Normal"/>
    <w:link w:val="HeaderChar"/>
    <w:uiPriority w:val="99"/>
    <w:unhideWhenUsed/>
    <w:rsid w:val="00A608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82F"/>
    <w:rPr>
      <w:rFonts w:ascii="Times New Roman" w:hAnsi="Times New Roman"/>
      <w:sz w:val="24"/>
    </w:rPr>
  </w:style>
  <w:style w:type="paragraph" w:styleId="Footer">
    <w:name w:val="footer"/>
    <w:basedOn w:val="Normal"/>
    <w:link w:val="FooterChar"/>
    <w:uiPriority w:val="99"/>
    <w:unhideWhenUsed/>
    <w:rsid w:val="00A608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82F"/>
    <w:rPr>
      <w:rFonts w:ascii="Times New Roman" w:hAnsi="Times New Roman"/>
      <w:sz w:val="24"/>
    </w:rPr>
  </w:style>
  <w:style w:type="paragraph" w:styleId="TOCHeading">
    <w:name w:val="TOC Heading"/>
    <w:basedOn w:val="Heading1"/>
    <w:next w:val="Normal"/>
    <w:uiPriority w:val="39"/>
    <w:unhideWhenUsed/>
    <w:qFormat/>
    <w:rsid w:val="00A6082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6082F"/>
    <w:pPr>
      <w:spacing w:after="100"/>
    </w:pPr>
  </w:style>
  <w:style w:type="paragraph" w:styleId="TOC2">
    <w:name w:val="toc 2"/>
    <w:basedOn w:val="Normal"/>
    <w:next w:val="Normal"/>
    <w:autoRedefine/>
    <w:uiPriority w:val="39"/>
    <w:unhideWhenUsed/>
    <w:rsid w:val="00A6082F"/>
    <w:pPr>
      <w:spacing w:after="100"/>
      <w:ind w:left="240"/>
    </w:pPr>
  </w:style>
  <w:style w:type="character" w:styleId="Hyperlink">
    <w:name w:val="Hyperlink"/>
    <w:basedOn w:val="DefaultParagraphFont"/>
    <w:uiPriority w:val="99"/>
    <w:unhideWhenUsed/>
    <w:rsid w:val="00A608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37252D-5C6C-4ADF-815C-9984B0F6551E}"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US"/>
        </a:p>
      </dgm:t>
    </dgm:pt>
    <dgm:pt modelId="{E4FE9CBD-6766-4D2D-B517-3E9BEBE54C94}">
      <dgm:prSet phldrT="[Text]"/>
      <dgm:spPr/>
      <dgm:t>
        <a:bodyPr/>
        <a:lstStyle/>
        <a:p>
          <a:r>
            <a:rPr lang="en-US"/>
            <a:t>Description</a:t>
          </a:r>
        </a:p>
      </dgm:t>
    </dgm:pt>
    <dgm:pt modelId="{04DC42A7-98A9-44AD-A04D-E8935D700A70}" type="parTrans" cxnId="{2053529F-75BF-449A-8868-29D401D1A654}">
      <dgm:prSet/>
      <dgm:spPr/>
      <dgm:t>
        <a:bodyPr/>
        <a:lstStyle/>
        <a:p>
          <a:endParaRPr lang="en-US"/>
        </a:p>
      </dgm:t>
    </dgm:pt>
    <dgm:pt modelId="{6BD13A6A-ED27-4FAE-97B4-145E3753B573}" type="sibTrans" cxnId="{2053529F-75BF-449A-8868-29D401D1A654}">
      <dgm:prSet/>
      <dgm:spPr/>
      <dgm:t>
        <a:bodyPr/>
        <a:lstStyle/>
        <a:p>
          <a:endParaRPr lang="en-US"/>
        </a:p>
      </dgm:t>
    </dgm:pt>
    <dgm:pt modelId="{5090E53C-77B1-4B99-BDD4-BB3CE7D391D8}">
      <dgm:prSet phldrT="[Text]"/>
      <dgm:spPr/>
      <dgm:t>
        <a:bodyPr/>
        <a:lstStyle/>
        <a:p>
          <a:r>
            <a:rPr lang="en-US"/>
            <a:t>Feelings</a:t>
          </a:r>
        </a:p>
      </dgm:t>
    </dgm:pt>
    <dgm:pt modelId="{586E6FE1-AB22-40B0-86B4-9D5D941AEF5F}" type="parTrans" cxnId="{9354EE98-2362-4E33-9816-D41AA1344BFE}">
      <dgm:prSet/>
      <dgm:spPr/>
      <dgm:t>
        <a:bodyPr/>
        <a:lstStyle/>
        <a:p>
          <a:endParaRPr lang="en-US"/>
        </a:p>
      </dgm:t>
    </dgm:pt>
    <dgm:pt modelId="{4F564758-FFD1-4F4F-8E48-EA94DFA4DE34}" type="sibTrans" cxnId="{9354EE98-2362-4E33-9816-D41AA1344BFE}">
      <dgm:prSet/>
      <dgm:spPr/>
      <dgm:t>
        <a:bodyPr/>
        <a:lstStyle/>
        <a:p>
          <a:endParaRPr lang="en-US"/>
        </a:p>
      </dgm:t>
    </dgm:pt>
    <dgm:pt modelId="{133044DB-1618-4100-9BF1-EED063FAA884}">
      <dgm:prSet phldrT="[Text]"/>
      <dgm:spPr/>
      <dgm:t>
        <a:bodyPr/>
        <a:lstStyle/>
        <a:p>
          <a:r>
            <a:rPr lang="en-US"/>
            <a:t>Evaluation</a:t>
          </a:r>
        </a:p>
      </dgm:t>
    </dgm:pt>
    <dgm:pt modelId="{44E1E76B-F852-492B-8267-68BEC9E90B47}" type="parTrans" cxnId="{644764F9-0668-4E6C-B294-A8166329FB62}">
      <dgm:prSet/>
      <dgm:spPr/>
      <dgm:t>
        <a:bodyPr/>
        <a:lstStyle/>
        <a:p>
          <a:endParaRPr lang="en-US"/>
        </a:p>
      </dgm:t>
    </dgm:pt>
    <dgm:pt modelId="{ADAB6757-F8D9-4EB4-A638-5D7E96BC22A0}" type="sibTrans" cxnId="{644764F9-0668-4E6C-B294-A8166329FB62}">
      <dgm:prSet/>
      <dgm:spPr/>
      <dgm:t>
        <a:bodyPr/>
        <a:lstStyle/>
        <a:p>
          <a:endParaRPr lang="en-US"/>
        </a:p>
      </dgm:t>
    </dgm:pt>
    <dgm:pt modelId="{E280EB29-4FDA-4977-A323-3B7E959E5C08}">
      <dgm:prSet phldrT="[Text]"/>
      <dgm:spPr/>
      <dgm:t>
        <a:bodyPr/>
        <a:lstStyle/>
        <a:p>
          <a:r>
            <a:rPr lang="en-US"/>
            <a:t>Analysis</a:t>
          </a:r>
        </a:p>
      </dgm:t>
    </dgm:pt>
    <dgm:pt modelId="{A30081DA-4FAD-4FC2-A8C1-5ACEB1339F66}" type="parTrans" cxnId="{AE8DAED9-B945-4C66-B647-39E601B5AF42}">
      <dgm:prSet/>
      <dgm:spPr/>
      <dgm:t>
        <a:bodyPr/>
        <a:lstStyle/>
        <a:p>
          <a:endParaRPr lang="en-US"/>
        </a:p>
      </dgm:t>
    </dgm:pt>
    <dgm:pt modelId="{3BB08702-B3B1-43D9-A048-24EA48D7CAD2}" type="sibTrans" cxnId="{AE8DAED9-B945-4C66-B647-39E601B5AF42}">
      <dgm:prSet/>
      <dgm:spPr/>
      <dgm:t>
        <a:bodyPr/>
        <a:lstStyle/>
        <a:p>
          <a:endParaRPr lang="en-US"/>
        </a:p>
      </dgm:t>
    </dgm:pt>
    <dgm:pt modelId="{BEC11598-4610-4CD5-A42B-373CB3CEFE55}">
      <dgm:prSet phldrT="[Text]"/>
      <dgm:spPr/>
      <dgm:t>
        <a:bodyPr/>
        <a:lstStyle/>
        <a:p>
          <a:r>
            <a:rPr lang="en-US"/>
            <a:t>Conclusion</a:t>
          </a:r>
        </a:p>
      </dgm:t>
    </dgm:pt>
    <dgm:pt modelId="{12F98537-8486-4338-A792-03EEAFFC5F1D}" type="parTrans" cxnId="{BFCD04DC-2C4D-46D6-A60B-616638087B62}">
      <dgm:prSet/>
      <dgm:spPr/>
      <dgm:t>
        <a:bodyPr/>
        <a:lstStyle/>
        <a:p>
          <a:endParaRPr lang="en-US"/>
        </a:p>
      </dgm:t>
    </dgm:pt>
    <dgm:pt modelId="{7B42C424-0388-48DB-ABBD-439E5D502366}" type="sibTrans" cxnId="{BFCD04DC-2C4D-46D6-A60B-616638087B62}">
      <dgm:prSet/>
      <dgm:spPr/>
      <dgm:t>
        <a:bodyPr/>
        <a:lstStyle/>
        <a:p>
          <a:endParaRPr lang="en-US"/>
        </a:p>
      </dgm:t>
    </dgm:pt>
    <dgm:pt modelId="{FCD29B55-4D58-4B2F-992A-D913B83E713F}">
      <dgm:prSet/>
      <dgm:spPr/>
      <dgm:t>
        <a:bodyPr/>
        <a:lstStyle/>
        <a:p>
          <a:r>
            <a:rPr lang="en-US"/>
            <a:t>Action Plan</a:t>
          </a:r>
        </a:p>
      </dgm:t>
    </dgm:pt>
    <dgm:pt modelId="{BA0E9407-0316-4B9C-9A18-FF81D949656E}" type="parTrans" cxnId="{789400A7-301C-4C31-98D4-9D391308A7F9}">
      <dgm:prSet/>
      <dgm:spPr/>
      <dgm:t>
        <a:bodyPr/>
        <a:lstStyle/>
        <a:p>
          <a:endParaRPr lang="en-US"/>
        </a:p>
      </dgm:t>
    </dgm:pt>
    <dgm:pt modelId="{F11290C7-C1B9-4B05-885D-848D955B104E}" type="sibTrans" cxnId="{789400A7-301C-4C31-98D4-9D391308A7F9}">
      <dgm:prSet/>
      <dgm:spPr/>
      <dgm:t>
        <a:bodyPr/>
        <a:lstStyle/>
        <a:p>
          <a:endParaRPr lang="en-US"/>
        </a:p>
      </dgm:t>
    </dgm:pt>
    <dgm:pt modelId="{1877FF56-8A59-4EA4-9503-BE72152EFFC0}" type="pres">
      <dgm:prSet presAssocID="{8137252D-5C6C-4ADF-815C-9984B0F6551E}" presName="cycle" presStyleCnt="0">
        <dgm:presLayoutVars>
          <dgm:dir/>
          <dgm:resizeHandles val="exact"/>
        </dgm:presLayoutVars>
      </dgm:prSet>
      <dgm:spPr/>
    </dgm:pt>
    <dgm:pt modelId="{9BA41DDB-372C-4666-9DCD-C82AEE2725C5}" type="pres">
      <dgm:prSet presAssocID="{E4FE9CBD-6766-4D2D-B517-3E9BEBE54C94}" presName="dummy" presStyleCnt="0"/>
      <dgm:spPr/>
    </dgm:pt>
    <dgm:pt modelId="{B8077777-34D3-4126-867D-CB734B6A5403}" type="pres">
      <dgm:prSet presAssocID="{E4FE9CBD-6766-4D2D-B517-3E9BEBE54C94}" presName="node" presStyleLbl="revTx" presStyleIdx="0" presStyleCnt="6">
        <dgm:presLayoutVars>
          <dgm:bulletEnabled val="1"/>
        </dgm:presLayoutVars>
      </dgm:prSet>
      <dgm:spPr/>
    </dgm:pt>
    <dgm:pt modelId="{BFB3920A-9377-4CDA-B2C1-7F72828EB662}" type="pres">
      <dgm:prSet presAssocID="{6BD13A6A-ED27-4FAE-97B4-145E3753B573}" presName="sibTrans" presStyleLbl="node1" presStyleIdx="0" presStyleCnt="6"/>
      <dgm:spPr/>
    </dgm:pt>
    <dgm:pt modelId="{E7358CE5-B0B6-46B3-B09B-B5CE2F22C7AA}" type="pres">
      <dgm:prSet presAssocID="{5090E53C-77B1-4B99-BDD4-BB3CE7D391D8}" presName="dummy" presStyleCnt="0"/>
      <dgm:spPr/>
    </dgm:pt>
    <dgm:pt modelId="{5AB708DE-06C3-4214-9B1D-D0499D1C9AA7}" type="pres">
      <dgm:prSet presAssocID="{5090E53C-77B1-4B99-BDD4-BB3CE7D391D8}" presName="node" presStyleLbl="revTx" presStyleIdx="1" presStyleCnt="6">
        <dgm:presLayoutVars>
          <dgm:bulletEnabled val="1"/>
        </dgm:presLayoutVars>
      </dgm:prSet>
      <dgm:spPr/>
    </dgm:pt>
    <dgm:pt modelId="{D8E5AA68-8CE6-4356-8689-14773F8928CF}" type="pres">
      <dgm:prSet presAssocID="{4F564758-FFD1-4F4F-8E48-EA94DFA4DE34}" presName="sibTrans" presStyleLbl="node1" presStyleIdx="1" presStyleCnt="6"/>
      <dgm:spPr/>
    </dgm:pt>
    <dgm:pt modelId="{DDCB811D-0FF0-4216-A6A3-1F8AE1EC4183}" type="pres">
      <dgm:prSet presAssocID="{133044DB-1618-4100-9BF1-EED063FAA884}" presName="dummy" presStyleCnt="0"/>
      <dgm:spPr/>
    </dgm:pt>
    <dgm:pt modelId="{36F655F2-E154-4F7E-9B58-3117941AD7DF}" type="pres">
      <dgm:prSet presAssocID="{133044DB-1618-4100-9BF1-EED063FAA884}" presName="node" presStyleLbl="revTx" presStyleIdx="2" presStyleCnt="6">
        <dgm:presLayoutVars>
          <dgm:bulletEnabled val="1"/>
        </dgm:presLayoutVars>
      </dgm:prSet>
      <dgm:spPr/>
    </dgm:pt>
    <dgm:pt modelId="{F61D36B3-464D-4497-BB8E-1C534400010D}" type="pres">
      <dgm:prSet presAssocID="{ADAB6757-F8D9-4EB4-A638-5D7E96BC22A0}" presName="sibTrans" presStyleLbl="node1" presStyleIdx="2" presStyleCnt="6"/>
      <dgm:spPr/>
    </dgm:pt>
    <dgm:pt modelId="{905640A9-2896-4F7B-9976-DC28B8C962BB}" type="pres">
      <dgm:prSet presAssocID="{E280EB29-4FDA-4977-A323-3B7E959E5C08}" presName="dummy" presStyleCnt="0"/>
      <dgm:spPr/>
    </dgm:pt>
    <dgm:pt modelId="{16B9D91B-37EE-4CFB-A275-A4139027FEA1}" type="pres">
      <dgm:prSet presAssocID="{E280EB29-4FDA-4977-A323-3B7E959E5C08}" presName="node" presStyleLbl="revTx" presStyleIdx="3" presStyleCnt="6">
        <dgm:presLayoutVars>
          <dgm:bulletEnabled val="1"/>
        </dgm:presLayoutVars>
      </dgm:prSet>
      <dgm:spPr/>
    </dgm:pt>
    <dgm:pt modelId="{25AA64D1-B04E-49B8-A163-42FA4610537C}" type="pres">
      <dgm:prSet presAssocID="{3BB08702-B3B1-43D9-A048-24EA48D7CAD2}" presName="sibTrans" presStyleLbl="node1" presStyleIdx="3" presStyleCnt="6"/>
      <dgm:spPr/>
    </dgm:pt>
    <dgm:pt modelId="{F1C1B3F2-6E46-4AAC-9F49-70ECA022CDDA}" type="pres">
      <dgm:prSet presAssocID="{BEC11598-4610-4CD5-A42B-373CB3CEFE55}" presName="dummy" presStyleCnt="0"/>
      <dgm:spPr/>
    </dgm:pt>
    <dgm:pt modelId="{01356CFD-C581-40DF-A2CD-1581C4066A43}" type="pres">
      <dgm:prSet presAssocID="{BEC11598-4610-4CD5-A42B-373CB3CEFE55}" presName="node" presStyleLbl="revTx" presStyleIdx="4" presStyleCnt="6">
        <dgm:presLayoutVars>
          <dgm:bulletEnabled val="1"/>
        </dgm:presLayoutVars>
      </dgm:prSet>
      <dgm:spPr/>
    </dgm:pt>
    <dgm:pt modelId="{99AABBF1-CC85-4B2A-8DFA-9A14B6B5C012}" type="pres">
      <dgm:prSet presAssocID="{7B42C424-0388-48DB-ABBD-439E5D502366}" presName="sibTrans" presStyleLbl="node1" presStyleIdx="4" presStyleCnt="6"/>
      <dgm:spPr/>
    </dgm:pt>
    <dgm:pt modelId="{C27987E1-275E-41D9-95C1-2A9251F2B54E}" type="pres">
      <dgm:prSet presAssocID="{FCD29B55-4D58-4B2F-992A-D913B83E713F}" presName="dummy" presStyleCnt="0"/>
      <dgm:spPr/>
    </dgm:pt>
    <dgm:pt modelId="{2D46ABF1-14F2-47B0-BA56-364961580AA9}" type="pres">
      <dgm:prSet presAssocID="{FCD29B55-4D58-4B2F-992A-D913B83E713F}" presName="node" presStyleLbl="revTx" presStyleIdx="5" presStyleCnt="6">
        <dgm:presLayoutVars>
          <dgm:bulletEnabled val="1"/>
        </dgm:presLayoutVars>
      </dgm:prSet>
      <dgm:spPr/>
    </dgm:pt>
    <dgm:pt modelId="{EF19FE47-1703-47BE-B199-F5319B57AF1A}" type="pres">
      <dgm:prSet presAssocID="{F11290C7-C1B9-4B05-885D-848D955B104E}" presName="sibTrans" presStyleLbl="node1" presStyleIdx="5" presStyleCnt="6"/>
      <dgm:spPr/>
    </dgm:pt>
  </dgm:ptLst>
  <dgm:cxnLst>
    <dgm:cxn modelId="{FF06CA01-293E-4E0F-9DA0-D4267B246DE0}" type="presOf" srcId="{6BD13A6A-ED27-4FAE-97B4-145E3753B573}" destId="{BFB3920A-9377-4CDA-B2C1-7F72828EB662}" srcOrd="0" destOrd="0" presId="urn:microsoft.com/office/officeart/2005/8/layout/cycle1"/>
    <dgm:cxn modelId="{ABAFDA0C-F741-4E30-BD00-36E1C233F51F}" type="presOf" srcId="{ADAB6757-F8D9-4EB4-A638-5D7E96BC22A0}" destId="{F61D36B3-464D-4497-BB8E-1C534400010D}" srcOrd="0" destOrd="0" presId="urn:microsoft.com/office/officeart/2005/8/layout/cycle1"/>
    <dgm:cxn modelId="{2DE7C43A-0058-489C-8661-F5A23272C0B0}" type="presOf" srcId="{4F564758-FFD1-4F4F-8E48-EA94DFA4DE34}" destId="{D8E5AA68-8CE6-4356-8689-14773F8928CF}" srcOrd="0" destOrd="0" presId="urn:microsoft.com/office/officeart/2005/8/layout/cycle1"/>
    <dgm:cxn modelId="{8C98E63D-2BA0-42B6-9FAF-1393ADD6065A}" type="presOf" srcId="{BEC11598-4610-4CD5-A42B-373CB3CEFE55}" destId="{01356CFD-C581-40DF-A2CD-1581C4066A43}" srcOrd="0" destOrd="0" presId="urn:microsoft.com/office/officeart/2005/8/layout/cycle1"/>
    <dgm:cxn modelId="{F9729045-06B6-4B85-A042-F85C623C6E1A}" type="presOf" srcId="{7B42C424-0388-48DB-ABBD-439E5D502366}" destId="{99AABBF1-CC85-4B2A-8DFA-9A14B6B5C012}" srcOrd="0" destOrd="0" presId="urn:microsoft.com/office/officeart/2005/8/layout/cycle1"/>
    <dgm:cxn modelId="{3B1AF94D-0BF0-4FDB-A6D0-4D28A0682D4A}" type="presOf" srcId="{8137252D-5C6C-4ADF-815C-9984B0F6551E}" destId="{1877FF56-8A59-4EA4-9503-BE72152EFFC0}" srcOrd="0" destOrd="0" presId="urn:microsoft.com/office/officeart/2005/8/layout/cycle1"/>
    <dgm:cxn modelId="{02177460-040D-4A62-BD38-6F0F1EB54E53}" type="presOf" srcId="{E280EB29-4FDA-4977-A323-3B7E959E5C08}" destId="{16B9D91B-37EE-4CFB-A275-A4139027FEA1}" srcOrd="0" destOrd="0" presId="urn:microsoft.com/office/officeart/2005/8/layout/cycle1"/>
    <dgm:cxn modelId="{F2CE8A83-6DC1-4CA6-826C-490798EC2586}" type="presOf" srcId="{133044DB-1618-4100-9BF1-EED063FAA884}" destId="{36F655F2-E154-4F7E-9B58-3117941AD7DF}" srcOrd="0" destOrd="0" presId="urn:microsoft.com/office/officeart/2005/8/layout/cycle1"/>
    <dgm:cxn modelId="{9354EE98-2362-4E33-9816-D41AA1344BFE}" srcId="{8137252D-5C6C-4ADF-815C-9984B0F6551E}" destId="{5090E53C-77B1-4B99-BDD4-BB3CE7D391D8}" srcOrd="1" destOrd="0" parTransId="{586E6FE1-AB22-40B0-86B4-9D5D941AEF5F}" sibTransId="{4F564758-FFD1-4F4F-8E48-EA94DFA4DE34}"/>
    <dgm:cxn modelId="{2053529F-75BF-449A-8868-29D401D1A654}" srcId="{8137252D-5C6C-4ADF-815C-9984B0F6551E}" destId="{E4FE9CBD-6766-4D2D-B517-3E9BEBE54C94}" srcOrd="0" destOrd="0" parTransId="{04DC42A7-98A9-44AD-A04D-E8935D700A70}" sibTransId="{6BD13A6A-ED27-4FAE-97B4-145E3753B573}"/>
    <dgm:cxn modelId="{789400A7-301C-4C31-98D4-9D391308A7F9}" srcId="{8137252D-5C6C-4ADF-815C-9984B0F6551E}" destId="{FCD29B55-4D58-4B2F-992A-D913B83E713F}" srcOrd="5" destOrd="0" parTransId="{BA0E9407-0316-4B9C-9A18-FF81D949656E}" sibTransId="{F11290C7-C1B9-4B05-885D-848D955B104E}"/>
    <dgm:cxn modelId="{A3DC88AC-88F1-46BA-8D76-C2DE1FF06B5A}" type="presOf" srcId="{F11290C7-C1B9-4B05-885D-848D955B104E}" destId="{EF19FE47-1703-47BE-B199-F5319B57AF1A}" srcOrd="0" destOrd="0" presId="urn:microsoft.com/office/officeart/2005/8/layout/cycle1"/>
    <dgm:cxn modelId="{7C020EBF-32A1-46E2-8903-F60A3E298A00}" type="presOf" srcId="{E4FE9CBD-6766-4D2D-B517-3E9BEBE54C94}" destId="{B8077777-34D3-4126-867D-CB734B6A5403}" srcOrd="0" destOrd="0" presId="urn:microsoft.com/office/officeart/2005/8/layout/cycle1"/>
    <dgm:cxn modelId="{57BDE8CD-3ACF-4B03-91E9-9321ED3264DD}" type="presOf" srcId="{FCD29B55-4D58-4B2F-992A-D913B83E713F}" destId="{2D46ABF1-14F2-47B0-BA56-364961580AA9}" srcOrd="0" destOrd="0" presId="urn:microsoft.com/office/officeart/2005/8/layout/cycle1"/>
    <dgm:cxn modelId="{316BC1CE-BD99-4003-998D-9DEDCEB168E5}" type="presOf" srcId="{5090E53C-77B1-4B99-BDD4-BB3CE7D391D8}" destId="{5AB708DE-06C3-4214-9B1D-D0499D1C9AA7}" srcOrd="0" destOrd="0" presId="urn:microsoft.com/office/officeart/2005/8/layout/cycle1"/>
    <dgm:cxn modelId="{B3780ED7-EFD3-4F48-9953-7ED8EF804FED}" type="presOf" srcId="{3BB08702-B3B1-43D9-A048-24EA48D7CAD2}" destId="{25AA64D1-B04E-49B8-A163-42FA4610537C}" srcOrd="0" destOrd="0" presId="urn:microsoft.com/office/officeart/2005/8/layout/cycle1"/>
    <dgm:cxn modelId="{AE8DAED9-B945-4C66-B647-39E601B5AF42}" srcId="{8137252D-5C6C-4ADF-815C-9984B0F6551E}" destId="{E280EB29-4FDA-4977-A323-3B7E959E5C08}" srcOrd="3" destOrd="0" parTransId="{A30081DA-4FAD-4FC2-A8C1-5ACEB1339F66}" sibTransId="{3BB08702-B3B1-43D9-A048-24EA48D7CAD2}"/>
    <dgm:cxn modelId="{BFCD04DC-2C4D-46D6-A60B-616638087B62}" srcId="{8137252D-5C6C-4ADF-815C-9984B0F6551E}" destId="{BEC11598-4610-4CD5-A42B-373CB3CEFE55}" srcOrd="4" destOrd="0" parTransId="{12F98537-8486-4338-A792-03EEAFFC5F1D}" sibTransId="{7B42C424-0388-48DB-ABBD-439E5D502366}"/>
    <dgm:cxn modelId="{644764F9-0668-4E6C-B294-A8166329FB62}" srcId="{8137252D-5C6C-4ADF-815C-9984B0F6551E}" destId="{133044DB-1618-4100-9BF1-EED063FAA884}" srcOrd="2" destOrd="0" parTransId="{44E1E76B-F852-492B-8267-68BEC9E90B47}" sibTransId="{ADAB6757-F8D9-4EB4-A638-5D7E96BC22A0}"/>
    <dgm:cxn modelId="{B0D79183-FD4D-4433-9D5B-1753FCE01920}" type="presParOf" srcId="{1877FF56-8A59-4EA4-9503-BE72152EFFC0}" destId="{9BA41DDB-372C-4666-9DCD-C82AEE2725C5}" srcOrd="0" destOrd="0" presId="urn:microsoft.com/office/officeart/2005/8/layout/cycle1"/>
    <dgm:cxn modelId="{7861CF1C-E1E8-4C24-84C3-03FA29CE7C2D}" type="presParOf" srcId="{1877FF56-8A59-4EA4-9503-BE72152EFFC0}" destId="{B8077777-34D3-4126-867D-CB734B6A5403}" srcOrd="1" destOrd="0" presId="urn:microsoft.com/office/officeart/2005/8/layout/cycle1"/>
    <dgm:cxn modelId="{BC0A11F0-E52D-467A-AABE-9BFCFD360863}" type="presParOf" srcId="{1877FF56-8A59-4EA4-9503-BE72152EFFC0}" destId="{BFB3920A-9377-4CDA-B2C1-7F72828EB662}" srcOrd="2" destOrd="0" presId="urn:microsoft.com/office/officeart/2005/8/layout/cycle1"/>
    <dgm:cxn modelId="{25B0B3A5-316E-4948-9D69-9631760E0656}" type="presParOf" srcId="{1877FF56-8A59-4EA4-9503-BE72152EFFC0}" destId="{E7358CE5-B0B6-46B3-B09B-B5CE2F22C7AA}" srcOrd="3" destOrd="0" presId="urn:microsoft.com/office/officeart/2005/8/layout/cycle1"/>
    <dgm:cxn modelId="{1312F27C-A96D-4BCC-A055-C7CBB16DF806}" type="presParOf" srcId="{1877FF56-8A59-4EA4-9503-BE72152EFFC0}" destId="{5AB708DE-06C3-4214-9B1D-D0499D1C9AA7}" srcOrd="4" destOrd="0" presId="urn:microsoft.com/office/officeart/2005/8/layout/cycle1"/>
    <dgm:cxn modelId="{A0CF07CC-6628-483B-9964-F45B74E5F2D2}" type="presParOf" srcId="{1877FF56-8A59-4EA4-9503-BE72152EFFC0}" destId="{D8E5AA68-8CE6-4356-8689-14773F8928CF}" srcOrd="5" destOrd="0" presId="urn:microsoft.com/office/officeart/2005/8/layout/cycle1"/>
    <dgm:cxn modelId="{636BBE88-29CB-49B4-9329-1F79FAB94A8E}" type="presParOf" srcId="{1877FF56-8A59-4EA4-9503-BE72152EFFC0}" destId="{DDCB811D-0FF0-4216-A6A3-1F8AE1EC4183}" srcOrd="6" destOrd="0" presId="urn:microsoft.com/office/officeart/2005/8/layout/cycle1"/>
    <dgm:cxn modelId="{CF42C79B-22F1-4662-914A-AA88BE82FD34}" type="presParOf" srcId="{1877FF56-8A59-4EA4-9503-BE72152EFFC0}" destId="{36F655F2-E154-4F7E-9B58-3117941AD7DF}" srcOrd="7" destOrd="0" presId="urn:microsoft.com/office/officeart/2005/8/layout/cycle1"/>
    <dgm:cxn modelId="{D75B5D96-BB82-46E0-88E9-09CC81ABC2CD}" type="presParOf" srcId="{1877FF56-8A59-4EA4-9503-BE72152EFFC0}" destId="{F61D36B3-464D-4497-BB8E-1C534400010D}" srcOrd="8" destOrd="0" presId="urn:microsoft.com/office/officeart/2005/8/layout/cycle1"/>
    <dgm:cxn modelId="{0D4028C4-765E-4A99-BDFA-75EC7CB720CF}" type="presParOf" srcId="{1877FF56-8A59-4EA4-9503-BE72152EFFC0}" destId="{905640A9-2896-4F7B-9976-DC28B8C962BB}" srcOrd="9" destOrd="0" presId="urn:microsoft.com/office/officeart/2005/8/layout/cycle1"/>
    <dgm:cxn modelId="{24B9088D-26C1-4CF9-8F20-C56757CCDFA4}" type="presParOf" srcId="{1877FF56-8A59-4EA4-9503-BE72152EFFC0}" destId="{16B9D91B-37EE-4CFB-A275-A4139027FEA1}" srcOrd="10" destOrd="0" presId="urn:microsoft.com/office/officeart/2005/8/layout/cycle1"/>
    <dgm:cxn modelId="{10B76326-6FA7-4565-BE98-869AA028D8FA}" type="presParOf" srcId="{1877FF56-8A59-4EA4-9503-BE72152EFFC0}" destId="{25AA64D1-B04E-49B8-A163-42FA4610537C}" srcOrd="11" destOrd="0" presId="urn:microsoft.com/office/officeart/2005/8/layout/cycle1"/>
    <dgm:cxn modelId="{6DA67008-CE40-4BE9-9027-311FD562222D}" type="presParOf" srcId="{1877FF56-8A59-4EA4-9503-BE72152EFFC0}" destId="{F1C1B3F2-6E46-4AAC-9F49-70ECA022CDDA}" srcOrd="12" destOrd="0" presId="urn:microsoft.com/office/officeart/2005/8/layout/cycle1"/>
    <dgm:cxn modelId="{C7E0236E-3F0C-495A-A733-D3B2EF6A1FF4}" type="presParOf" srcId="{1877FF56-8A59-4EA4-9503-BE72152EFFC0}" destId="{01356CFD-C581-40DF-A2CD-1581C4066A43}" srcOrd="13" destOrd="0" presId="urn:microsoft.com/office/officeart/2005/8/layout/cycle1"/>
    <dgm:cxn modelId="{E486ABED-662E-4319-B337-43E64E990788}" type="presParOf" srcId="{1877FF56-8A59-4EA4-9503-BE72152EFFC0}" destId="{99AABBF1-CC85-4B2A-8DFA-9A14B6B5C012}" srcOrd="14" destOrd="0" presId="urn:microsoft.com/office/officeart/2005/8/layout/cycle1"/>
    <dgm:cxn modelId="{8CC6AF61-50B1-4D2D-ADCA-AC6F345B2F4A}" type="presParOf" srcId="{1877FF56-8A59-4EA4-9503-BE72152EFFC0}" destId="{C27987E1-275E-41D9-95C1-2A9251F2B54E}" srcOrd="15" destOrd="0" presId="urn:microsoft.com/office/officeart/2005/8/layout/cycle1"/>
    <dgm:cxn modelId="{FC8EE239-1F02-49B5-9932-78CBDE6773EB}" type="presParOf" srcId="{1877FF56-8A59-4EA4-9503-BE72152EFFC0}" destId="{2D46ABF1-14F2-47B0-BA56-364961580AA9}" srcOrd="16" destOrd="0" presId="urn:microsoft.com/office/officeart/2005/8/layout/cycle1"/>
    <dgm:cxn modelId="{982C8590-9829-4BEA-9BFB-4FCD768D4A38}" type="presParOf" srcId="{1877FF56-8A59-4EA4-9503-BE72152EFFC0}" destId="{EF19FE47-1703-47BE-B199-F5319B57AF1A}" srcOrd="17"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077777-34D3-4126-867D-CB734B6A5403}">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Description</a:t>
          </a:r>
        </a:p>
      </dsp:txBody>
      <dsp:txXfrm>
        <a:off x="3145991" y="7808"/>
        <a:ext cx="654992" cy="654992"/>
      </dsp:txXfrm>
    </dsp:sp>
    <dsp:sp modelId="{BFB3920A-9377-4CDA-B2C1-7F72828EB662}">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B708DE-06C3-4214-9B1D-D0499D1C9AA7}">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Feelings</a:t>
          </a:r>
        </a:p>
      </dsp:txBody>
      <dsp:txXfrm>
        <a:off x="3876278" y="1272703"/>
        <a:ext cx="654992" cy="654992"/>
      </dsp:txXfrm>
    </dsp:sp>
    <dsp:sp modelId="{D8E5AA68-8CE6-4356-8689-14773F8928CF}">
      <dsp:nvSpPr>
        <dsp:cNvPr id="0" name=""/>
        <dsp:cNvSpPr/>
      </dsp:nvSpPr>
      <dsp:spPr>
        <a:xfrm>
          <a:off x="1144257" y="1257"/>
          <a:ext cx="3197884" cy="3197884"/>
        </a:xfrm>
        <a:prstGeom prst="circularArrow">
          <a:avLst>
            <a:gd name="adj1" fmla="val 3994"/>
            <a:gd name="adj2" fmla="val 250574"/>
            <a:gd name="adj3" fmla="val 2365165"/>
            <a:gd name="adj4" fmla="val 777436"/>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6F655F2-E154-4F7E-9B58-3117941AD7DF}">
      <dsp:nvSpPr>
        <dsp:cNvPr id="0" name=""/>
        <dsp:cNvSpPr/>
      </dsp:nvSpPr>
      <dsp:spPr>
        <a:xfrm>
          <a:off x="3145991"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Evaluation</a:t>
          </a:r>
        </a:p>
      </dsp:txBody>
      <dsp:txXfrm>
        <a:off x="3145991" y="2537598"/>
        <a:ext cx="654992" cy="654992"/>
      </dsp:txXfrm>
    </dsp:sp>
    <dsp:sp modelId="{F61D36B3-464D-4497-BB8E-1C534400010D}">
      <dsp:nvSpPr>
        <dsp:cNvPr id="0" name=""/>
        <dsp:cNvSpPr/>
      </dsp:nvSpPr>
      <dsp:spPr>
        <a:xfrm>
          <a:off x="1144257" y="1257"/>
          <a:ext cx="3197884" cy="3197884"/>
        </a:xfrm>
        <a:prstGeom prst="circularArrow">
          <a:avLst>
            <a:gd name="adj1" fmla="val 3994"/>
            <a:gd name="adj2" fmla="val 250574"/>
            <a:gd name="adj3" fmla="val 6109921"/>
            <a:gd name="adj4" fmla="val 443950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B9D91B-37EE-4CFB-A275-A4139027FEA1}">
      <dsp:nvSpPr>
        <dsp:cNvPr id="0" name=""/>
        <dsp:cNvSpPr/>
      </dsp:nvSpPr>
      <dsp:spPr>
        <a:xfrm>
          <a:off x="1685416"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Analysis</a:t>
          </a:r>
        </a:p>
      </dsp:txBody>
      <dsp:txXfrm>
        <a:off x="1685416" y="2537598"/>
        <a:ext cx="654992" cy="654992"/>
      </dsp:txXfrm>
    </dsp:sp>
    <dsp:sp modelId="{25AA64D1-B04E-49B8-A163-42FA4610537C}">
      <dsp:nvSpPr>
        <dsp:cNvPr id="0" name=""/>
        <dsp:cNvSpPr/>
      </dsp:nvSpPr>
      <dsp:spPr>
        <a:xfrm>
          <a:off x="1144257" y="1257"/>
          <a:ext cx="3197884" cy="3197884"/>
        </a:xfrm>
        <a:prstGeom prst="circularArrow">
          <a:avLst>
            <a:gd name="adj1" fmla="val 3994"/>
            <a:gd name="adj2" fmla="val 250574"/>
            <a:gd name="adj3" fmla="val 9771990"/>
            <a:gd name="adj4" fmla="val 8184261"/>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356CFD-C581-40DF-A2CD-1581C4066A43}">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Conclusion</a:t>
          </a:r>
        </a:p>
      </dsp:txBody>
      <dsp:txXfrm>
        <a:off x="955128" y="1272703"/>
        <a:ext cx="654992" cy="654992"/>
      </dsp:txXfrm>
    </dsp:sp>
    <dsp:sp modelId="{99AABBF1-CC85-4B2A-8DFA-9A14B6B5C012}">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D46ABF1-14F2-47B0-BA56-364961580AA9}">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Action Plan</a:t>
          </a:r>
        </a:p>
      </dsp:txBody>
      <dsp:txXfrm>
        <a:off x="1685416" y="7808"/>
        <a:ext cx="654992" cy="654992"/>
      </dsp:txXfrm>
    </dsp:sp>
    <dsp:sp modelId="{EF19FE47-1703-47BE-B199-F5319B57AF1A}">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C5586-0419-4B38-9E4F-43CFD8CD4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Jicmon (2119900)</dc:creator>
  <cp:keywords/>
  <dc:description/>
  <cp:lastModifiedBy>Daniela Jicmon (2119900)</cp:lastModifiedBy>
  <cp:revision>2</cp:revision>
  <dcterms:created xsi:type="dcterms:W3CDTF">2022-09-01T08:55:00Z</dcterms:created>
  <dcterms:modified xsi:type="dcterms:W3CDTF">2022-09-01T08:55:00Z</dcterms:modified>
  <cp:category/>
</cp:coreProperties>
</file>