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12177C3" w:rsidR="00986B43" w:rsidRPr="003B5AD1" w:rsidRDefault="00986B43" w:rsidP="005D3F07">
            <w:pPr>
              <w:overflowPunct/>
              <w:autoSpaceDE/>
              <w:autoSpaceDN/>
              <w:adjustRightInd/>
              <w:ind w:right="-957"/>
              <w:textAlignment w:val="auto"/>
              <w:rPr>
                <w:rFonts w:ascii="Times New Roman" w:hAnsi="Times New Roman" w:cs="Times New Roman"/>
                <w:b/>
                <w:color w:val="auto"/>
                <w:sz w:val="44"/>
                <w:szCs w:val="1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B5AD1">
              <w:rPr>
                <w:rFonts w:ascii="Times New Roman" w:hAnsi="Times New Roman" w:cs="Times New Roman"/>
                <w:b/>
                <w:color w:val="auto"/>
                <w:sz w:val="44"/>
                <w:szCs w:val="18"/>
              </w:rPr>
              <w:t>Kayleigh Morris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4EB3C68" w:rsidR="009C337F" w:rsidRPr="003B5AD1" w:rsidRDefault="009C337F" w:rsidP="005D3F07">
            <w:pPr>
              <w:overflowPunct/>
              <w:autoSpaceDE/>
              <w:autoSpaceDN/>
              <w:adjustRightInd/>
              <w:ind w:right="-957"/>
              <w:textAlignment w:val="auto"/>
              <w:rPr>
                <w:rFonts w:ascii="Times New Roman" w:hAnsi="Times New Roman" w:cs="Times New Roman"/>
                <w:b/>
                <w:color w:val="auto"/>
                <w:sz w:val="44"/>
                <w:szCs w:val="18"/>
              </w:rPr>
            </w:pPr>
            <w:r>
              <w:rPr>
                <w:rFonts w:ascii="Times New Roman" w:hAnsi="Times New Roman" w:cs="Times New Roman"/>
                <w:b/>
                <w:color w:val="auto"/>
                <w:sz w:val="48"/>
              </w:rPr>
              <w:t>Email address:</w:t>
            </w:r>
            <w:r w:rsidR="003B5AD1">
              <w:rPr>
                <w:rFonts w:ascii="Times New Roman" w:hAnsi="Times New Roman" w:cs="Times New Roman"/>
                <w:b/>
                <w:color w:val="auto"/>
                <w:sz w:val="48"/>
              </w:rPr>
              <w:t xml:space="preserve"> </w:t>
            </w:r>
            <w:r w:rsidR="003B5AD1">
              <w:rPr>
                <w:rFonts w:ascii="Times New Roman" w:hAnsi="Times New Roman" w:cs="Times New Roman"/>
                <w:b/>
                <w:color w:val="auto"/>
                <w:sz w:val="44"/>
                <w:szCs w:val="18"/>
              </w:rPr>
              <w:t>Kayleigh.morris@Wrexham.gov.uk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3A7315A" w14:textId="6808BB15" w:rsidR="003B5AD1" w:rsidRPr="00703A3E" w:rsidRDefault="00703A3E" w:rsidP="00703A3E">
            <w:pPr>
              <w:ind w:right="-957"/>
              <w:rPr>
                <w:rFonts w:ascii="Times New Roman" w:hAnsi="Times New Roman" w:cs="Times New Roman"/>
                <w:b/>
                <w:sz w:val="44"/>
                <w:szCs w:val="18"/>
              </w:rPr>
            </w:pPr>
            <w:r w:rsidRPr="00DF3B1F">
              <w:rPr>
                <w:rFonts w:ascii="Times New Roman" w:hAnsi="Times New Roman" w:cs="Times New Roman"/>
                <w:b/>
                <w:sz w:val="44"/>
                <w:szCs w:val="18"/>
              </w:rPr>
              <w:t>2329654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1D68DA91" w14:textId="3A2B61FC" w:rsidR="00D3203C" w:rsidRDefault="00D3203C" w:rsidP="00287545">
      <w:pPr>
        <w:rPr>
          <w:rFonts w:ascii="Times New Roman" w:hAnsi="Times New Roman" w:cs="Times New Roman"/>
          <w:b/>
          <w:color w:val="auto"/>
          <w:sz w:val="48"/>
        </w:rPr>
      </w:pPr>
    </w:p>
    <w:p w14:paraId="0D964663" w14:textId="77777777" w:rsidR="00287545" w:rsidRDefault="00287545" w:rsidP="00287545">
      <w:pPr>
        <w:rPr>
          <w:b/>
          <w:sz w:val="24"/>
          <w:szCs w:val="24"/>
        </w:rPr>
      </w:pPr>
    </w:p>
    <w:p w14:paraId="156B2346" w14:textId="5916FD6F" w:rsidR="00002C7A" w:rsidRPr="00EE5BC3" w:rsidRDefault="00337FEF" w:rsidP="00287545">
      <w:pPr>
        <w:jc w:val="center"/>
        <w:rPr>
          <w:b/>
          <w:sz w:val="28"/>
          <w:szCs w:val="28"/>
        </w:rPr>
      </w:pPr>
      <w:r w:rsidRPr="00EE5BC3">
        <w:rPr>
          <w:b/>
          <w:sz w:val="28"/>
          <w:szCs w:val="28"/>
        </w:rPr>
        <w:lastRenderedPageBreak/>
        <w:t>Task 4</w:t>
      </w: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21EBAA8F" w14:textId="77777777" w:rsidR="00D8201D" w:rsidRPr="00D8201D" w:rsidRDefault="00D8201D" w:rsidP="00D8201D">
            <w:pPr>
              <w:spacing w:line="360" w:lineRule="auto"/>
              <w:ind w:firstLine="720"/>
              <w:rPr>
                <w:sz w:val="24"/>
                <w:szCs w:val="24"/>
              </w:rPr>
            </w:pPr>
            <w:r w:rsidRPr="008F541E">
              <w:rPr>
                <w:sz w:val="24"/>
                <w:szCs w:val="24"/>
              </w:rPr>
              <w:t>As a Social Worker, it is essential to understand and have knowledge surrounding the legislation and policies for safeguarding adults. Safeguarding in Wales is primarily governed by the Social Services and Well-being (Wales) Act 2014 (SSWBA), which provides the overarching legal framework for protecting adults at risk. The SSWBA sets out clear duties for local authorities, including the responsibility to make enquiries where there is reasonable cause to suspect that an adult is at risk of abuse, neglect or harm. Under Section 126, a local authority must undertake, or arrange for others to undertake enquiries, if an adult is experiencing or at risk of abuse or neglect and cannot safeguard themselves because of their care and support needs.</w:t>
            </w:r>
          </w:p>
          <w:p w14:paraId="68FAFC27" w14:textId="77777777" w:rsidR="00D8201D" w:rsidRPr="00D8201D" w:rsidRDefault="00D8201D" w:rsidP="00D8201D">
            <w:pPr>
              <w:spacing w:line="360" w:lineRule="auto"/>
              <w:ind w:firstLine="720"/>
              <w:rPr>
                <w:sz w:val="24"/>
                <w:szCs w:val="24"/>
              </w:rPr>
            </w:pPr>
            <w:r w:rsidRPr="008F541E">
              <w:rPr>
                <w:sz w:val="24"/>
                <w:szCs w:val="24"/>
              </w:rPr>
              <w:t>The SSWBA also created a national definition of an “adult at risk</w:t>
            </w:r>
            <w:proofErr w:type="gramStart"/>
            <w:r w:rsidRPr="008F541E">
              <w:rPr>
                <w:sz w:val="24"/>
                <w:szCs w:val="24"/>
              </w:rPr>
              <w:t>”, and</w:t>
            </w:r>
            <w:proofErr w:type="gramEnd"/>
            <w:r w:rsidRPr="008F541E">
              <w:rPr>
                <w:sz w:val="24"/>
                <w:szCs w:val="24"/>
              </w:rPr>
              <w:t xml:space="preserve"> introduced the requirement for Regional Safeguarding Boards. The North Wales Safeguarding Board (NWSAB) oversees multi-agency safeguarding procedures, learning reviews and workforce development.</w:t>
            </w:r>
          </w:p>
          <w:p w14:paraId="7FA841FA" w14:textId="77777777" w:rsidR="00D8201D" w:rsidRPr="00D8201D" w:rsidRDefault="00D8201D" w:rsidP="00D8201D">
            <w:pPr>
              <w:spacing w:line="360" w:lineRule="auto"/>
              <w:ind w:firstLine="720"/>
              <w:rPr>
                <w:sz w:val="24"/>
                <w:szCs w:val="24"/>
              </w:rPr>
            </w:pPr>
            <w:r w:rsidRPr="008F541E">
              <w:rPr>
                <w:sz w:val="24"/>
                <w:szCs w:val="24"/>
              </w:rPr>
              <w:t>In addition to the SSWBA, the Mental Capacity Act 2005 (MCA) remains central to safeguarding practice. Many safeguarding situations involve questions of capacity, consent and the impact of coercion or undue influence. The MCA provides the legal basis for assessing capacity and making best-interest decisions where necessary. It also links to Deprivation of Liberty Safeguards (</w:t>
            </w:r>
            <w:proofErr w:type="spellStart"/>
            <w:r w:rsidRPr="008F541E">
              <w:rPr>
                <w:sz w:val="24"/>
                <w:szCs w:val="24"/>
              </w:rPr>
              <w:t>DoLS</w:t>
            </w:r>
            <w:proofErr w:type="spellEnd"/>
            <w:r w:rsidRPr="008F541E">
              <w:rPr>
                <w:sz w:val="24"/>
                <w:szCs w:val="24"/>
              </w:rPr>
              <w:t xml:space="preserve">), which apply in cases where an adult who lacks capacity is deprived of liberty for their safety. Although </w:t>
            </w:r>
            <w:proofErr w:type="spellStart"/>
            <w:r w:rsidRPr="008F541E">
              <w:rPr>
                <w:sz w:val="24"/>
                <w:szCs w:val="24"/>
              </w:rPr>
              <w:t>DoLS</w:t>
            </w:r>
            <w:proofErr w:type="spellEnd"/>
            <w:r w:rsidRPr="008F541E">
              <w:rPr>
                <w:sz w:val="24"/>
                <w:szCs w:val="24"/>
              </w:rPr>
              <w:t xml:space="preserve"> is expected to be replaced in future by Liberty Protection Safeguards (LPS), the existing framework remains legally in force at this time.</w:t>
            </w:r>
          </w:p>
          <w:p w14:paraId="74F7FD8B" w14:textId="77777777" w:rsidR="00D8201D" w:rsidRPr="00D8201D" w:rsidRDefault="00D8201D" w:rsidP="00D8201D">
            <w:pPr>
              <w:spacing w:line="360" w:lineRule="auto"/>
              <w:ind w:firstLine="720"/>
              <w:rPr>
                <w:sz w:val="24"/>
                <w:szCs w:val="24"/>
              </w:rPr>
            </w:pPr>
            <w:r w:rsidRPr="008F541E">
              <w:rPr>
                <w:sz w:val="24"/>
                <w:szCs w:val="24"/>
              </w:rPr>
              <w:lastRenderedPageBreak/>
              <w:t>Other relevant legislation includes the Human Rights Act 1998, which underpins safeguarding through rights such as the right to life, freedom from degrading treatment, and respect for private and family life. The Wales Safeguarding Procedures (2019) provide national, all-Wales operational guidance for responding to safeguarding concerns, establishing consistent thresholds, decision-making pathways and multi-agency expectations.</w:t>
            </w:r>
          </w:p>
          <w:p w14:paraId="68C6A2B9" w14:textId="77777777" w:rsidR="00D8201D" w:rsidRPr="00D8201D" w:rsidRDefault="00D8201D" w:rsidP="00D8201D">
            <w:pPr>
              <w:spacing w:line="360" w:lineRule="auto"/>
              <w:ind w:firstLine="720"/>
              <w:rPr>
                <w:sz w:val="24"/>
                <w:szCs w:val="24"/>
              </w:rPr>
            </w:pPr>
            <w:r w:rsidRPr="008F541E">
              <w:rPr>
                <w:sz w:val="24"/>
                <w:szCs w:val="24"/>
              </w:rPr>
              <w:t>At a local level, Wrexham County Borough Council works within the North Wales Safeguarding Adults Policies and Procedures, which translate the national framework into region-specific operational steps. These procedures include referral routes, strategy meeting processes, roles and responsibilities of agencies such as police and health, risk assessment tools, and escalation guidance. The region also uses the Wales-wide Adult at Risk Report Form (AARF) for raising safeguarding concerns.</w:t>
            </w:r>
          </w:p>
          <w:p w14:paraId="275D7C55" w14:textId="77777777" w:rsidR="00D8201D" w:rsidRPr="00D8201D" w:rsidRDefault="00D8201D" w:rsidP="00D8201D">
            <w:pPr>
              <w:spacing w:line="360" w:lineRule="auto"/>
              <w:ind w:firstLine="720"/>
              <w:rPr>
                <w:sz w:val="24"/>
                <w:szCs w:val="24"/>
              </w:rPr>
            </w:pPr>
            <w:r w:rsidRPr="008F541E">
              <w:rPr>
                <w:sz w:val="24"/>
                <w:szCs w:val="24"/>
              </w:rPr>
              <w:t>Within the organisation, Wrexham LA has internal safeguarding policies that staff must follow. These include procedures for making adult safeguarding referrals, guidance on recording and information sharing, escalation processes for professional disagreement, whistleblowing arrangements, and specific practice guidance on issues such as self-neglect, exploitation and domestic abuse. Staff training requirements and supervision expectations are also clearly outlined to ensure safe and accountable practice.</w:t>
            </w:r>
          </w:p>
          <w:p w14:paraId="48779CA6" w14:textId="77777777" w:rsidR="00D8201D" w:rsidRPr="00D8201D" w:rsidRDefault="00D8201D" w:rsidP="00D8201D">
            <w:pPr>
              <w:spacing w:line="360" w:lineRule="auto"/>
              <w:ind w:firstLine="720"/>
              <w:rPr>
                <w:sz w:val="24"/>
                <w:szCs w:val="24"/>
              </w:rPr>
            </w:pPr>
            <w:r w:rsidRPr="008F541E">
              <w:rPr>
                <w:sz w:val="24"/>
                <w:szCs w:val="24"/>
              </w:rPr>
              <w:t>All safeguarding practice in Wales emphasises person-led, outcome-focused practice, where adults are involved as fully as possible in decisions affecting their safety and wellbeing.</w:t>
            </w:r>
          </w:p>
          <w:p w14:paraId="2FC168FE" w14:textId="77777777" w:rsidR="00D8201D" w:rsidRDefault="00D8201D" w:rsidP="00D8201D">
            <w:pPr>
              <w:spacing w:line="360" w:lineRule="auto"/>
              <w:ind w:firstLine="720"/>
              <w:rPr>
                <w:sz w:val="24"/>
                <w:szCs w:val="24"/>
              </w:rPr>
            </w:pPr>
            <w:r w:rsidRPr="008F541E">
              <w:rPr>
                <w:sz w:val="24"/>
                <w:szCs w:val="24"/>
              </w:rPr>
              <w:t xml:space="preserve">Although adult safeguarding is not my core area of work within the </w:t>
            </w:r>
            <w:proofErr w:type="gramStart"/>
            <w:r w:rsidRPr="008F541E">
              <w:rPr>
                <w:sz w:val="24"/>
                <w:szCs w:val="24"/>
              </w:rPr>
              <w:t>All Age</w:t>
            </w:r>
            <w:proofErr w:type="gramEnd"/>
            <w:r w:rsidRPr="008F541E">
              <w:rPr>
                <w:sz w:val="24"/>
                <w:szCs w:val="24"/>
              </w:rPr>
              <w:t xml:space="preserve"> Disability Team, I increasingly recognise how often safeguarding principles apply across practice, particularly in situations involving self-neglect, financial exploitation or concerns around carers’ ability to provide safe care. At times, I have felt less confident in navigating safeguarding processes compared with my children’s practice experience. This has highlighted for me the importance of being familiar with both the national procedures and Wrexham’s internal safeguarding pathways.</w:t>
            </w:r>
          </w:p>
          <w:p w14:paraId="7261B8E9" w14:textId="77777777" w:rsidR="00D8201D" w:rsidRDefault="00D8201D" w:rsidP="00D8201D">
            <w:pPr>
              <w:spacing w:line="360" w:lineRule="auto"/>
              <w:ind w:firstLine="720"/>
              <w:rPr>
                <w:sz w:val="24"/>
                <w:szCs w:val="24"/>
              </w:rPr>
            </w:pPr>
          </w:p>
          <w:p w14:paraId="03BD6D93" w14:textId="3011FF05" w:rsidR="007A628F" w:rsidRPr="00287545" w:rsidRDefault="00D8201D" w:rsidP="00287545">
            <w:pPr>
              <w:spacing w:line="360" w:lineRule="auto"/>
              <w:rPr>
                <w:sz w:val="24"/>
                <w:szCs w:val="24"/>
              </w:rPr>
            </w:pPr>
            <w:r>
              <w:rPr>
                <w:sz w:val="24"/>
                <w:szCs w:val="24"/>
              </w:rPr>
              <w:t>Word Count- 537</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09E511FB"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A643DD">
              <w:rPr>
                <w:sz w:val="24"/>
                <w:szCs w:val="24"/>
              </w:rPr>
              <w:t>.</w:t>
            </w:r>
          </w:p>
          <w:p w14:paraId="04785C4C" w14:textId="77777777" w:rsidR="00A643DD" w:rsidRDefault="00A643DD" w:rsidP="00FC0334">
            <w:pPr>
              <w:jc w:val="both"/>
              <w:rPr>
                <w:sz w:val="24"/>
                <w:szCs w:val="24"/>
              </w:rPr>
            </w:pPr>
          </w:p>
          <w:p w14:paraId="6AEC5A14" w14:textId="77777777" w:rsidR="00A643DD" w:rsidRPr="00A643DD" w:rsidRDefault="00A643DD" w:rsidP="00A643DD">
            <w:pPr>
              <w:spacing w:line="360" w:lineRule="auto"/>
              <w:ind w:firstLine="720"/>
              <w:rPr>
                <w:sz w:val="24"/>
                <w:szCs w:val="24"/>
              </w:rPr>
            </w:pPr>
            <w:r w:rsidRPr="0046041E">
              <w:rPr>
                <w:sz w:val="24"/>
                <w:szCs w:val="24"/>
              </w:rPr>
              <w:t>Safeguarding shares a common purpose across both adults’ and children’s services: to protect individuals from harm, abuse and neglect. However, working across both areas has shown me that the underlying principles, legal duties and practice approaches can feel very different. Reflecting on my experience, I can see how these differences shape the role of the practitioner and the nature of decision</w:t>
            </w:r>
            <w:r w:rsidRPr="0046041E">
              <w:rPr>
                <w:sz w:val="24"/>
                <w:szCs w:val="24"/>
              </w:rPr>
              <w:noBreakHyphen/>
              <w:t>making.</w:t>
            </w:r>
          </w:p>
          <w:p w14:paraId="0848A6C2" w14:textId="77777777" w:rsidR="00A643DD" w:rsidRPr="00A643DD" w:rsidRDefault="00A643DD" w:rsidP="00A643DD">
            <w:pPr>
              <w:spacing w:line="360" w:lineRule="auto"/>
              <w:ind w:firstLine="720"/>
              <w:rPr>
                <w:sz w:val="24"/>
                <w:szCs w:val="24"/>
              </w:rPr>
            </w:pPr>
            <w:r w:rsidRPr="0046041E">
              <w:rPr>
                <w:sz w:val="24"/>
                <w:szCs w:val="24"/>
              </w:rPr>
              <w:t>Children’s safeguarding is grounded in the principle that children are inherently vulnerable and require protection from all other individuals. The legal framework reflects this, with duties under the Children Act 1989 and 2004, and the Social Services and Well-Being Act (SSWBA, 2014) requiring local authorities to intervene when a child is at risk of significant harm. Parental responsibility, power dynamics and children’s limited capacity to protect themselves naturally create a more authoritative and interventionist practice. When I have worked in children’s contexts, safeguarding thresholds often feel clearer, and actions more directive, because professionals have a duty to safeguard even when families disagree.</w:t>
            </w:r>
          </w:p>
          <w:p w14:paraId="66320CC2" w14:textId="77777777" w:rsidR="00A643DD" w:rsidRPr="00A643DD" w:rsidRDefault="00A643DD" w:rsidP="00A643DD">
            <w:pPr>
              <w:spacing w:line="360" w:lineRule="auto"/>
              <w:ind w:firstLine="720"/>
              <w:rPr>
                <w:sz w:val="24"/>
                <w:szCs w:val="24"/>
              </w:rPr>
            </w:pPr>
            <w:r w:rsidRPr="0046041E">
              <w:rPr>
                <w:sz w:val="24"/>
                <w:szCs w:val="24"/>
              </w:rPr>
              <w:t>In contrast, adult safeguarding is built around autonomy, choice and empowerment. Under the Social Services and Well-being (Wales) Act 2014, adults are presumed to have capacity and the right to make unwise decisions if they choose. This has required a shift in my thinking. Instead of assuming a duty to intervene, I have had to consider whether an adult is able to make informed decisions about risk, and whether they want safeguarding involvement. This can feel uncomfortable, particularly when an adult chooses to remain in a situation that I perceive as unsafe. I have learned that adult safeguarding is less about “protecting at all costs” and more about balancing protection with respect for the person’s wishes and rights.</w:t>
            </w:r>
          </w:p>
          <w:p w14:paraId="292055BB" w14:textId="654AAC21" w:rsidR="00A643DD" w:rsidRPr="00A643DD" w:rsidRDefault="00A643DD" w:rsidP="00A643DD">
            <w:pPr>
              <w:spacing w:line="360" w:lineRule="auto"/>
              <w:ind w:firstLine="720"/>
              <w:rPr>
                <w:sz w:val="24"/>
                <w:szCs w:val="24"/>
              </w:rPr>
            </w:pPr>
            <w:r w:rsidRPr="0046041E">
              <w:rPr>
                <w:sz w:val="24"/>
                <w:szCs w:val="24"/>
              </w:rPr>
              <w:t xml:space="preserve">Another major difference is the role of capacity and consent. In children’s work, decisions are often made on the child’s behalf, although consideration for their views, wishes and feelings is at the forefront of assessment. For adults, the Mental Capacity Act </w:t>
            </w:r>
            <w:r w:rsidR="001E5303">
              <w:rPr>
                <w:sz w:val="24"/>
                <w:szCs w:val="24"/>
              </w:rPr>
              <w:t>(</w:t>
            </w:r>
            <w:r w:rsidRPr="0046041E">
              <w:rPr>
                <w:sz w:val="24"/>
                <w:szCs w:val="24"/>
              </w:rPr>
              <w:t>2005</w:t>
            </w:r>
            <w:r w:rsidR="001E5303">
              <w:rPr>
                <w:sz w:val="24"/>
                <w:szCs w:val="24"/>
              </w:rPr>
              <w:t>)</w:t>
            </w:r>
            <w:r w:rsidRPr="0046041E">
              <w:rPr>
                <w:sz w:val="24"/>
                <w:szCs w:val="24"/>
              </w:rPr>
              <w:t xml:space="preserve"> is central to determining when intervention is lawful. Reflecting on this, I recognise that adult </w:t>
            </w:r>
            <w:r w:rsidRPr="0046041E">
              <w:rPr>
                <w:sz w:val="24"/>
                <w:szCs w:val="24"/>
              </w:rPr>
              <w:lastRenderedPageBreak/>
              <w:t>safeguarding requires more nuanced assessment skills, particularly around mental capacity, coercion and self-determination.</w:t>
            </w:r>
          </w:p>
          <w:p w14:paraId="5885A5F2" w14:textId="77777777" w:rsidR="00A643DD" w:rsidRPr="00A643DD" w:rsidRDefault="00A643DD" w:rsidP="00A643DD">
            <w:pPr>
              <w:spacing w:line="360" w:lineRule="auto"/>
              <w:ind w:firstLine="720"/>
              <w:rPr>
                <w:sz w:val="24"/>
                <w:szCs w:val="24"/>
              </w:rPr>
            </w:pPr>
            <w:r w:rsidRPr="0046041E">
              <w:rPr>
                <w:sz w:val="24"/>
                <w:szCs w:val="24"/>
              </w:rPr>
              <w:t>Finally, I have noticed differences in the multi</w:t>
            </w:r>
            <w:r w:rsidRPr="0046041E">
              <w:rPr>
                <w:sz w:val="24"/>
                <w:szCs w:val="24"/>
              </w:rPr>
              <w:noBreakHyphen/>
              <w:t>agency culture. Children’s safeguarding tends to be more structured and procedural, whereas adult safeguarding can feel more varied depending on the individual’s circumstances and their willingness to engage.</w:t>
            </w:r>
          </w:p>
          <w:p w14:paraId="1A3C2BE7" w14:textId="77777777" w:rsidR="00A643DD" w:rsidRDefault="00A643DD" w:rsidP="00A643DD">
            <w:pPr>
              <w:spacing w:line="360" w:lineRule="auto"/>
              <w:ind w:firstLine="720"/>
              <w:rPr>
                <w:sz w:val="24"/>
                <w:szCs w:val="24"/>
              </w:rPr>
            </w:pPr>
            <w:r w:rsidRPr="0046041E">
              <w:rPr>
                <w:sz w:val="24"/>
                <w:szCs w:val="24"/>
              </w:rPr>
              <w:t>Overall, reflecting on these differences has helped me appreciate that safeguarding adults requires a more collaborative, rights</w:t>
            </w:r>
            <w:r w:rsidRPr="0046041E">
              <w:rPr>
                <w:sz w:val="24"/>
                <w:szCs w:val="24"/>
              </w:rPr>
              <w:noBreakHyphen/>
              <w:t>based approach, while safeguarding children relies more heavily on protective authority. Understanding both frameworks strengthens my practice and allows me to work more confidently across the lifespan.</w:t>
            </w:r>
          </w:p>
          <w:p w14:paraId="35DAF4C1" w14:textId="77777777" w:rsidR="00A643DD" w:rsidRDefault="00A643DD" w:rsidP="00A643DD">
            <w:pPr>
              <w:spacing w:line="360" w:lineRule="auto"/>
              <w:ind w:firstLine="720"/>
              <w:rPr>
                <w:sz w:val="24"/>
                <w:szCs w:val="24"/>
              </w:rPr>
            </w:pPr>
          </w:p>
          <w:p w14:paraId="08760B3D" w14:textId="1C704BF1" w:rsidR="00FC0334" w:rsidRPr="00287545" w:rsidRDefault="00A643DD" w:rsidP="00287545">
            <w:pPr>
              <w:spacing w:line="360" w:lineRule="auto"/>
              <w:rPr>
                <w:sz w:val="24"/>
                <w:szCs w:val="24"/>
              </w:rPr>
            </w:pPr>
            <w:r>
              <w:rPr>
                <w:sz w:val="24"/>
                <w:szCs w:val="24"/>
              </w:rPr>
              <w:t>Word Count- 429</w:t>
            </w: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92F794" w14:textId="77777777" w:rsidR="00C30162" w:rsidRDefault="00C30162">
      <w:r>
        <w:separator/>
      </w:r>
    </w:p>
  </w:endnote>
  <w:endnote w:type="continuationSeparator" w:id="0">
    <w:p w14:paraId="29A0445F" w14:textId="77777777" w:rsidR="00C30162" w:rsidRDefault="00C301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FBFA8" w14:textId="77777777" w:rsidR="00C30162" w:rsidRDefault="00C30162">
      <w:r>
        <w:separator/>
      </w:r>
    </w:p>
  </w:footnote>
  <w:footnote w:type="continuationSeparator" w:id="0">
    <w:p w14:paraId="0199BCFC" w14:textId="77777777" w:rsidR="00C30162" w:rsidRDefault="00C301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854"/>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772"/>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028C"/>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5303"/>
    <w:rsid w:val="001F4552"/>
    <w:rsid w:val="002019EB"/>
    <w:rsid w:val="00204B58"/>
    <w:rsid w:val="00205051"/>
    <w:rsid w:val="00211F65"/>
    <w:rsid w:val="00214047"/>
    <w:rsid w:val="00216563"/>
    <w:rsid w:val="0021792F"/>
    <w:rsid w:val="00220D06"/>
    <w:rsid w:val="00220E1F"/>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545"/>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AD1"/>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4D8"/>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3A3E"/>
    <w:rsid w:val="007069CD"/>
    <w:rsid w:val="00706BB5"/>
    <w:rsid w:val="0071231A"/>
    <w:rsid w:val="00712E90"/>
    <w:rsid w:val="00713B7E"/>
    <w:rsid w:val="00720AE3"/>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74FE"/>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19BD"/>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43DD"/>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016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66CA"/>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201D"/>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820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6" ma:contentTypeDescription="Create a new document." ma:contentTypeScope="" ma:versionID="f86afbbf6ac6c84ebaa6375ff8fff3f4">
  <xsd:schema xmlns:xsd="http://www.w3.org/2001/XMLSchema" xmlns:xs="http://www.w3.org/2001/XMLSchema" xmlns:p="http://schemas.microsoft.com/office/2006/metadata/properties" xmlns:ns1="http://schemas.microsoft.com/sharepoint/v3" xmlns:ns3="5480b724-9f67-4efc-ba60-54e0abc06203" targetNamespace="http://schemas.microsoft.com/office/2006/metadata/properties" ma:root="true" ma:fieldsID="6603cfbea3c72353e7c210dcfe2b89bf" ns1:_="" ns3:_="">
    <xsd:import namespace="http://schemas.microsoft.com/sharepoint/v3"/>
    <xsd:import namespace="5480b724-9f67-4efc-ba60-54e0abc06203"/>
    <xsd:element name="properties">
      <xsd:complexType>
        <xsd:sequence>
          <xsd:element name="documentManagement">
            <xsd:complexType>
              <xsd:all>
                <xsd:element ref="ns3:MediaServiceDateTaken" minOccurs="0"/>
                <xsd:element ref="ns1:_ip_UnifiedCompliancePolicyProperties" minOccurs="0"/>
                <xsd:element ref="ns1:_ip_UnifiedCompliancePolicyUIActio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9" nillable="true" ma:displayName="Unified Compliance Policy Properties" ma:hidden="true" ma:internalName="_ip_UnifiedCompliancePolicyProperties">
      <xsd:simpleType>
        <xsd:restriction base="dms:Note"/>
      </xsd:simpleType>
    </xsd:element>
    <xsd:element name="_ip_UnifiedCompliancePolicyUIAction" ma:index="10"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89DB1D-E792-4309-9A10-AAEED0E447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5A544C-73EF-4983-85C2-AC96719FF084}">
  <ds:schemaRefs>
    <ds:schemaRef ds:uri="http://schemas.microsoft.com/sharepoint/v3"/>
    <ds:schemaRef ds:uri="http://purl.org/dc/dcmitype/"/>
    <ds:schemaRef ds:uri="http://schemas.microsoft.com/office/2006/metadata/properties"/>
    <ds:schemaRef ds:uri="http://purl.org/dc/terms/"/>
    <ds:schemaRef ds:uri="5480b724-9f67-4efc-ba60-54e0abc06203"/>
    <ds:schemaRef ds:uri="http://www.w3.org/XML/1998/namespac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1142</Words>
  <Characters>6830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Kayleigh Morris</cp:lastModifiedBy>
  <cp:revision>4</cp:revision>
  <cp:lastPrinted>2020-02-11T19:20:00Z</cp:lastPrinted>
  <dcterms:created xsi:type="dcterms:W3CDTF">2026-01-08T12:19:00Z</dcterms:created>
  <dcterms:modified xsi:type="dcterms:W3CDTF">2026-02-25T11:39:00Z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