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center"/>
        <w:rPr>
          <w:rFonts w:ascii="Calibri" w:cs="Calibri" w:eastAsia="Calibri" w:hAnsi="Calibri"/>
        </w:rPr>
      </w:pPr>
      <w:r w:rsidDel="00000000" w:rsidR="00000000" w:rsidRPr="00000000">
        <w:rPr>
          <w:rFonts w:ascii="Calibri" w:cs="Calibri" w:eastAsia="Calibri" w:hAnsi="Calibri"/>
          <w:rtl w:val="0"/>
        </w:rPr>
        <w:t xml:space="preserve">A non-Biased Jury: Do they really exist? (1500 words)</w:t>
      </w:r>
    </w:p>
    <w:p w:rsidR="00000000" w:rsidDel="00000000" w:rsidP="00000000" w:rsidRDefault="00000000" w:rsidRPr="00000000" w14:paraId="00000002">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3">
      <w:pPr>
        <w:shd w:fill="ffffff" w:val="clear"/>
        <w:spacing w:befor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04">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The question of whether a non-biased jury truly exists is one that has been widely debated within the legal system. The primary function of a jury is to come to a conclusive and impartial verdict based on a guilty or not guilty decision provided by the evidence and facts in the case in the civil or criminal trial, Allbon, E., p.287(2020), Juries should be impartial as having a bias to the prosecution perspective will lead to dismissing the defence leading to an unfair verdict. Although a fair and impartial jury is a fundamental principle of the British legal system, research indicates that bias is an intrinsic component that people have and cannot be completely eradicated from the jury selection process. However, bias can be limited by using appropriate jury selection methods and identifying media bias.</w:t>
      </w:r>
    </w:p>
    <w:p w:rsidR="00000000" w:rsidDel="00000000" w:rsidP="00000000" w:rsidRDefault="00000000" w:rsidRPr="00000000" w14:paraId="00000005">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6">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The exemptions from jury duty, such as those granted to representatives of certain professions or those over a specific age, can also contribute to bias in the jury selection process. These exemptions may lead to a lack of inclusivity on juries and under-representation of certain demographic groups. Statistical research found that out of hundreds of twelve jury members, it is anticipated that there were thirty-eight jurors with one minority, Zeisel, H., 1971. </w:t>
      </w:r>
      <w:r w:rsidDel="00000000" w:rsidR="00000000" w:rsidRPr="00000000">
        <w:rPr>
          <w:rFonts w:ascii="Calibri" w:cs="Calibri" w:eastAsia="Calibri" w:hAnsi="Calibri"/>
          <w:i w:val="1"/>
          <w:rtl w:val="0"/>
        </w:rPr>
        <w:t xml:space="preserve">The University of Chicago Law Review</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i w:val="1"/>
          <w:rtl w:val="0"/>
        </w:rPr>
        <w:t xml:space="preserve">38</w:t>
      </w:r>
      <w:r w:rsidDel="00000000" w:rsidR="00000000" w:rsidRPr="00000000">
        <w:rPr>
          <w:rFonts w:ascii="Calibri" w:cs="Calibri" w:eastAsia="Calibri" w:hAnsi="Calibri"/>
          <w:rtl w:val="0"/>
        </w:rPr>
        <w:t xml:space="preserve">(4), pp.710-724. To resolve this concern, others have proposed a more inclusive jury selection process, for instance, random selection from a larger pool of potential jurors or expanding the pool to include people from a wider range of backgrounds Lloyd-Bostock, S. and Thomas, C., 1999, p.7.</w:t>
      </w:r>
    </w:p>
    <w:p w:rsidR="00000000" w:rsidDel="00000000" w:rsidP="00000000" w:rsidRDefault="00000000" w:rsidRPr="00000000" w14:paraId="00000007">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8">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On the other hand, the legal requirements of a jury within the United Kingdom when an individual has a mental or physical condition or a disability, Courts can make reasonable accommodations to assist you when serving on a jury, Service, G.D. (2021) </w:t>
      </w:r>
      <w:r w:rsidDel="00000000" w:rsidR="00000000" w:rsidRPr="00000000">
        <w:rPr>
          <w:rFonts w:ascii="Calibri" w:cs="Calibri" w:eastAsia="Calibri" w:hAnsi="Calibri"/>
          <w:i w:val="1"/>
          <w:rtl w:val="0"/>
        </w:rPr>
        <w:t xml:space="preserve">Jury service</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i w:val="1"/>
          <w:rtl w:val="0"/>
        </w:rPr>
        <w:t xml:space="preserve">GOV.UK</w:t>
      </w:r>
      <w:r w:rsidDel="00000000" w:rsidR="00000000" w:rsidRPr="00000000">
        <w:rPr>
          <w:rFonts w:ascii="Calibri" w:cs="Calibri" w:eastAsia="Calibri" w:hAnsi="Calibri"/>
          <w:rtl w:val="0"/>
        </w:rPr>
        <w:t xml:space="preserve">. This policy supports a range of individuals that meet the criteria of being on the jury, particularly representing the British public in a realistic way, regardless of their: disability, and physical and mental condition, and it represents a fairer demographic. This shows a non-prejudicial judicial system by selecting in an inclusive way. Instead of a specific representation, covering a wide range of individuals represents not only the public but defendants as well as individuals within the court with a condition. In Addition to this, courts can also provide reasonable adjustments to Jurors, such as providing a British sign language interpreter, wheelchair ramps, and guidance in an alternative format, such as large print for individuals with sight impairments. Service, G.D. (2021) </w:t>
      </w:r>
      <w:r w:rsidDel="00000000" w:rsidR="00000000" w:rsidRPr="00000000">
        <w:rPr>
          <w:rFonts w:ascii="Calibri" w:cs="Calibri" w:eastAsia="Calibri" w:hAnsi="Calibri"/>
          <w:i w:val="1"/>
          <w:rtl w:val="0"/>
        </w:rPr>
        <w:t xml:space="preserve">Jury service</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i w:val="1"/>
          <w:rtl w:val="0"/>
        </w:rPr>
        <w:t xml:space="preserve">GOV.UK</w:t>
      </w:r>
      <w:r w:rsidDel="00000000" w:rsidR="00000000" w:rsidRPr="00000000">
        <w:rPr>
          <w:rFonts w:ascii="Calibri" w:cs="Calibri" w:eastAsia="Calibri" w:hAnsi="Calibri"/>
          <w:rtl w:val="0"/>
        </w:rPr>
        <w:t xml:space="preserve">.</w:t>
      </w:r>
    </w:p>
    <w:p w:rsidR="00000000" w:rsidDel="00000000" w:rsidP="00000000" w:rsidRDefault="00000000" w:rsidRPr="00000000" w14:paraId="00000009">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A">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The requirements as to who can serve as a juror under the Juries Act 1974, (amended by the Criminal Justice Act 200) three, Section 321 and Schedule 33. “This Act requires potential jury members to be: aged 18 to 75, on the electoral register, resident in the UK, Channel Islands, or Isle of Man for at least five years since the age of 13; not a mentally disordered person; and not disqualified from jury service”, Allbon, E. and Dua, K.S. (2020) </w:t>
      </w:r>
      <w:r w:rsidDel="00000000" w:rsidR="00000000" w:rsidRPr="00000000">
        <w:rPr>
          <w:rFonts w:ascii="Calibri" w:cs="Calibri" w:eastAsia="Calibri" w:hAnsi="Calibri"/>
          <w:i w:val="1"/>
          <w:rtl w:val="0"/>
        </w:rPr>
        <w:t xml:space="preserve">Elliott and Quinn’s English legal system)</w:t>
      </w:r>
      <w:r w:rsidDel="00000000" w:rsidR="00000000" w:rsidRPr="00000000">
        <w:rPr>
          <w:rFonts w:ascii="Calibri" w:cs="Calibri" w:eastAsia="Calibri" w:hAnsi="Calibri"/>
          <w:rtl w:val="0"/>
        </w:rPr>
        <w:t xml:space="preserve">. , This promotes inclusivity as well as demotes prejudice as almost any person can be a juror. The general grounds for becoming eligible to serve as a juror summarise that a defendant must be mentally sound. This is so that they can understand the knowledge and facts of a case and can make independent decisions.</w:t>
      </w:r>
    </w:p>
    <w:p w:rsidR="00000000" w:rsidDel="00000000" w:rsidP="00000000" w:rsidRDefault="00000000" w:rsidRPr="00000000" w14:paraId="0000000B">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C">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Examples of Bias by experienced individuals within the legal system in court such as in the case of R v Abdroikof, </w:t>
      </w:r>
      <w:r w:rsidDel="00000000" w:rsidR="00000000" w:rsidRPr="00000000">
        <w:rPr>
          <w:rFonts w:ascii="Calibri" w:cs="Calibri" w:eastAsia="Calibri" w:hAnsi="Calibri"/>
          <w:i w:val="1"/>
          <w:rtl w:val="0"/>
        </w:rPr>
        <w:t xml:space="preserve">House of Lords - R v. Abdroikof (2005), </w:t>
      </w:r>
      <w:r w:rsidDel="00000000" w:rsidR="00000000" w:rsidRPr="00000000">
        <w:rPr>
          <w:rFonts w:ascii="Calibri" w:cs="Calibri" w:eastAsia="Calibri" w:hAnsi="Calibri"/>
          <w:rtl w:val="0"/>
        </w:rPr>
        <w:t xml:space="preserve">the jury overseer informed the judge that he was a serving police officer. The ruling of this implied a possibility of Bias, particularly on the defendant. Therefore, jury requirements are in place to prevent this, however, elements of Jury Bias will always remain.</w:t>
      </w:r>
    </w:p>
    <w:p w:rsidR="00000000" w:rsidDel="00000000" w:rsidP="00000000" w:rsidRDefault="00000000" w:rsidRPr="00000000" w14:paraId="0000000D">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E">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The Demographic bias perspective shows that certain attributes such as race and socioeconomic status can influence Jurors’ decisions. According to studies, members of minority groups are frequently underrepresented on juries, and defendants from these groups are more likely to be given a guilty verdict. For instance, in the case of R v Mirza, the defendants’ advisors were notified of an element of racism that had influenced their verdict, </w:t>
      </w:r>
      <w:r w:rsidDel="00000000" w:rsidR="00000000" w:rsidRPr="00000000">
        <w:rPr>
          <w:rFonts w:ascii="Calibri" w:cs="Calibri" w:eastAsia="Calibri" w:hAnsi="Calibri"/>
          <w:i w:val="1"/>
          <w:rtl w:val="0"/>
        </w:rPr>
        <w:t xml:space="preserve">Regina v. Mirza (appellant) (on appeal from the Court of Appeal ...</w:t>
      </w:r>
      <w:r w:rsidDel="00000000" w:rsidR="00000000" w:rsidRPr="00000000">
        <w:rPr>
          <w:rFonts w:ascii="Calibri" w:cs="Calibri" w:eastAsia="Calibri" w:hAnsi="Calibri"/>
          <w:rtl w:val="0"/>
        </w:rPr>
        <w:t xml:space="preserve"> (2004)</w:t>
      </w:r>
    </w:p>
    <w:p w:rsidR="00000000" w:rsidDel="00000000" w:rsidP="00000000" w:rsidRDefault="00000000" w:rsidRPr="00000000" w14:paraId="0000000F">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0">
      <w:pPr>
        <w:spacing w:after="240" w:before="240" w:lineRule="auto"/>
        <w:rPr>
          <w:rFonts w:ascii="Calibri" w:cs="Calibri" w:eastAsia="Calibri" w:hAnsi="Calibri"/>
          <w:highlight w:val="white"/>
        </w:rPr>
      </w:pPr>
      <w:r w:rsidDel="00000000" w:rsidR="00000000" w:rsidRPr="00000000">
        <w:rPr>
          <w:rFonts w:ascii="Calibri" w:cs="Calibri" w:eastAsia="Calibri" w:hAnsi="Calibri"/>
          <w:rtl w:val="0"/>
        </w:rPr>
        <w:t xml:space="preserve"> Furthermore, research has demonstrated that social- economic background such as your occupation or income can influence jury decision-making, with defendants from lower social economic backgrounds being much more likely to be found guilty by advantaged jurors, </w:t>
      </w:r>
      <w:r w:rsidDel="00000000" w:rsidR="00000000" w:rsidRPr="00000000">
        <w:rPr>
          <w:rFonts w:ascii="Calibri" w:cs="Calibri" w:eastAsia="Calibri" w:hAnsi="Calibri"/>
          <w:highlight w:val="white"/>
          <w:rtl w:val="0"/>
        </w:rPr>
        <w:t xml:space="preserve">Mazzella, R. and Feingold, A., 1994.</w:t>
      </w:r>
    </w:p>
    <w:p w:rsidR="00000000" w:rsidDel="00000000" w:rsidP="00000000" w:rsidRDefault="00000000" w:rsidRPr="00000000" w14:paraId="00000011">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2">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3">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Cognitive biases such as pre-trial and confirmation bias can also impact the decision-making of jurors. Confirmation bias is the tendency to obtain and perceive information in a way that validates one's preconceptions, whereas the pre-trial effect is the inclination to make overall positive or negative judgments about a person based on one characteristic. cases of cognitive bias concerning the jury have happened consecutively throughout history. A recent case of this was established in the case of R v F (2009). Two jurors were seen conversing with a law student who was watching the trial, Allbon, E. and Dua, K.S. (2020) </w:t>
      </w:r>
      <w:r w:rsidDel="00000000" w:rsidR="00000000" w:rsidRPr="00000000">
        <w:rPr>
          <w:rFonts w:ascii="Calibri" w:cs="Calibri" w:eastAsia="Calibri" w:hAnsi="Calibri"/>
          <w:i w:val="1"/>
          <w:rtl w:val="0"/>
        </w:rPr>
        <w:t xml:space="preserve">Elliott and Quinn’s English legal system</w:t>
      </w:r>
      <w:r w:rsidDel="00000000" w:rsidR="00000000" w:rsidRPr="00000000">
        <w:rPr>
          <w:rFonts w:ascii="Calibri" w:cs="Calibri" w:eastAsia="Calibri" w:hAnsi="Calibri"/>
          <w:rtl w:val="0"/>
        </w:rPr>
        <w:t xml:space="preserve">. The result of this conviction was overturned on appeal because there appeared to be a possibility that evidence could have swayed the jury not heard, R v F (2009).</w:t>
      </w:r>
    </w:p>
    <w:p w:rsidR="00000000" w:rsidDel="00000000" w:rsidP="00000000" w:rsidRDefault="00000000" w:rsidRPr="00000000" w14:paraId="00000014">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5">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Furthermore, one of the jurors stated that she would not serve as a juror again since she found it “traumatic" and that cases like this one ought to be attempted by law students or professionals instead of lay people, Allbon, E. and Dua, K.S. (2020) </w:t>
      </w:r>
      <w:r w:rsidDel="00000000" w:rsidR="00000000" w:rsidRPr="00000000">
        <w:rPr>
          <w:rFonts w:ascii="Calibri" w:cs="Calibri" w:eastAsia="Calibri" w:hAnsi="Calibri"/>
          <w:i w:val="1"/>
          <w:rtl w:val="0"/>
        </w:rPr>
        <w:t xml:space="preserve">Elliott and Quinn’s English legal system</w:t>
      </w:r>
      <w:r w:rsidDel="00000000" w:rsidR="00000000" w:rsidRPr="00000000">
        <w:rPr>
          <w:rFonts w:ascii="Calibri" w:cs="Calibri" w:eastAsia="Calibri" w:hAnsi="Calibri"/>
          <w:rtl w:val="0"/>
        </w:rPr>
        <w:t xml:space="preserve">. Therefore, it could be strongly argued that more qualified individuals of legal experience should be Jurors, as their expertise in holding the principle of a non-biased verdict is more sought.</w:t>
      </w:r>
    </w:p>
    <w:p w:rsidR="00000000" w:rsidDel="00000000" w:rsidP="00000000" w:rsidRDefault="00000000" w:rsidRPr="00000000" w14:paraId="00000016">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7">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On the other hand, according to the case of Bushell (1670), judges would try to coerce juries into convicting the defendant, especially where the crime had political connotations, (Allbon, E. and Dua, K.S. (2020) </w:t>
      </w:r>
      <w:r w:rsidDel="00000000" w:rsidR="00000000" w:rsidRPr="00000000">
        <w:rPr>
          <w:rFonts w:ascii="Calibri" w:cs="Calibri" w:eastAsia="Calibri" w:hAnsi="Calibri"/>
          <w:i w:val="1"/>
          <w:rtl w:val="0"/>
        </w:rPr>
        <w:t xml:space="preserve">Elliott and Quinn’s English legal system</w:t>
      </w:r>
      <w:r w:rsidDel="00000000" w:rsidR="00000000" w:rsidRPr="00000000">
        <w:rPr>
          <w:rFonts w:ascii="Calibri" w:cs="Calibri" w:eastAsia="Calibri" w:hAnsi="Calibri"/>
          <w:rtl w:val="0"/>
        </w:rPr>
        <w:t xml:space="preserve"> (citation). These prejudices are dangerous as they can lead to injustice in the jury consideration process.</w:t>
      </w:r>
    </w:p>
    <w:p w:rsidR="00000000" w:rsidDel="00000000" w:rsidP="00000000" w:rsidRDefault="00000000" w:rsidRPr="00000000" w14:paraId="00000018">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9">
      <w:pPr>
        <w:shd w:fill="ffffff" w:val="clear"/>
        <w:spacing w:before="240" w:lineRule="auto"/>
        <w:rPr>
          <w:rFonts w:ascii="Calibri" w:cs="Calibri" w:eastAsia="Calibri" w:hAnsi="Calibri"/>
        </w:rPr>
      </w:pPr>
      <w:r w:rsidDel="00000000" w:rsidR="00000000" w:rsidRPr="00000000">
        <w:rPr>
          <w:rFonts w:ascii="Calibri" w:cs="Calibri" w:eastAsia="Calibri" w:hAnsi="Calibri"/>
          <w:rtl w:val="0"/>
        </w:rPr>
        <w:t xml:space="preserve"> The media also can significantly affect jury bias. In relation to research, media coverage of trials can impact potential jurors' perceptions of the case as well as defendants. Due to the media having such a large platform, this can misconstrue the representation of the facts in the case of Thaddeus Hoffmeister Law Professor (2022). This is particularly difficult in high-profile cases involving celebrities, where media coverage is more likely to be substantial and effective. To resolve this issue, some have proposed implementing measures such as jury sequestration, this is where refers to the isolation of a jury to prevent its members from being influenced or prejudiced by media coverage, </w:t>
      </w:r>
      <w:r w:rsidDel="00000000" w:rsidR="00000000" w:rsidRPr="00000000">
        <w:rPr>
          <w:rFonts w:ascii="Calibri" w:cs="Calibri" w:eastAsia="Calibri" w:hAnsi="Calibri"/>
          <w:i w:val="1"/>
          <w:rtl w:val="0"/>
        </w:rPr>
        <w:t xml:space="preserve">| practical law</w:t>
      </w:r>
      <w:r w:rsidDel="00000000" w:rsidR="00000000" w:rsidRPr="00000000">
        <w:rPr>
          <w:rFonts w:ascii="Calibri" w:cs="Calibri" w:eastAsia="Calibri" w:hAnsi="Calibri"/>
          <w:rtl w:val="0"/>
        </w:rPr>
        <w:t xml:space="preserve"> (2023). In the O.J. Simpson Trial, the Jury was sequestered for two hundred and sixty-five days, where accessing media coverage, drinking alcohol, and visiting were prohibited. Spargo, C. (2016) </w:t>
      </w:r>
      <w:r w:rsidDel="00000000" w:rsidR="00000000" w:rsidRPr="00000000">
        <w:rPr>
          <w:rFonts w:ascii="Calibri" w:cs="Calibri" w:eastAsia="Calibri" w:hAnsi="Calibri"/>
          <w:i w:val="1"/>
          <w:rtl w:val="0"/>
        </w:rPr>
        <w:t xml:space="preserve">Story of OJ Simpson Trial jury told on American Crime Story Show</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i w:val="1"/>
          <w:rtl w:val="0"/>
        </w:rPr>
        <w:t xml:space="preserve">Daily Mail Online</w:t>
      </w:r>
      <w:r w:rsidDel="00000000" w:rsidR="00000000" w:rsidRPr="00000000">
        <w:rPr>
          <w:rFonts w:ascii="Calibri" w:cs="Calibri" w:eastAsia="Calibri" w:hAnsi="Calibri"/>
          <w:rtl w:val="0"/>
        </w:rPr>
        <w:t xml:space="preserve">.</w:t>
      </w:r>
    </w:p>
    <w:p w:rsidR="00000000" w:rsidDel="00000000" w:rsidP="00000000" w:rsidRDefault="00000000" w:rsidRPr="00000000" w14:paraId="0000001A">
      <w:pPr>
        <w:spacing w:after="240" w:before="240" w:lineRule="auto"/>
        <w:rPr>
          <w:rFonts w:ascii="Calibri" w:cs="Calibri" w:eastAsia="Calibri" w:hAnsi="Calibri"/>
          <w:highlight w:val="white"/>
        </w:rPr>
      </w:pPr>
      <w:r w:rsidDel="00000000" w:rsidR="00000000" w:rsidRPr="00000000">
        <w:rPr>
          <w:rFonts w:ascii="Calibri" w:cs="Calibri" w:eastAsia="Calibri" w:hAnsi="Calibri"/>
          <w:rtl w:val="0"/>
        </w:rPr>
        <w:t xml:space="preserve"> The legal system's rising dependence on technology also raises concerns about the function of juries in the digital age. Concerns have been raised about jurors' ability to comprehend and assess digital evidence and online communication, along with the possibility of improper conduct through research online or communication. The </w:t>
      </w:r>
      <w:r w:rsidDel="00000000" w:rsidR="00000000" w:rsidRPr="00000000">
        <w:rPr>
          <w:rFonts w:ascii="Calibri" w:cs="Calibri" w:eastAsia="Calibri" w:hAnsi="Calibri"/>
          <w:highlight w:val="white"/>
          <w:rtl w:val="0"/>
        </w:rPr>
        <w:t xml:space="preserve">questioning of whether lay </w:t>
      </w:r>
      <w:r w:rsidDel="00000000" w:rsidR="00000000" w:rsidRPr="00000000">
        <w:rPr>
          <w:rFonts w:ascii="Calibri" w:cs="Calibri" w:eastAsia="Calibri" w:hAnsi="Calibri"/>
          <w:rtl w:val="0"/>
        </w:rPr>
        <w:t xml:space="preserve">juries are competent to deal with scientific and tech</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Barkow, R.E., 2003</w:t>
      </w:r>
      <w:r w:rsidDel="00000000" w:rsidR="00000000" w:rsidRPr="00000000">
        <w:rPr>
          <w:rFonts w:ascii="Calibri" w:cs="Calibri" w:eastAsia="Calibri" w:hAnsi="Calibri"/>
          <w:rtl w:val="0"/>
        </w:rPr>
        <w:t xml:space="preserve">. To address these concerns, some have suggested incorporating technology education and jury conduct guidelines into the jury selection process</w:t>
      </w:r>
      <w:r w:rsidDel="00000000" w:rsidR="00000000" w:rsidRPr="00000000">
        <w:rPr>
          <w:rFonts w:ascii="Calibri" w:cs="Calibri" w:eastAsia="Calibri" w:hAnsi="Calibri"/>
          <w:highlight w:val="white"/>
          <w:rtl w:val="0"/>
        </w:rPr>
        <w:t xml:space="preserve">.</w:t>
      </w:r>
    </w:p>
    <w:p w:rsidR="00000000" w:rsidDel="00000000" w:rsidP="00000000" w:rsidRDefault="00000000" w:rsidRPr="00000000" w14:paraId="0000001B">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C">
      <w:pPr>
        <w:spacing w:after="240" w:befor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1D">
      <w:pPr>
        <w:spacing w:after="240" w:befor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1E">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To summarise, while the principle of a "non-biased" jury is crucially important to the legal system, bias is an intrinsic component that people have and cannot be completely eradicated from the jury selection process. Nevertheless, by using appropriate jury selection methods and addressing any potential media bias, actions can be taken to minimize bias. To guarantee that defendants receive a fair trial, the legal system must constantly re-evaluate and adapt methods for selecting juries.</w:t>
      </w:r>
    </w:p>
    <w:p w:rsidR="00000000" w:rsidDel="00000000" w:rsidP="00000000" w:rsidRDefault="00000000" w:rsidRPr="00000000" w14:paraId="0000001F">
      <w:pPr>
        <w:spacing w:after="240" w:befor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20">
      <w:pPr>
        <w:spacing w:after="240" w:before="240" w:lineRule="auto"/>
        <w:rPr>
          <w:sz w:val="24"/>
          <w:szCs w:val="24"/>
        </w:rPr>
      </w:pPr>
      <w:r w:rsidDel="00000000" w:rsidR="00000000" w:rsidRPr="00000000">
        <w:rPr>
          <w:rtl w:val="0"/>
        </w:rPr>
      </w:r>
    </w:p>
    <w:p w:rsidR="00000000" w:rsidDel="00000000" w:rsidP="00000000" w:rsidRDefault="00000000" w:rsidRPr="00000000" w14:paraId="00000021">
      <w:pPr>
        <w:spacing w:after="240" w:before="240" w:lineRule="auto"/>
        <w:rPr>
          <w:sz w:val="24"/>
          <w:szCs w:val="24"/>
        </w:rPr>
      </w:pPr>
      <w:r w:rsidDel="00000000" w:rsidR="00000000" w:rsidRPr="00000000">
        <w:rPr>
          <w:rtl w:val="0"/>
        </w:rPr>
      </w:r>
    </w:p>
    <w:p w:rsidR="00000000" w:rsidDel="00000000" w:rsidP="00000000" w:rsidRDefault="00000000" w:rsidRPr="00000000" w14:paraId="00000022">
      <w:pPr>
        <w:spacing w:after="240" w:before="240" w:lineRule="auto"/>
        <w:rPr>
          <w:sz w:val="24"/>
          <w:szCs w:val="24"/>
        </w:rPr>
      </w:pPr>
      <w:r w:rsidDel="00000000" w:rsidR="00000000" w:rsidRPr="00000000">
        <w:rPr>
          <w:rtl w:val="0"/>
        </w:rPr>
      </w:r>
    </w:p>
    <w:p w:rsidR="00000000" w:rsidDel="00000000" w:rsidP="00000000" w:rsidRDefault="00000000" w:rsidRPr="00000000" w14:paraId="00000023">
      <w:pPr>
        <w:spacing w:after="240" w:before="240" w:lineRule="auto"/>
        <w:rPr>
          <w:sz w:val="24"/>
          <w:szCs w:val="24"/>
        </w:rPr>
      </w:pPr>
      <w:r w:rsidDel="00000000" w:rsidR="00000000" w:rsidRPr="00000000">
        <w:rPr>
          <w:rtl w:val="0"/>
        </w:rPr>
      </w:r>
    </w:p>
    <w:p w:rsidR="00000000" w:rsidDel="00000000" w:rsidP="00000000" w:rsidRDefault="00000000" w:rsidRPr="00000000" w14:paraId="00000024">
      <w:pPr>
        <w:spacing w:after="240" w:before="240" w:lineRule="auto"/>
        <w:rPr>
          <w:sz w:val="24"/>
          <w:szCs w:val="24"/>
        </w:rPr>
      </w:pPr>
      <w:r w:rsidDel="00000000" w:rsidR="00000000" w:rsidRPr="00000000">
        <w:rPr>
          <w:rtl w:val="0"/>
        </w:rPr>
      </w:r>
    </w:p>
    <w:p w:rsidR="00000000" w:rsidDel="00000000" w:rsidP="00000000" w:rsidRDefault="00000000" w:rsidRPr="00000000" w14:paraId="00000025">
      <w:pPr>
        <w:spacing w:after="240" w:before="240" w:lineRule="auto"/>
        <w:rPr>
          <w:sz w:val="24"/>
          <w:szCs w:val="24"/>
        </w:rPr>
      </w:pPr>
      <w:r w:rsidDel="00000000" w:rsidR="00000000" w:rsidRPr="00000000">
        <w:rPr>
          <w:rtl w:val="0"/>
        </w:rPr>
      </w:r>
    </w:p>
    <w:p w:rsidR="00000000" w:rsidDel="00000000" w:rsidP="00000000" w:rsidRDefault="00000000" w:rsidRPr="00000000" w14:paraId="00000026">
      <w:pPr>
        <w:spacing w:after="240" w:before="240" w:lineRule="auto"/>
        <w:rPr>
          <w:sz w:val="24"/>
          <w:szCs w:val="24"/>
        </w:rPr>
      </w:pPr>
      <w:r w:rsidDel="00000000" w:rsidR="00000000" w:rsidRPr="00000000">
        <w:rPr>
          <w:rtl w:val="0"/>
        </w:rPr>
      </w:r>
    </w:p>
    <w:p w:rsidR="00000000" w:rsidDel="00000000" w:rsidP="00000000" w:rsidRDefault="00000000" w:rsidRPr="00000000" w14:paraId="00000027">
      <w:pPr>
        <w:spacing w:after="240" w:before="240" w:lineRule="auto"/>
        <w:rPr>
          <w:sz w:val="24"/>
          <w:szCs w:val="24"/>
        </w:rPr>
      </w:pPr>
      <w:r w:rsidDel="00000000" w:rsidR="00000000" w:rsidRPr="00000000">
        <w:rPr>
          <w:rtl w:val="0"/>
        </w:rPr>
      </w:r>
    </w:p>
    <w:p w:rsidR="00000000" w:rsidDel="00000000" w:rsidP="00000000" w:rsidRDefault="00000000" w:rsidRPr="00000000" w14:paraId="00000028">
      <w:pPr>
        <w:spacing w:after="240" w:before="240" w:lineRule="auto"/>
        <w:rPr>
          <w:sz w:val="24"/>
          <w:szCs w:val="24"/>
        </w:rPr>
      </w:pPr>
      <w:r w:rsidDel="00000000" w:rsidR="00000000" w:rsidRPr="00000000">
        <w:rPr>
          <w:rtl w:val="0"/>
        </w:rPr>
      </w:r>
    </w:p>
    <w:p w:rsidR="00000000" w:rsidDel="00000000" w:rsidP="00000000" w:rsidRDefault="00000000" w:rsidRPr="00000000" w14:paraId="00000029">
      <w:pPr>
        <w:spacing w:after="240" w:before="240" w:lineRule="auto"/>
        <w:rPr>
          <w:sz w:val="24"/>
          <w:szCs w:val="24"/>
        </w:rPr>
      </w:pPr>
      <w:r w:rsidDel="00000000" w:rsidR="00000000" w:rsidRPr="00000000">
        <w:rPr>
          <w:rtl w:val="0"/>
        </w:rPr>
      </w:r>
    </w:p>
    <w:p w:rsidR="00000000" w:rsidDel="00000000" w:rsidP="00000000" w:rsidRDefault="00000000" w:rsidRPr="00000000" w14:paraId="0000002A">
      <w:pPr>
        <w:spacing w:after="240" w:before="240" w:lineRule="auto"/>
        <w:rPr>
          <w:sz w:val="24"/>
          <w:szCs w:val="24"/>
        </w:rPr>
      </w:pPr>
      <w:r w:rsidDel="00000000" w:rsidR="00000000" w:rsidRPr="00000000">
        <w:rPr>
          <w:rtl w:val="0"/>
        </w:rPr>
      </w:r>
    </w:p>
    <w:p w:rsidR="00000000" w:rsidDel="00000000" w:rsidP="00000000" w:rsidRDefault="00000000" w:rsidRPr="00000000" w14:paraId="0000002B">
      <w:pPr>
        <w:spacing w:after="240" w:before="240" w:lineRule="auto"/>
        <w:rPr>
          <w:sz w:val="24"/>
          <w:szCs w:val="24"/>
        </w:rPr>
      </w:pPr>
      <w:r w:rsidDel="00000000" w:rsidR="00000000" w:rsidRPr="00000000">
        <w:rPr>
          <w:rtl w:val="0"/>
        </w:rPr>
      </w:r>
    </w:p>
    <w:p w:rsidR="00000000" w:rsidDel="00000000" w:rsidP="00000000" w:rsidRDefault="00000000" w:rsidRPr="00000000" w14:paraId="0000002C">
      <w:pPr>
        <w:spacing w:after="240" w:before="240" w:lineRule="auto"/>
        <w:rPr>
          <w:sz w:val="24"/>
          <w:szCs w:val="24"/>
        </w:rPr>
      </w:pPr>
      <w:r w:rsidDel="00000000" w:rsidR="00000000" w:rsidRPr="00000000">
        <w:rPr>
          <w:rtl w:val="0"/>
        </w:rPr>
      </w:r>
    </w:p>
    <w:p w:rsidR="00000000" w:rsidDel="00000000" w:rsidP="00000000" w:rsidRDefault="00000000" w:rsidRPr="00000000" w14:paraId="0000002D">
      <w:pPr>
        <w:spacing w:after="240" w:before="240" w:lineRule="auto"/>
        <w:rPr>
          <w:sz w:val="24"/>
          <w:szCs w:val="24"/>
        </w:rPr>
      </w:pPr>
      <w:r w:rsidDel="00000000" w:rsidR="00000000" w:rsidRPr="00000000">
        <w:rPr>
          <w:rtl w:val="0"/>
        </w:rPr>
      </w:r>
    </w:p>
    <w:p w:rsidR="00000000" w:rsidDel="00000000" w:rsidP="00000000" w:rsidRDefault="00000000" w:rsidRPr="00000000" w14:paraId="0000002E">
      <w:pPr>
        <w:spacing w:after="240" w:before="240" w:lineRule="auto"/>
        <w:rPr>
          <w:sz w:val="24"/>
          <w:szCs w:val="24"/>
        </w:rPr>
      </w:pPr>
      <w:r w:rsidDel="00000000" w:rsidR="00000000" w:rsidRPr="00000000">
        <w:rPr>
          <w:rtl w:val="0"/>
        </w:rPr>
      </w:r>
    </w:p>
    <w:p w:rsidR="00000000" w:rsidDel="00000000" w:rsidP="00000000" w:rsidRDefault="00000000" w:rsidRPr="00000000" w14:paraId="0000002F">
      <w:pPr>
        <w:spacing w:after="240" w:before="240" w:lineRule="auto"/>
        <w:rPr>
          <w:sz w:val="24"/>
          <w:szCs w:val="24"/>
        </w:rPr>
      </w:pPr>
      <w:r w:rsidDel="00000000" w:rsidR="00000000" w:rsidRPr="00000000">
        <w:rPr>
          <w:rtl w:val="0"/>
        </w:rPr>
      </w:r>
    </w:p>
    <w:p w:rsidR="00000000" w:rsidDel="00000000" w:rsidP="00000000" w:rsidRDefault="00000000" w:rsidRPr="00000000" w14:paraId="00000030">
      <w:pPr>
        <w:spacing w:after="240" w:before="240" w:lineRule="auto"/>
        <w:rPr>
          <w:sz w:val="24"/>
          <w:szCs w:val="24"/>
        </w:rPr>
      </w:pPr>
      <w:r w:rsidDel="00000000" w:rsidR="00000000" w:rsidRPr="00000000">
        <w:rPr>
          <w:rtl w:val="0"/>
        </w:rPr>
      </w:r>
    </w:p>
    <w:p w:rsidR="00000000" w:rsidDel="00000000" w:rsidP="00000000" w:rsidRDefault="00000000" w:rsidRPr="00000000" w14:paraId="00000031">
      <w:pPr>
        <w:spacing w:after="240" w:before="240" w:lineRule="auto"/>
        <w:rPr>
          <w:sz w:val="24"/>
          <w:szCs w:val="24"/>
        </w:rPr>
      </w:pPr>
      <w:r w:rsidDel="00000000" w:rsidR="00000000" w:rsidRPr="00000000">
        <w:rPr>
          <w:rtl w:val="0"/>
        </w:rPr>
      </w:r>
    </w:p>
    <w:p w:rsidR="00000000" w:rsidDel="00000000" w:rsidP="00000000" w:rsidRDefault="00000000" w:rsidRPr="00000000" w14:paraId="00000032">
      <w:pPr>
        <w:spacing w:after="240" w:before="240" w:lineRule="auto"/>
        <w:rPr>
          <w:sz w:val="24"/>
          <w:szCs w:val="24"/>
        </w:rPr>
      </w:pPr>
      <w:r w:rsidDel="00000000" w:rsidR="00000000" w:rsidRPr="00000000">
        <w:rPr>
          <w:rtl w:val="0"/>
        </w:rPr>
      </w:r>
    </w:p>
    <w:p w:rsidR="00000000" w:rsidDel="00000000" w:rsidP="00000000" w:rsidRDefault="00000000" w:rsidRPr="00000000" w14:paraId="00000033">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References:</w:t>
      </w:r>
    </w:p>
    <w:p w:rsidR="00000000" w:rsidDel="00000000" w:rsidP="00000000" w:rsidRDefault="00000000" w:rsidRPr="00000000" w14:paraId="00000034">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35">
      <w:pPr>
        <w:spacing w:after="240" w:before="240" w:lineRule="auto"/>
        <w:ind w:left="360"/>
        <w:rPr>
          <w:rFonts w:ascii="Times New Roman" w:cs="Times New Roman" w:eastAsia="Times New Roman" w:hAnsi="Times New Roman"/>
        </w:rPr>
      </w:pPr>
      <w:r w:rsidDel="00000000" w:rsidR="00000000" w:rsidRPr="00000000">
        <w:rPr>
          <w:rtl w:val="0"/>
        </w:rPr>
        <w:t xml:space="preserve">1.</w:t>
      </w:r>
      <w:r w:rsidDel="00000000" w:rsidR="00000000" w:rsidRPr="00000000">
        <w:rPr>
          <w:rtl w:val="0"/>
        </w:rPr>
        <w:t xml:space="preserve">      </w:t>
      </w:r>
      <w:r w:rsidDel="00000000" w:rsidR="00000000" w:rsidRPr="00000000">
        <w:rPr>
          <w:rFonts w:ascii="Times New Roman" w:cs="Times New Roman" w:eastAsia="Times New Roman" w:hAnsi="Times New Roman"/>
          <w:color w:val="333333"/>
          <w:highlight w:val="white"/>
          <w:rtl w:val="0"/>
        </w:rPr>
        <w:t xml:space="preserve">Allbon, E. (2020) </w:t>
      </w:r>
      <w:r w:rsidDel="00000000" w:rsidR="00000000" w:rsidRPr="00000000">
        <w:rPr>
          <w:rFonts w:ascii="Times New Roman" w:cs="Times New Roman" w:eastAsia="Times New Roman" w:hAnsi="Times New Roman"/>
          <w:i w:val="1"/>
          <w:rtl w:val="0"/>
        </w:rPr>
        <w:t xml:space="preserve">Elliott and Quinn’s English legal system</w:t>
      </w:r>
      <w:r w:rsidDel="00000000" w:rsidR="00000000" w:rsidRPr="00000000">
        <w:rPr>
          <w:rFonts w:ascii="Times New Roman" w:cs="Times New Roman" w:eastAsia="Times New Roman" w:hAnsi="Times New Roman"/>
          <w:rtl w:val="0"/>
        </w:rPr>
        <w:t xml:space="preserve">. Twenty-first edition. Harlow, England: Pearson c., p.287</w:t>
      </w:r>
    </w:p>
    <w:p w:rsidR="00000000" w:rsidDel="00000000" w:rsidP="00000000" w:rsidRDefault="00000000" w:rsidRPr="00000000" w14:paraId="00000036">
      <w:pPr>
        <w:spacing w:after="240" w:before="240" w:lineRule="auto"/>
        <w:rPr>
          <w:rFonts w:ascii="Times New Roman" w:cs="Times New Roman" w:eastAsia="Times New Roman" w:hAnsi="Times New Roman"/>
          <w:color w:val="333333"/>
          <w:highlight w:val="white"/>
        </w:rPr>
      </w:pPr>
      <w:r w:rsidDel="00000000" w:rsidR="00000000" w:rsidRPr="00000000">
        <w:rPr>
          <w:rFonts w:ascii="Times New Roman" w:cs="Times New Roman" w:eastAsia="Times New Roman" w:hAnsi="Times New Roman"/>
          <w:color w:val="333333"/>
          <w:highlight w:val="white"/>
          <w:rtl w:val="0"/>
        </w:rPr>
        <w:t xml:space="preserve"> </w:t>
      </w:r>
    </w:p>
    <w:p w:rsidR="00000000" w:rsidDel="00000000" w:rsidP="00000000" w:rsidRDefault="00000000" w:rsidRPr="00000000" w14:paraId="00000037">
      <w:pPr>
        <w:spacing w:after="240" w:before="240" w:lineRule="auto"/>
        <w:ind w:left="360"/>
        <w:rPr>
          <w:rFonts w:ascii="Times New Roman" w:cs="Times New Roman" w:eastAsia="Times New Roman" w:hAnsi="Times New Roman"/>
          <w:color w:val="004b91"/>
          <w:highlight w:val="white"/>
          <w:u w:val="single"/>
        </w:rPr>
      </w:pPr>
      <w:r w:rsidDel="00000000" w:rsidR="00000000" w:rsidRPr="00000000">
        <w:rPr>
          <w:rFonts w:ascii="Times New Roman" w:cs="Times New Roman" w:eastAsia="Times New Roman" w:hAnsi="Times New Roman"/>
          <w:rtl w:val="0"/>
        </w:rPr>
        <w:t xml:space="preserve">2.</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 </w:t>
      </w:r>
      <w:hyperlink r:id="rId6">
        <w:r w:rsidDel="00000000" w:rsidR="00000000" w:rsidRPr="00000000">
          <w:rPr>
            <w:rFonts w:ascii="Times New Roman" w:cs="Times New Roman" w:eastAsia="Times New Roman" w:hAnsi="Times New Roman"/>
            <w:color w:val="004b91"/>
            <w:highlight w:val="white"/>
            <w:u w:val="single"/>
            <w:rtl w:val="0"/>
          </w:rPr>
          <w:t xml:space="preserve">R v F, DIG_09D162feb [2009] All ER (D) 162 (Feb)</w:t>
        </w:r>
      </w:hyperlink>
      <w:r w:rsidDel="00000000" w:rsidR="00000000" w:rsidRPr="00000000">
        <w:rPr>
          <w:rtl w:val="0"/>
        </w:rPr>
      </w:r>
    </w:p>
    <w:p w:rsidR="00000000" w:rsidDel="00000000" w:rsidP="00000000" w:rsidRDefault="00000000" w:rsidRPr="00000000" w14:paraId="00000038">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39">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3A">
      <w:pPr>
        <w:spacing w:after="240" w:before="240" w:lineRule="auto"/>
        <w:ind w:left="108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Service, G.D. (2021) </w:t>
      </w:r>
      <w:r w:rsidDel="00000000" w:rsidR="00000000" w:rsidRPr="00000000">
        <w:rPr>
          <w:rFonts w:ascii="Times New Roman" w:cs="Times New Roman" w:eastAsia="Times New Roman" w:hAnsi="Times New Roman"/>
          <w:i w:val="1"/>
          <w:rtl w:val="0"/>
        </w:rPr>
        <w:t xml:space="preserve">Jury service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GOV.UK</w:t>
      </w:r>
      <w:r w:rsidDel="00000000" w:rsidR="00000000" w:rsidRPr="00000000">
        <w:rPr>
          <w:rFonts w:ascii="Times New Roman" w:cs="Times New Roman" w:eastAsia="Times New Roman" w:hAnsi="Times New Roman"/>
          <w:rtl w:val="0"/>
        </w:rPr>
        <w:t xml:space="preserve">. GOV.UK. Available at: https://www.gov.uk/jury-service/request-reasonable-adjustments#:~:text=If%20you%20have%20a%20disability,when%20serving%20on%20a%20jury. (Accessed: January 12, 2023).</w:t>
      </w:r>
    </w:p>
    <w:p w:rsidR="00000000" w:rsidDel="00000000" w:rsidP="00000000" w:rsidRDefault="00000000" w:rsidRPr="00000000" w14:paraId="0000003B">
      <w:pPr>
        <w:spacing w:after="240" w:before="240" w:lineRule="auto"/>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3C">
      <w:pPr>
        <w:spacing w:after="240" w:before="240" w:lineRule="auto"/>
        <w:ind w:left="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color w:val="222222"/>
          <w:highlight w:val="white"/>
          <w:rtl w:val="0"/>
        </w:rPr>
        <w:t xml:space="preserve">Lloyd-Bostock, S. and Thomas, C., 1999. The decline of the little parliament: Juries and jury reform in England and Wales. </w:t>
      </w:r>
      <w:r w:rsidDel="00000000" w:rsidR="00000000" w:rsidRPr="00000000">
        <w:rPr>
          <w:rFonts w:ascii="Times New Roman" w:cs="Times New Roman" w:eastAsia="Times New Roman" w:hAnsi="Times New Roman"/>
          <w:i w:val="1"/>
          <w:rtl w:val="0"/>
        </w:rPr>
        <w:t xml:space="preserve">Law and Contemp. Probs.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62</w:t>
      </w:r>
      <w:r w:rsidDel="00000000" w:rsidR="00000000" w:rsidRPr="00000000">
        <w:rPr>
          <w:rFonts w:ascii="Times New Roman" w:cs="Times New Roman" w:eastAsia="Times New Roman" w:hAnsi="Times New Roman"/>
          <w:rtl w:val="0"/>
        </w:rPr>
        <w:t xml:space="preserve">, p.7.</w:t>
      </w:r>
    </w:p>
    <w:p w:rsidR="00000000" w:rsidDel="00000000" w:rsidP="00000000" w:rsidRDefault="00000000" w:rsidRPr="00000000" w14:paraId="0000003D">
      <w:pPr>
        <w:spacing w:after="240" w:before="240" w:lineRule="auto"/>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 </w:t>
      </w:r>
    </w:p>
    <w:p w:rsidR="00000000" w:rsidDel="00000000" w:rsidP="00000000" w:rsidRDefault="00000000" w:rsidRPr="00000000" w14:paraId="0000003E">
      <w:pPr>
        <w:spacing w:after="240" w:before="240" w:lineRule="auto"/>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 </w:t>
      </w:r>
    </w:p>
    <w:p w:rsidR="00000000" w:rsidDel="00000000" w:rsidP="00000000" w:rsidRDefault="00000000" w:rsidRPr="00000000" w14:paraId="0000003F">
      <w:pPr>
        <w:spacing w:after="240" w:before="240" w:lineRule="auto"/>
        <w:ind w:left="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5.</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color w:val="222222"/>
          <w:highlight w:val="white"/>
          <w:rtl w:val="0"/>
        </w:rPr>
        <w:t xml:space="preserve">Zeisel, H., 1971. ... And then there were none: The diminution of the federal jury. </w:t>
      </w:r>
      <w:r w:rsidDel="00000000" w:rsidR="00000000" w:rsidRPr="00000000">
        <w:rPr>
          <w:rFonts w:ascii="Times New Roman" w:cs="Times New Roman" w:eastAsia="Times New Roman" w:hAnsi="Times New Roman"/>
          <w:i w:val="1"/>
          <w:rtl w:val="0"/>
        </w:rPr>
        <w:t xml:space="preserve">The University of Chicago Law Review</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38</w:t>
      </w:r>
      <w:r w:rsidDel="00000000" w:rsidR="00000000" w:rsidRPr="00000000">
        <w:rPr>
          <w:rFonts w:ascii="Times New Roman" w:cs="Times New Roman" w:eastAsia="Times New Roman" w:hAnsi="Times New Roman"/>
          <w:rtl w:val="0"/>
        </w:rPr>
        <w:t xml:space="preserve">(4), pp.710-724.</w:t>
      </w:r>
    </w:p>
    <w:p w:rsidR="00000000" w:rsidDel="00000000" w:rsidP="00000000" w:rsidRDefault="00000000" w:rsidRPr="00000000" w14:paraId="00000040">
      <w:pPr>
        <w:spacing w:after="240" w:before="240" w:lineRule="auto"/>
        <w:rPr>
          <w:rFonts w:ascii="Times New Roman" w:cs="Times New Roman" w:eastAsia="Times New Roman" w:hAnsi="Times New Roman"/>
          <w:color w:val="333333"/>
        </w:rPr>
      </w:pPr>
      <w:r w:rsidDel="00000000" w:rsidR="00000000" w:rsidRPr="00000000">
        <w:rPr>
          <w:rFonts w:ascii="Times New Roman" w:cs="Times New Roman" w:eastAsia="Times New Roman" w:hAnsi="Times New Roman"/>
          <w:color w:val="333333"/>
          <w:rtl w:val="0"/>
        </w:rPr>
        <w:t xml:space="preserve"> </w:t>
      </w:r>
    </w:p>
    <w:p w:rsidR="00000000" w:rsidDel="00000000" w:rsidP="00000000" w:rsidRDefault="00000000" w:rsidRPr="00000000" w14:paraId="00000041">
      <w:pPr>
        <w:spacing w:after="240" w:before="240" w:lineRule="auto"/>
        <w:ind w:left="108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House of Lords - R v. Abdroikof (appellant) and another (on appeal from ...</w:t>
      </w:r>
      <w:r w:rsidDel="00000000" w:rsidR="00000000" w:rsidRPr="00000000">
        <w:rPr>
          <w:rFonts w:ascii="Times New Roman" w:cs="Times New Roman" w:eastAsia="Times New Roman" w:hAnsi="Times New Roman"/>
          <w:rtl w:val="0"/>
        </w:rPr>
        <w:t xml:space="preserve"> (2005). Available at: https://publications.parliament.uk/pa/ld200607/ldjudgmt/jd071017/abdro-2.htm (Accessed: January 13, 2023).</w:t>
      </w:r>
    </w:p>
    <w:p w:rsidR="00000000" w:rsidDel="00000000" w:rsidP="00000000" w:rsidRDefault="00000000" w:rsidRPr="00000000" w14:paraId="00000042">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43">
      <w:pPr>
        <w:spacing w:after="240" w:before="240" w:lineRule="auto"/>
        <w:ind w:left="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7.</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 Regina v. Mirza (appellant) (on appeal from the Court of Appeal ...</w:t>
      </w:r>
      <w:r w:rsidDel="00000000" w:rsidR="00000000" w:rsidRPr="00000000">
        <w:rPr>
          <w:rFonts w:ascii="Times New Roman" w:cs="Times New Roman" w:eastAsia="Times New Roman" w:hAnsi="Times New Roman"/>
          <w:rtl w:val="0"/>
        </w:rPr>
        <w:t xml:space="preserve"> (2004). Available at: https://publications.parliament.uk/pa/ld200304/ldjudgmt/jd040122/conn-1.htm (Accessed: January 13, 2023).</w:t>
      </w:r>
    </w:p>
    <w:p w:rsidR="00000000" w:rsidDel="00000000" w:rsidP="00000000" w:rsidRDefault="00000000" w:rsidRPr="00000000" w14:paraId="00000044">
      <w:pPr>
        <w:spacing w:after="240" w:before="240" w:lineRule="auto"/>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 </w:t>
      </w:r>
    </w:p>
    <w:p w:rsidR="00000000" w:rsidDel="00000000" w:rsidP="00000000" w:rsidRDefault="00000000" w:rsidRPr="00000000" w14:paraId="00000045">
      <w:pPr>
        <w:spacing w:after="240" w:before="240" w:lineRule="auto"/>
        <w:ind w:left="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8.</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color w:val="222222"/>
          <w:highlight w:val="white"/>
          <w:rtl w:val="0"/>
        </w:rPr>
        <w:t xml:space="preserve">Mazzella, R. and Feingold, A., 1994. The Effects of Physical Attractiveness, Race, Socioeconomic Status, and Gender of Defendants and Victims on Judgments of Mock Jurors: A Meta‐Analysis 1. </w:t>
      </w:r>
      <w:r w:rsidDel="00000000" w:rsidR="00000000" w:rsidRPr="00000000">
        <w:rPr>
          <w:rFonts w:ascii="Times New Roman" w:cs="Times New Roman" w:eastAsia="Times New Roman" w:hAnsi="Times New Roman"/>
          <w:i w:val="1"/>
          <w:rtl w:val="0"/>
        </w:rPr>
        <w:t xml:space="preserve">Journal of Applied Social Psychology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24</w:t>
      </w:r>
      <w:r w:rsidDel="00000000" w:rsidR="00000000" w:rsidRPr="00000000">
        <w:rPr>
          <w:rFonts w:ascii="Times New Roman" w:cs="Times New Roman" w:eastAsia="Times New Roman" w:hAnsi="Times New Roman"/>
          <w:rtl w:val="0"/>
        </w:rPr>
        <w:t xml:space="preserve">(15), pp.1315-1338.</w:t>
      </w:r>
    </w:p>
    <w:p w:rsidR="00000000" w:rsidDel="00000000" w:rsidP="00000000" w:rsidRDefault="00000000" w:rsidRPr="00000000" w14:paraId="00000046">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47">
      <w:pPr>
        <w:spacing w:after="240" w:before="240" w:lineRule="auto"/>
        <w:ind w:left="108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9.</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Thaddeus Hoffmeister Law Professor (2022) </w:t>
      </w:r>
      <w:r w:rsidDel="00000000" w:rsidR="00000000" w:rsidRPr="00000000">
        <w:rPr>
          <w:rFonts w:ascii="Times New Roman" w:cs="Times New Roman" w:eastAsia="Times New Roman" w:hAnsi="Times New Roman"/>
          <w:i w:val="1"/>
          <w:rtl w:val="0"/>
        </w:rPr>
        <w:t xml:space="preserve">Do unbiased jurors exist in an age of social media?</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The Conversation</w:t>
      </w:r>
      <w:r w:rsidDel="00000000" w:rsidR="00000000" w:rsidRPr="00000000">
        <w:rPr>
          <w:rFonts w:ascii="Times New Roman" w:cs="Times New Roman" w:eastAsia="Times New Roman" w:hAnsi="Times New Roman"/>
          <w:rtl w:val="0"/>
        </w:rPr>
        <w:t xml:space="preserve">. Jonathan Este. Available at: https://theconversation.com/do-unbiased-jurors-exist-in-an-age-of-social-media-169125 (Accessed: January 13, 2023).</w:t>
      </w:r>
    </w:p>
    <w:p w:rsidR="00000000" w:rsidDel="00000000" w:rsidP="00000000" w:rsidRDefault="00000000" w:rsidRPr="00000000" w14:paraId="00000048">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49">
      <w:pPr>
        <w:spacing w:after="240" w:before="240" w:lineRule="auto"/>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4A">
      <w:pPr>
        <w:spacing w:after="240" w:before="240" w:lineRule="auto"/>
        <w:ind w:left="108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Spargo, C. (2016) </w:t>
      </w:r>
      <w:r w:rsidDel="00000000" w:rsidR="00000000" w:rsidRPr="00000000">
        <w:rPr>
          <w:rFonts w:ascii="Times New Roman" w:cs="Times New Roman" w:eastAsia="Times New Roman" w:hAnsi="Times New Roman"/>
          <w:i w:val="1"/>
          <w:rtl w:val="0"/>
        </w:rPr>
        <w:t xml:space="preserve">Story of OJ Simpson Trial jury told on American Crime Story Show</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Daily Mail Online</w:t>
      </w:r>
      <w:r w:rsidDel="00000000" w:rsidR="00000000" w:rsidRPr="00000000">
        <w:rPr>
          <w:rFonts w:ascii="Times New Roman" w:cs="Times New Roman" w:eastAsia="Times New Roman" w:hAnsi="Times New Roman"/>
          <w:rtl w:val="0"/>
        </w:rPr>
        <w:t xml:space="preserve">. Associated Newspapers. Available at: https://www.dailymail.co.uk/news/article-3505143/OJ-Simpson-jury-24-men-women-sequestered-265-days-no-alcohol-no-TV-visits-10-dismissed-trial-one-suffering-breakdown.html#:~:text=American%20Crime%20Story%20revisits%20the,who%20had%20a%20total%20breakdown (Accessed: January 13, 2023).</w:t>
      </w:r>
    </w:p>
    <w:p w:rsidR="00000000" w:rsidDel="00000000" w:rsidP="00000000" w:rsidRDefault="00000000" w:rsidRPr="00000000" w14:paraId="0000004B">
      <w:pPr>
        <w:spacing w:after="240" w:before="240" w:lineRule="auto"/>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4C">
      <w:pPr>
        <w:spacing w:after="240" w:before="240" w:lineRule="auto"/>
        <w:ind w:left="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11.</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color w:val="222222"/>
          <w:highlight w:val="white"/>
          <w:rtl w:val="0"/>
        </w:rPr>
        <w:t xml:space="preserve">Barkow, R.E., 2003. Recharging the jury: The criminal jury's constitutional role in an era of mandatory sentencing. </w:t>
      </w:r>
      <w:r w:rsidDel="00000000" w:rsidR="00000000" w:rsidRPr="00000000">
        <w:rPr>
          <w:rFonts w:ascii="Times New Roman" w:cs="Times New Roman" w:eastAsia="Times New Roman" w:hAnsi="Times New Roman"/>
          <w:rtl w:val="0"/>
        </w:rPr>
        <w:t xml:space="preserve">The </w:t>
      </w:r>
      <w:r w:rsidDel="00000000" w:rsidR="00000000" w:rsidRPr="00000000">
        <w:rPr>
          <w:rFonts w:ascii="Times New Roman" w:cs="Times New Roman" w:eastAsia="Times New Roman" w:hAnsi="Times New Roman"/>
          <w:i w:val="1"/>
          <w:rtl w:val="0"/>
        </w:rPr>
        <w:t xml:space="preserve">University of Pennsylvania Law Review</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152</w:t>
      </w:r>
      <w:r w:rsidDel="00000000" w:rsidR="00000000" w:rsidRPr="00000000">
        <w:rPr>
          <w:rFonts w:ascii="Times New Roman" w:cs="Times New Roman" w:eastAsia="Times New Roman" w:hAnsi="Times New Roman"/>
          <w:rtl w:val="0"/>
        </w:rPr>
        <w:t xml:space="preserve">(1), pp.33-127.</w:t>
      </w:r>
    </w:p>
    <w:p w:rsidR="00000000" w:rsidDel="00000000" w:rsidP="00000000" w:rsidRDefault="00000000" w:rsidRPr="00000000" w14:paraId="0000004D">
      <w:pPr>
        <w:spacing w:after="240" w:before="240" w:lineRule="auto"/>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 </w:t>
      </w:r>
    </w:p>
    <w:p w:rsidR="00000000" w:rsidDel="00000000" w:rsidP="00000000" w:rsidRDefault="00000000" w:rsidRPr="00000000" w14:paraId="0000004E">
      <w:pPr>
        <w:spacing w:after="240" w:before="240" w:lineRule="auto"/>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 </w:t>
      </w:r>
    </w:p>
    <w:p w:rsidR="00000000" w:rsidDel="00000000" w:rsidP="00000000" w:rsidRDefault="00000000" w:rsidRPr="00000000" w14:paraId="0000004F">
      <w:pPr>
        <w:spacing w:after="240" w:before="240" w:lineRule="auto"/>
        <w:ind w:left="108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12.</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Sequestration | practical law</w:t>
      </w:r>
      <w:r w:rsidDel="00000000" w:rsidR="00000000" w:rsidRPr="00000000">
        <w:rPr>
          <w:rFonts w:ascii="Times New Roman" w:cs="Times New Roman" w:eastAsia="Times New Roman" w:hAnsi="Times New Roman"/>
          <w:rtl w:val="0"/>
        </w:rPr>
        <w:t xml:space="preserve"> (2023) </w:t>
      </w:r>
      <w:r w:rsidDel="00000000" w:rsidR="00000000" w:rsidRPr="00000000">
        <w:rPr>
          <w:rFonts w:ascii="Times New Roman" w:cs="Times New Roman" w:eastAsia="Times New Roman" w:hAnsi="Times New Roman"/>
          <w:i w:val="1"/>
          <w:rtl w:val="0"/>
        </w:rPr>
        <w:t xml:space="preserve">PRACTICAL LAW</w:t>
      </w:r>
      <w:r w:rsidDel="00000000" w:rsidR="00000000" w:rsidRPr="00000000">
        <w:rPr>
          <w:rFonts w:ascii="Times New Roman" w:cs="Times New Roman" w:eastAsia="Times New Roman" w:hAnsi="Times New Roman"/>
          <w:rtl w:val="0"/>
        </w:rPr>
        <w:t xml:space="preserve">. Available at: https://uk.practicallaw.thomsonreuters.com/0-508-2439?contextData=(sc.Default) (Accessed: January 13, 2023). </w:t>
      </w:r>
    </w:p>
    <w:p w:rsidR="00000000" w:rsidDel="00000000" w:rsidP="00000000" w:rsidRDefault="00000000" w:rsidRPr="00000000" w14:paraId="00000050">
      <w:pPr>
        <w:rPr>
          <w:rFonts w:ascii="Times New Roman" w:cs="Times New Roman" w:eastAsia="Times New Roman" w:hAnsi="Times New Roman"/>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plus-lexis-com.ezproxy.uwtsd.ac.uk/api/document/collection/cases-uk/id/7V1Y-5HD0-Y96Y-H0MS-00000-00?cite=R%20v%20F%2C%20DIG_09D162feb%5B2009%5D%20All%20ER%20(D)%20162%20(Feb)&amp;context=10010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