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E077D" w14:textId="2D08D333" w:rsidR="00DF2400" w:rsidRPr="002B4B76" w:rsidRDefault="00DF2400" w:rsidP="002B4B76">
      <w:pPr>
        <w:spacing w:line="360" w:lineRule="auto"/>
        <w:rPr>
          <w:rFonts w:ascii="Cambria" w:eastAsia="Arial" w:hAnsi="Cambria" w:cstheme="minorHAnsi"/>
          <w:color w:val="373A3C"/>
          <w:u w:val="single"/>
        </w:rPr>
      </w:pPr>
      <w:r w:rsidRPr="002B4B76">
        <w:rPr>
          <w:rFonts w:ascii="Cambria" w:eastAsia="Arial" w:hAnsi="Cambria" w:cstheme="minorHAnsi"/>
          <w:color w:val="373A3C"/>
          <w:u w:val="single"/>
        </w:rPr>
        <w:t>Quantifying Animal Bones</w:t>
      </w:r>
    </w:p>
    <w:p w14:paraId="11910BF0" w14:textId="77777777" w:rsidR="00974FBD" w:rsidRPr="002B4B76" w:rsidRDefault="00DF2400" w:rsidP="002B4B76">
      <w:pPr>
        <w:spacing w:line="360" w:lineRule="auto"/>
        <w:rPr>
          <w:rFonts w:ascii="Cambria" w:eastAsia="Arial" w:hAnsi="Cambria" w:cstheme="minorHAnsi"/>
          <w:color w:val="373A3C"/>
        </w:rPr>
      </w:pPr>
      <w:r w:rsidRPr="002B4B76">
        <w:rPr>
          <w:rFonts w:ascii="Cambria" w:eastAsia="Arial" w:hAnsi="Cambria" w:cstheme="minorHAnsi"/>
          <w:color w:val="373A3C"/>
        </w:rPr>
        <w:t>Some archaeological sites contain faunal remains in the form of animal bones</w:t>
      </w:r>
      <w:r w:rsidR="00B94CED" w:rsidRPr="002B4B76">
        <w:rPr>
          <w:rFonts w:ascii="Cambria" w:eastAsia="Arial" w:hAnsi="Cambria" w:cstheme="minorHAnsi"/>
          <w:color w:val="373A3C"/>
        </w:rPr>
        <w:t xml:space="preserve">. </w:t>
      </w:r>
      <w:r w:rsidRPr="002B4B76">
        <w:rPr>
          <w:rFonts w:ascii="Cambria" w:eastAsia="Arial" w:hAnsi="Cambria" w:cstheme="minorHAnsi"/>
          <w:color w:val="373A3C"/>
        </w:rPr>
        <w:t xml:space="preserve">Counting bones in an assemblage is integral to the identification of the potential number of </w:t>
      </w:r>
      <w:r w:rsidR="00060D5E" w:rsidRPr="002B4B76">
        <w:rPr>
          <w:rFonts w:ascii="Cambria" w:eastAsia="Arial" w:hAnsi="Cambria" w:cstheme="minorHAnsi"/>
          <w:color w:val="373A3C"/>
        </w:rPr>
        <w:t>specimens</w:t>
      </w:r>
      <w:r w:rsidR="008974E0" w:rsidRPr="002B4B76">
        <w:rPr>
          <w:rFonts w:ascii="Cambria" w:eastAsia="Arial" w:hAnsi="Cambria" w:cstheme="minorHAnsi"/>
          <w:color w:val="373A3C"/>
        </w:rPr>
        <w:t xml:space="preserve"> present</w:t>
      </w:r>
      <w:r w:rsidR="00060D5E" w:rsidRPr="002B4B76">
        <w:rPr>
          <w:rFonts w:ascii="Cambria" w:eastAsia="Arial" w:hAnsi="Cambria" w:cstheme="minorHAnsi"/>
          <w:color w:val="373A3C"/>
        </w:rPr>
        <w:t xml:space="preserve"> and understanding</w:t>
      </w:r>
      <w:r w:rsidR="008974E0" w:rsidRPr="002B4B76">
        <w:rPr>
          <w:rFonts w:ascii="Cambria" w:eastAsia="Arial" w:hAnsi="Cambria" w:cstheme="minorHAnsi"/>
          <w:color w:val="373A3C"/>
        </w:rPr>
        <w:t xml:space="preserve"> what animals are found at the site. Through counting the </w:t>
      </w:r>
      <w:r w:rsidR="00060D5E" w:rsidRPr="002B4B76">
        <w:rPr>
          <w:rFonts w:ascii="Cambria" w:eastAsia="Arial" w:hAnsi="Cambria" w:cstheme="minorHAnsi"/>
          <w:color w:val="373A3C"/>
        </w:rPr>
        <w:t xml:space="preserve">animal </w:t>
      </w:r>
      <w:r w:rsidR="00B94CED" w:rsidRPr="002B4B76">
        <w:rPr>
          <w:rFonts w:ascii="Cambria" w:eastAsia="Arial" w:hAnsi="Cambria" w:cstheme="minorHAnsi"/>
          <w:color w:val="373A3C"/>
        </w:rPr>
        <w:t>bones,</w:t>
      </w:r>
      <w:r w:rsidR="00060D5E" w:rsidRPr="002B4B76">
        <w:rPr>
          <w:rFonts w:ascii="Cambria" w:eastAsia="Arial" w:hAnsi="Cambria" w:cstheme="minorHAnsi"/>
          <w:color w:val="373A3C"/>
        </w:rPr>
        <w:t xml:space="preserve"> i</w:t>
      </w:r>
      <w:r w:rsidR="00FB05FC" w:rsidRPr="002B4B76">
        <w:rPr>
          <w:rFonts w:ascii="Cambria" w:eastAsia="Arial" w:hAnsi="Cambria" w:cstheme="minorHAnsi"/>
          <w:color w:val="373A3C"/>
        </w:rPr>
        <w:t>t’</w:t>
      </w:r>
      <w:r w:rsidR="00060D5E" w:rsidRPr="002B4B76">
        <w:rPr>
          <w:rFonts w:ascii="Cambria" w:eastAsia="Arial" w:hAnsi="Cambria" w:cstheme="minorHAnsi"/>
          <w:color w:val="373A3C"/>
        </w:rPr>
        <w:t>s possible to understand what bones have survived</w:t>
      </w:r>
      <w:r w:rsidR="00B94CED" w:rsidRPr="002B4B76">
        <w:rPr>
          <w:rFonts w:ascii="Cambria" w:eastAsia="Arial" w:hAnsi="Cambria" w:cstheme="minorHAnsi"/>
          <w:color w:val="373A3C"/>
        </w:rPr>
        <w:t xml:space="preserve"> and</w:t>
      </w:r>
      <w:r w:rsidR="00060D5E" w:rsidRPr="002B4B76">
        <w:rPr>
          <w:rFonts w:ascii="Cambria" w:eastAsia="Arial" w:hAnsi="Cambria" w:cstheme="minorHAnsi"/>
          <w:color w:val="373A3C"/>
        </w:rPr>
        <w:t xml:space="preserve"> gain a greater understanding of the relationship between the animals present and the context of the site.</w:t>
      </w:r>
      <w:r w:rsidR="00974FBD" w:rsidRPr="002B4B76">
        <w:rPr>
          <w:rFonts w:ascii="Cambria" w:eastAsia="Arial" w:hAnsi="Cambria" w:cstheme="minorHAnsi"/>
          <w:color w:val="373A3C"/>
        </w:rPr>
        <w:t xml:space="preserve"> </w:t>
      </w:r>
      <w:r w:rsidR="00060D5E" w:rsidRPr="002B4B76">
        <w:rPr>
          <w:rFonts w:ascii="Cambria" w:eastAsia="Arial" w:hAnsi="Cambria" w:cstheme="minorHAnsi"/>
          <w:color w:val="373A3C"/>
        </w:rPr>
        <w:t xml:space="preserve">It is important to consider that when quantifying bones that the data collected gives an estimation on what may have been present at a site. </w:t>
      </w:r>
    </w:p>
    <w:p w14:paraId="2CD21FBE" w14:textId="2950887E" w:rsidR="00801084" w:rsidRPr="002B4B76" w:rsidRDefault="00060D5E" w:rsidP="002B4B76">
      <w:pPr>
        <w:spacing w:line="360" w:lineRule="auto"/>
        <w:rPr>
          <w:rFonts w:ascii="Cambria" w:eastAsia="Arial" w:hAnsi="Cambria" w:cstheme="minorHAnsi"/>
          <w:color w:val="373A3C"/>
        </w:rPr>
      </w:pPr>
      <w:r w:rsidRPr="002B4B76">
        <w:rPr>
          <w:rFonts w:ascii="Cambria" w:eastAsia="Arial" w:hAnsi="Cambria" w:cstheme="minorHAnsi"/>
          <w:color w:val="373A3C"/>
        </w:rPr>
        <w:t xml:space="preserve">The bones present in an assemblage are rarely ever a full skeleton or even full intact bones. </w:t>
      </w:r>
      <w:r w:rsidR="00B94CED" w:rsidRPr="002B4B76">
        <w:rPr>
          <w:rFonts w:ascii="Cambria" w:eastAsia="Arial" w:hAnsi="Cambria" w:cstheme="minorHAnsi"/>
          <w:color w:val="373A3C"/>
        </w:rPr>
        <w:t>I</w:t>
      </w:r>
      <w:r w:rsidRPr="002B4B76">
        <w:rPr>
          <w:rFonts w:ascii="Cambria" w:eastAsia="Arial" w:hAnsi="Cambria" w:cstheme="minorHAnsi"/>
          <w:color w:val="373A3C"/>
        </w:rPr>
        <w:t xml:space="preserve">t is often the fragments of bones that make up </w:t>
      </w:r>
      <w:r w:rsidR="00A33C35" w:rsidRPr="002B4B76">
        <w:rPr>
          <w:rFonts w:ascii="Cambria" w:eastAsia="Arial" w:hAnsi="Cambria" w:cstheme="minorHAnsi"/>
          <w:color w:val="373A3C"/>
        </w:rPr>
        <w:t>most of</w:t>
      </w:r>
      <w:r w:rsidRPr="002B4B76">
        <w:rPr>
          <w:rFonts w:ascii="Cambria" w:eastAsia="Arial" w:hAnsi="Cambria" w:cstheme="minorHAnsi"/>
          <w:color w:val="373A3C"/>
        </w:rPr>
        <w:t xml:space="preserve"> all bones present within an assemblage.</w:t>
      </w:r>
      <w:r w:rsidR="006D2D38" w:rsidRPr="002B4B76">
        <w:rPr>
          <w:rFonts w:ascii="Cambria" w:eastAsia="Arial" w:hAnsi="Cambria" w:cstheme="minorHAnsi"/>
          <w:color w:val="373A3C"/>
        </w:rPr>
        <w:t xml:space="preserve">  This is in part due to the survivability of bone or the taphonomy, that is the rate at which bones and parts of bone deteriorate after the point of death. </w:t>
      </w:r>
      <w:r w:rsidR="00FB05FC" w:rsidRPr="002B4B76">
        <w:rPr>
          <w:rFonts w:ascii="Cambria" w:eastAsia="Arial" w:hAnsi="Cambria" w:cstheme="minorHAnsi"/>
          <w:color w:val="373A3C"/>
        </w:rPr>
        <w:t>T</w:t>
      </w:r>
      <w:r w:rsidR="00A33C35" w:rsidRPr="002B4B76">
        <w:rPr>
          <w:rFonts w:ascii="Cambria" w:eastAsia="Arial" w:hAnsi="Cambria" w:cstheme="minorHAnsi"/>
          <w:color w:val="373A3C"/>
        </w:rPr>
        <w:t>he context that the b</w:t>
      </w:r>
      <w:r w:rsidR="00B94CED" w:rsidRPr="002B4B76">
        <w:rPr>
          <w:rFonts w:ascii="Cambria" w:eastAsia="Arial" w:hAnsi="Cambria" w:cstheme="minorHAnsi"/>
          <w:color w:val="373A3C"/>
        </w:rPr>
        <w:t>o</w:t>
      </w:r>
      <w:r w:rsidR="00A33C35" w:rsidRPr="002B4B76">
        <w:rPr>
          <w:rFonts w:ascii="Cambria" w:eastAsia="Arial" w:hAnsi="Cambria" w:cstheme="minorHAnsi"/>
          <w:color w:val="373A3C"/>
        </w:rPr>
        <w:t xml:space="preserve">nes </w:t>
      </w:r>
      <w:r w:rsidR="00FB05FC" w:rsidRPr="002B4B76">
        <w:rPr>
          <w:rFonts w:ascii="Cambria" w:eastAsia="Arial" w:hAnsi="Cambria" w:cstheme="minorHAnsi"/>
          <w:color w:val="373A3C"/>
        </w:rPr>
        <w:t>in can</w:t>
      </w:r>
      <w:r w:rsidR="00A33C35" w:rsidRPr="002B4B76">
        <w:rPr>
          <w:rFonts w:ascii="Cambria" w:eastAsia="Arial" w:hAnsi="Cambria" w:cstheme="minorHAnsi"/>
          <w:color w:val="373A3C"/>
        </w:rPr>
        <w:t xml:space="preserve"> affect the survivability of the specimens left, environment, and bone size are two of the many elements that can influence how well bones survive into the archaeological record. </w:t>
      </w:r>
    </w:p>
    <w:p w14:paraId="02736FF4" w14:textId="55039028" w:rsidR="00B94CED" w:rsidRPr="002B4B76" w:rsidRDefault="00B94CED" w:rsidP="002B4B76">
      <w:pPr>
        <w:spacing w:line="360" w:lineRule="auto"/>
        <w:jc w:val="center"/>
        <w:rPr>
          <w:rFonts w:ascii="Cambria" w:eastAsia="Arial" w:hAnsi="Cambria" w:cstheme="minorHAnsi"/>
          <w:color w:val="373A3C"/>
        </w:rPr>
      </w:pPr>
      <w:r w:rsidRPr="002B4B76">
        <w:rPr>
          <w:rFonts w:ascii="Cambria" w:hAnsi="Cambria"/>
          <w:noProof/>
        </w:rPr>
        <w:drawing>
          <wp:inline distT="0" distB="0" distL="0" distR="0" wp14:anchorId="1FFCCAEE" wp14:editId="11345295">
            <wp:extent cx="3212465" cy="3977640"/>
            <wp:effectExtent l="0" t="0" r="6985" b="381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2465" cy="3977640"/>
                    </a:xfrm>
                    <a:prstGeom prst="rect">
                      <a:avLst/>
                    </a:prstGeom>
                    <a:noFill/>
                    <a:ln>
                      <a:noFill/>
                    </a:ln>
                  </pic:spPr>
                </pic:pic>
              </a:graphicData>
            </a:graphic>
          </wp:inline>
        </w:drawing>
      </w:r>
      <w:r w:rsidRPr="002B4B76">
        <w:rPr>
          <w:rFonts w:ascii="Cambria" w:hAnsi="Cambria"/>
          <w:noProof/>
        </w:rPr>
        <mc:AlternateContent>
          <mc:Choice Requires="wps">
            <w:drawing>
              <wp:inline distT="0" distB="0" distL="0" distR="0" wp14:anchorId="04BE2693" wp14:editId="0DDA994A">
                <wp:extent cx="3368040" cy="635"/>
                <wp:effectExtent l="0" t="0" r="3810" b="5715"/>
                <wp:docPr id="1" name="Text Box 1"/>
                <wp:cNvGraphicFramePr/>
                <a:graphic xmlns:a="http://schemas.openxmlformats.org/drawingml/2006/main">
                  <a:graphicData uri="http://schemas.microsoft.com/office/word/2010/wordprocessingShape">
                    <wps:wsp>
                      <wps:cNvSpPr txBox="1"/>
                      <wps:spPr>
                        <a:xfrm>
                          <a:off x="0" y="0"/>
                          <a:ext cx="3368040" cy="635"/>
                        </a:xfrm>
                        <a:prstGeom prst="rect">
                          <a:avLst/>
                        </a:prstGeom>
                        <a:solidFill>
                          <a:prstClr val="white"/>
                        </a:solidFill>
                        <a:ln>
                          <a:noFill/>
                        </a:ln>
                      </wps:spPr>
                      <wps:txbx>
                        <w:txbxContent>
                          <w:p w14:paraId="7E7476EE" w14:textId="77777777" w:rsidR="00B94CED" w:rsidRPr="00801084" w:rsidRDefault="00B94CED" w:rsidP="00B94CED">
                            <w:pPr>
                              <w:pStyle w:val="Caption"/>
                              <w:rPr>
                                <w:noProof/>
                                <w:sz w:val="16"/>
                                <w:szCs w:val="16"/>
                              </w:rPr>
                            </w:pPr>
                            <w:r w:rsidRPr="00801084">
                              <w:rPr>
                                <w:sz w:val="16"/>
                                <w:szCs w:val="16"/>
                              </w:rPr>
                              <w:t xml:space="preserve">Figure </w:t>
                            </w:r>
                            <w:r w:rsidRPr="00801084">
                              <w:rPr>
                                <w:sz w:val="16"/>
                                <w:szCs w:val="16"/>
                              </w:rPr>
                              <w:fldChar w:fldCharType="begin"/>
                            </w:r>
                            <w:r w:rsidRPr="00801084">
                              <w:rPr>
                                <w:sz w:val="16"/>
                                <w:szCs w:val="16"/>
                              </w:rPr>
                              <w:instrText xml:space="preserve"> SEQ Figure \* ARABIC </w:instrText>
                            </w:r>
                            <w:r w:rsidRPr="00801084">
                              <w:rPr>
                                <w:sz w:val="16"/>
                                <w:szCs w:val="16"/>
                              </w:rPr>
                              <w:fldChar w:fldCharType="separate"/>
                            </w:r>
                            <w:r>
                              <w:rPr>
                                <w:noProof/>
                                <w:sz w:val="16"/>
                                <w:szCs w:val="16"/>
                              </w:rPr>
                              <w:t>1</w:t>
                            </w:r>
                            <w:r w:rsidRPr="00801084">
                              <w:rPr>
                                <w:sz w:val="16"/>
                                <w:szCs w:val="16"/>
                              </w:rPr>
                              <w:fldChar w:fldCharType="end"/>
                            </w:r>
                            <w:r w:rsidRPr="00801084">
                              <w:rPr>
                                <w:sz w:val="16"/>
                                <w:szCs w:val="16"/>
                              </w:rPr>
                              <w:t xml:space="preserve"> Meadow, R. H.  (1980) Animal Bones Problems for the Archaeologist. p.67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type w14:anchorId="04BE2693" id="_x0000_t202" coordsize="21600,21600" o:spt="202" path="m,l,21600r21600,l21600,xe">
                <v:stroke joinstyle="miter"/>
                <v:path gradientshapeok="t" o:connecttype="rect"/>
              </v:shapetype>
              <v:shape id="Text Box 1" o:spid="_x0000_s1026" type="#_x0000_t202" style="width:265.2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" stroked="f">
                <v:textbox style="mso-fit-shape-to-text:t" inset="0,0,0,0">
                  <w:txbxContent>
                    <w:p w14:paraId="7E7476EE" w14:textId="77777777" w:rsidR="00B94CED" w:rsidRPr="00801084" w:rsidRDefault="00B94CED" w:rsidP="00B94CED">
                      <w:pPr>
                        <w:pStyle w:val="Caption"/>
                        <w:rPr>
                          <w:noProof/>
                          <w:sz w:val="16"/>
                          <w:szCs w:val="16"/>
                        </w:rPr>
                      </w:pPr>
                      <w:r w:rsidRPr="00801084">
                        <w:rPr>
                          <w:sz w:val="16"/>
                          <w:szCs w:val="16"/>
                        </w:rPr>
                        <w:t xml:space="preserve">Figure </w:t>
                      </w:r>
                      <w:r w:rsidRPr="00801084">
                        <w:rPr>
                          <w:sz w:val="16"/>
                          <w:szCs w:val="16"/>
                        </w:rPr>
                        <w:fldChar w:fldCharType="begin"/>
                      </w:r>
                      <w:r w:rsidRPr="00801084">
                        <w:rPr>
                          <w:sz w:val="16"/>
                          <w:szCs w:val="16"/>
                        </w:rPr>
                        <w:instrText xml:space="preserve"> SEQ Figure \* ARABIC </w:instrText>
                      </w:r>
                      <w:r w:rsidRPr="00801084">
                        <w:rPr>
                          <w:sz w:val="16"/>
                          <w:szCs w:val="16"/>
                        </w:rPr>
                        <w:fldChar w:fldCharType="separate"/>
                      </w:r>
                      <w:r>
                        <w:rPr>
                          <w:noProof/>
                          <w:sz w:val="16"/>
                          <w:szCs w:val="16"/>
                        </w:rPr>
                        <w:t>1</w:t>
                      </w:r>
                      <w:r w:rsidRPr="00801084">
                        <w:rPr>
                          <w:sz w:val="16"/>
                          <w:szCs w:val="16"/>
                        </w:rPr>
                        <w:fldChar w:fldCharType="end"/>
                      </w:r>
                      <w:r w:rsidRPr="00801084">
                        <w:rPr>
                          <w:sz w:val="16"/>
                          <w:szCs w:val="16"/>
                        </w:rPr>
                        <w:t xml:space="preserve"> Meadow, R. H.  (1980) Animal Bones Problems for the Archaeologist. p.67</w:t>
                      </w:r>
                    </w:p>
                  </w:txbxContent>
                </v:textbox>
                <w10:anchorlock/>
              </v:shape>
            </w:pict>
          </mc:Fallback>
        </mc:AlternateContent>
      </w:r>
    </w:p>
    <w:p w14:paraId="73F2E886" w14:textId="0B019115" w:rsidR="00A33C35" w:rsidRPr="002B4B76" w:rsidRDefault="00B94CED" w:rsidP="002B4B76">
      <w:pPr>
        <w:spacing w:line="360" w:lineRule="auto"/>
        <w:rPr>
          <w:rFonts w:ascii="Cambria" w:eastAsia="Arial" w:hAnsi="Cambria" w:cstheme="minorHAnsi"/>
          <w:color w:val="373A3C"/>
        </w:rPr>
      </w:pPr>
      <w:r w:rsidRPr="002B4B76">
        <w:rPr>
          <w:rFonts w:ascii="Cambria" w:eastAsia="Arial" w:hAnsi="Cambria" w:cstheme="minorHAnsi"/>
          <w:color w:val="373A3C"/>
        </w:rPr>
        <w:t>The graph by Meadow (1980)</w:t>
      </w:r>
      <w:r w:rsidR="00A33C35" w:rsidRPr="002B4B76">
        <w:rPr>
          <w:rFonts w:ascii="Cambria" w:eastAsia="Arial" w:hAnsi="Cambria" w:cstheme="minorHAnsi"/>
          <w:color w:val="373A3C"/>
        </w:rPr>
        <w:t xml:space="preserve"> highlights why the assemblage of bone being counted may only be a sample of the original collection </w:t>
      </w:r>
      <w:r w:rsidR="00107FF9" w:rsidRPr="002B4B76">
        <w:rPr>
          <w:rFonts w:ascii="Cambria" w:eastAsia="Arial" w:hAnsi="Cambria" w:cstheme="minorHAnsi"/>
          <w:color w:val="373A3C"/>
        </w:rPr>
        <w:t>and</w:t>
      </w:r>
      <w:r w:rsidRPr="002B4B76">
        <w:rPr>
          <w:rFonts w:ascii="Cambria" w:eastAsia="Arial" w:hAnsi="Cambria" w:cstheme="minorHAnsi"/>
          <w:color w:val="373A3C"/>
        </w:rPr>
        <w:t xml:space="preserve"> </w:t>
      </w:r>
      <w:r w:rsidR="001813CB" w:rsidRPr="002B4B76">
        <w:rPr>
          <w:rFonts w:ascii="Cambria" w:eastAsia="Arial" w:hAnsi="Cambria" w:cstheme="minorHAnsi"/>
          <w:color w:val="373A3C"/>
        </w:rPr>
        <w:t>emphasises</w:t>
      </w:r>
      <w:r w:rsidRPr="002B4B76">
        <w:rPr>
          <w:rFonts w:ascii="Cambria" w:eastAsia="Arial" w:hAnsi="Cambria" w:cstheme="minorHAnsi"/>
          <w:color w:val="373A3C"/>
        </w:rPr>
        <w:t xml:space="preserve"> how the collected data can </w:t>
      </w:r>
      <w:r w:rsidR="00C43912" w:rsidRPr="002B4B76">
        <w:rPr>
          <w:rFonts w:ascii="Cambria" w:eastAsia="Arial" w:hAnsi="Cambria" w:cstheme="minorHAnsi"/>
          <w:color w:val="373A3C"/>
        </w:rPr>
        <w:t>help to make</w:t>
      </w:r>
      <w:r w:rsidRPr="002B4B76">
        <w:rPr>
          <w:rFonts w:ascii="Cambria" w:eastAsia="Arial" w:hAnsi="Cambria" w:cstheme="minorHAnsi"/>
          <w:color w:val="373A3C"/>
        </w:rPr>
        <w:t xml:space="preserve"> </w:t>
      </w:r>
      <w:r w:rsidRPr="002B4B76">
        <w:rPr>
          <w:rFonts w:ascii="Cambria" w:eastAsia="Arial" w:hAnsi="Cambria" w:cstheme="minorHAnsi"/>
          <w:color w:val="373A3C"/>
        </w:rPr>
        <w:lastRenderedPageBreak/>
        <w:t xml:space="preserve">assumptions </w:t>
      </w:r>
      <w:r w:rsidR="001813CB" w:rsidRPr="002B4B76">
        <w:rPr>
          <w:rFonts w:ascii="Cambria" w:eastAsia="Arial" w:hAnsi="Cambria" w:cstheme="minorHAnsi"/>
          <w:color w:val="373A3C"/>
        </w:rPr>
        <w:t xml:space="preserve">about </w:t>
      </w:r>
      <w:r w:rsidR="00C43912" w:rsidRPr="002B4B76">
        <w:rPr>
          <w:rFonts w:ascii="Cambria" w:eastAsia="Arial" w:hAnsi="Cambria" w:cstheme="minorHAnsi"/>
          <w:color w:val="373A3C"/>
        </w:rPr>
        <w:t>the history of an assemblage however</w:t>
      </w:r>
      <w:r w:rsidR="001813CB" w:rsidRPr="002B4B76">
        <w:rPr>
          <w:rFonts w:ascii="Cambria" w:eastAsia="Arial" w:hAnsi="Cambria" w:cstheme="minorHAnsi"/>
          <w:color w:val="373A3C"/>
        </w:rPr>
        <w:t xml:space="preserve"> </w:t>
      </w:r>
      <w:r w:rsidRPr="002B4B76">
        <w:rPr>
          <w:rFonts w:ascii="Cambria" w:eastAsia="Arial" w:hAnsi="Cambria" w:cstheme="minorHAnsi"/>
          <w:color w:val="373A3C"/>
        </w:rPr>
        <w:t xml:space="preserve">does not </w:t>
      </w:r>
      <w:r w:rsidR="00C43912" w:rsidRPr="002B4B76">
        <w:rPr>
          <w:rFonts w:ascii="Cambria" w:eastAsia="Arial" w:hAnsi="Cambria" w:cstheme="minorHAnsi"/>
          <w:color w:val="373A3C"/>
        </w:rPr>
        <w:t>necessarily accurately reflect the past.</w:t>
      </w:r>
    </w:p>
    <w:p w14:paraId="728098EB" w14:textId="155835BB" w:rsidR="00C43912" w:rsidRPr="002B4B76" w:rsidRDefault="006D2D38" w:rsidP="002B4B76">
      <w:pPr>
        <w:spacing w:line="360" w:lineRule="auto"/>
        <w:rPr>
          <w:rFonts w:ascii="Cambria" w:eastAsia="Arial" w:hAnsi="Cambria" w:cstheme="minorHAnsi"/>
          <w:color w:val="373A3C"/>
        </w:rPr>
      </w:pPr>
      <w:r w:rsidRPr="002B4B76">
        <w:rPr>
          <w:rFonts w:ascii="Cambria" w:eastAsia="Arial" w:hAnsi="Cambria" w:cstheme="minorHAnsi"/>
          <w:color w:val="373A3C"/>
        </w:rPr>
        <w:t xml:space="preserve">When counting bone fragments the method of counting is vital for collecting the best set of data for the assemblage. Whilst there are many methods available for quantifying animal bones </w:t>
      </w:r>
      <w:r w:rsidR="00A33C35" w:rsidRPr="002B4B76">
        <w:rPr>
          <w:rFonts w:ascii="Cambria" w:eastAsia="Arial" w:hAnsi="Cambria" w:cstheme="minorHAnsi"/>
          <w:color w:val="373A3C"/>
        </w:rPr>
        <w:t>O’Connor</w:t>
      </w:r>
      <w:r w:rsidRPr="002B4B76">
        <w:rPr>
          <w:rFonts w:ascii="Cambria" w:eastAsia="Arial" w:hAnsi="Cambria" w:cstheme="minorHAnsi"/>
          <w:color w:val="373A3C"/>
        </w:rPr>
        <w:t xml:space="preserve"> stresses the importance of considering the validity and the repeatability of the collection methods (</w:t>
      </w:r>
      <w:r w:rsidR="001813CB" w:rsidRPr="002B4B76">
        <w:rPr>
          <w:rFonts w:ascii="Cambria" w:eastAsia="Arial" w:hAnsi="Cambria" w:cstheme="minorHAnsi"/>
          <w:color w:val="373A3C"/>
        </w:rPr>
        <w:t>O’Connor 2000</w:t>
      </w:r>
      <w:r w:rsidR="00DF4BB0" w:rsidRPr="002B4B76">
        <w:rPr>
          <w:rFonts w:ascii="Cambria" w:eastAsia="Arial" w:hAnsi="Cambria" w:cstheme="minorHAnsi"/>
          <w:color w:val="373A3C"/>
        </w:rPr>
        <w:t>,</w:t>
      </w:r>
      <w:r w:rsidR="001813CB" w:rsidRPr="002B4B76">
        <w:rPr>
          <w:rFonts w:ascii="Cambria" w:eastAsia="Arial" w:hAnsi="Cambria" w:cstheme="minorHAnsi"/>
          <w:color w:val="373A3C"/>
        </w:rPr>
        <w:t xml:space="preserve"> p.54</w:t>
      </w:r>
      <w:r w:rsidRPr="002B4B76">
        <w:rPr>
          <w:rFonts w:ascii="Cambria" w:eastAsia="Arial" w:hAnsi="Cambria" w:cstheme="minorHAnsi"/>
          <w:color w:val="373A3C"/>
        </w:rPr>
        <w:t>).</w:t>
      </w:r>
      <w:r w:rsidR="00B94CED" w:rsidRPr="002B4B76">
        <w:rPr>
          <w:rFonts w:ascii="Cambria" w:eastAsia="Arial" w:hAnsi="Cambria" w:cstheme="minorHAnsi"/>
          <w:color w:val="373A3C"/>
        </w:rPr>
        <w:t xml:space="preserve"> </w:t>
      </w:r>
      <w:r w:rsidR="00974FBD" w:rsidRPr="002B4B76">
        <w:rPr>
          <w:rFonts w:ascii="Cambria" w:eastAsia="Arial" w:hAnsi="Cambria" w:cstheme="minorHAnsi"/>
          <w:color w:val="373A3C"/>
        </w:rPr>
        <w:t>T</w:t>
      </w:r>
      <w:r w:rsidRPr="002B4B76">
        <w:rPr>
          <w:rFonts w:ascii="Cambria" w:eastAsia="Arial" w:hAnsi="Cambria" w:cstheme="minorHAnsi"/>
          <w:color w:val="373A3C"/>
        </w:rPr>
        <w:t xml:space="preserve">he research question is an important aspect to consider when </w:t>
      </w:r>
      <w:r w:rsidR="00C43912" w:rsidRPr="002B4B76">
        <w:rPr>
          <w:rFonts w:ascii="Cambria" w:eastAsia="Arial" w:hAnsi="Cambria" w:cstheme="minorHAnsi"/>
          <w:color w:val="373A3C"/>
        </w:rPr>
        <w:t xml:space="preserve">choosing how to count animal bones </w:t>
      </w:r>
      <w:r w:rsidR="001813CB" w:rsidRPr="002B4B76">
        <w:rPr>
          <w:rFonts w:ascii="Cambria" w:eastAsia="Arial" w:hAnsi="Cambria" w:cstheme="minorHAnsi"/>
          <w:color w:val="373A3C"/>
        </w:rPr>
        <w:t>(Baker &amp; Worley 2019</w:t>
      </w:r>
      <w:r w:rsidRPr="002B4B76">
        <w:rPr>
          <w:rFonts w:ascii="Cambria" w:eastAsia="Arial" w:hAnsi="Cambria" w:cstheme="minorHAnsi"/>
          <w:color w:val="373A3C"/>
        </w:rPr>
        <w:t>)</w:t>
      </w:r>
      <w:r w:rsidR="001813CB" w:rsidRPr="002B4B76">
        <w:rPr>
          <w:rFonts w:ascii="Cambria" w:eastAsia="Arial" w:hAnsi="Cambria" w:cstheme="minorHAnsi"/>
          <w:color w:val="373A3C"/>
        </w:rPr>
        <w:t>.</w:t>
      </w:r>
      <w:r w:rsidR="00C43912" w:rsidRPr="002B4B76">
        <w:rPr>
          <w:rFonts w:ascii="Cambria" w:eastAsia="Arial" w:hAnsi="Cambria" w:cstheme="minorHAnsi"/>
          <w:color w:val="373A3C"/>
        </w:rPr>
        <w:t xml:space="preserve"> The research question not only helps in choosing the correct data collection method in terms of single site use but for comparison between sites. </w:t>
      </w:r>
    </w:p>
    <w:p w14:paraId="4DCEC010" w14:textId="2800C97F" w:rsidR="00FB05FC" w:rsidRPr="002B4B76" w:rsidRDefault="001813CB" w:rsidP="002B4B76">
      <w:pPr>
        <w:spacing w:line="360" w:lineRule="auto"/>
        <w:rPr>
          <w:rFonts w:ascii="Cambria" w:eastAsia="Arial" w:hAnsi="Cambria" w:cstheme="minorHAnsi"/>
          <w:color w:val="373A3C"/>
        </w:rPr>
      </w:pPr>
      <w:r w:rsidRPr="002B4B76">
        <w:rPr>
          <w:rFonts w:ascii="Cambria" w:eastAsia="Arial" w:hAnsi="Cambria" w:cstheme="minorHAnsi"/>
          <w:color w:val="373A3C"/>
        </w:rPr>
        <w:t xml:space="preserve">Whilst there are many methods of quantification counting the minimum number of individuals (MNI) and the number of individuals present (NISP) are common ways of counting bones present in an </w:t>
      </w:r>
      <w:r w:rsidR="00626EC3" w:rsidRPr="002B4B76">
        <w:rPr>
          <w:rFonts w:ascii="Cambria" w:eastAsia="Arial" w:hAnsi="Cambria" w:cstheme="minorHAnsi"/>
          <w:color w:val="373A3C"/>
        </w:rPr>
        <w:t>assemblage</w:t>
      </w:r>
      <w:r w:rsidRPr="002B4B76">
        <w:rPr>
          <w:rFonts w:ascii="Cambria" w:eastAsia="Arial" w:hAnsi="Cambria" w:cstheme="minorHAnsi"/>
          <w:color w:val="373A3C"/>
        </w:rPr>
        <w:t xml:space="preserve">. </w:t>
      </w:r>
      <w:r w:rsidR="00107FF9" w:rsidRPr="002B4B76">
        <w:rPr>
          <w:rFonts w:ascii="Cambria" w:eastAsia="Arial" w:hAnsi="Cambria" w:cstheme="minorHAnsi"/>
          <w:color w:val="373A3C"/>
        </w:rPr>
        <w:t>Bone fragments are counted individually to give NISP and for MNI the bone types are identified and then counted with the assumption that the bones belong to the same individual unless they obviously do not</w:t>
      </w:r>
      <w:r w:rsidR="00626EC3" w:rsidRPr="002B4B76">
        <w:rPr>
          <w:rFonts w:ascii="Cambria" w:eastAsia="Arial" w:hAnsi="Cambria" w:cstheme="minorHAnsi"/>
          <w:color w:val="373A3C"/>
        </w:rPr>
        <w:t xml:space="preserve">. </w:t>
      </w:r>
      <w:r w:rsidR="00C43912" w:rsidRPr="002B4B76">
        <w:rPr>
          <w:rFonts w:ascii="Cambria" w:eastAsia="Arial" w:hAnsi="Cambria" w:cstheme="minorHAnsi"/>
          <w:color w:val="373A3C"/>
        </w:rPr>
        <w:t xml:space="preserve">It is here that understanding and categorising the bones is beneficial. Knowing if the bone is a left or right, </w:t>
      </w:r>
      <w:r w:rsidR="00974FBD" w:rsidRPr="002B4B76">
        <w:rPr>
          <w:rFonts w:ascii="Cambria" w:eastAsia="Arial" w:hAnsi="Cambria" w:cstheme="minorHAnsi"/>
          <w:color w:val="373A3C"/>
        </w:rPr>
        <w:t>size and</w:t>
      </w:r>
      <w:r w:rsidR="00C43912" w:rsidRPr="002B4B76">
        <w:rPr>
          <w:rFonts w:ascii="Cambria" w:eastAsia="Arial" w:hAnsi="Cambria" w:cstheme="minorHAnsi"/>
          <w:color w:val="373A3C"/>
        </w:rPr>
        <w:t xml:space="preserve"> age can contribute to more accurate counting of MNI. </w:t>
      </w:r>
    </w:p>
    <w:p w14:paraId="2F57CD3F" w14:textId="6013848A" w:rsidR="00FB05FC" w:rsidRPr="002B4B76" w:rsidRDefault="00FB05FC" w:rsidP="002B4B76">
      <w:pPr>
        <w:spacing w:line="360" w:lineRule="auto"/>
        <w:jc w:val="center"/>
        <w:rPr>
          <w:rFonts w:ascii="Cambria" w:eastAsia="Arial" w:hAnsi="Cambria" w:cstheme="minorHAnsi"/>
          <w:color w:val="373A3C"/>
        </w:rPr>
      </w:pPr>
      <w:r w:rsidRPr="002B4B76">
        <w:rPr>
          <w:rFonts w:ascii="Cambria" w:hAnsi="Cambria"/>
          <w:noProof/>
        </w:rPr>
        <mc:AlternateContent>
          <mc:Choice Requires="wps">
            <w:drawing>
              <wp:anchor distT="0" distB="0" distL="114300" distR="114300" simplePos="0" relativeHeight="251663360" behindDoc="0" locked="0" layoutInCell="1" allowOverlap="1" wp14:anchorId="2CCE1643" wp14:editId="7DAEA5D4">
                <wp:simplePos x="0" y="0"/>
                <wp:positionH relativeFrom="margin">
                  <wp:posOffset>845820</wp:posOffset>
                </wp:positionH>
                <wp:positionV relativeFrom="paragraph">
                  <wp:posOffset>3145790</wp:posOffset>
                </wp:positionV>
                <wp:extent cx="4107180" cy="635"/>
                <wp:effectExtent l="0" t="0" r="7620" b="0"/>
                <wp:wrapTopAndBottom/>
                <wp:docPr id="4" name="Text Box 4"/>
                <wp:cNvGraphicFramePr/>
                <a:graphic xmlns:a="http://schemas.openxmlformats.org/drawingml/2006/main">
                  <a:graphicData uri="http://schemas.microsoft.com/office/word/2010/wordprocessingShape">
                    <wps:wsp>
                      <wps:cNvSpPr txBox="1"/>
                      <wps:spPr>
                        <a:xfrm>
                          <a:off x="0" y="0"/>
                          <a:ext cx="4107180" cy="635"/>
                        </a:xfrm>
                        <a:prstGeom prst="rect">
                          <a:avLst/>
                        </a:prstGeom>
                        <a:solidFill>
                          <a:prstClr val="white"/>
                        </a:solidFill>
                        <a:ln>
                          <a:noFill/>
                        </a:ln>
                      </wps:spPr>
                      <wps:txbx>
                        <w:txbxContent>
                          <w:p w14:paraId="08B54EB3" w14:textId="65ACE48E" w:rsidR="008974E0" w:rsidRPr="008974E0" w:rsidRDefault="008974E0" w:rsidP="008974E0">
                            <w:pPr>
                              <w:pStyle w:val="Caption"/>
                              <w:rPr>
                                <w:noProof/>
                                <w:sz w:val="12"/>
                                <w:szCs w:val="12"/>
                              </w:rPr>
                            </w:pPr>
                            <w:r w:rsidRPr="008974E0">
                              <w:rPr>
                                <w:sz w:val="16"/>
                                <w:szCs w:val="16"/>
                              </w:rPr>
                              <w:t xml:space="preserve">Figure </w:t>
                            </w:r>
                            <w:r w:rsidRPr="008974E0">
                              <w:rPr>
                                <w:sz w:val="16"/>
                                <w:szCs w:val="16"/>
                              </w:rPr>
                              <w:fldChar w:fldCharType="begin"/>
                            </w:r>
                            <w:r w:rsidRPr="008974E0">
                              <w:rPr>
                                <w:sz w:val="16"/>
                                <w:szCs w:val="16"/>
                              </w:rPr>
                              <w:instrText xml:space="preserve"> SEQ Figure \* ARABIC </w:instrText>
                            </w:r>
                            <w:r w:rsidRPr="008974E0">
                              <w:rPr>
                                <w:sz w:val="16"/>
                                <w:szCs w:val="16"/>
                              </w:rPr>
                              <w:fldChar w:fldCharType="separate"/>
                            </w:r>
                            <w:r w:rsidRPr="008974E0">
                              <w:rPr>
                                <w:noProof/>
                                <w:sz w:val="16"/>
                                <w:szCs w:val="16"/>
                              </w:rPr>
                              <w:t>2</w:t>
                            </w:r>
                            <w:r w:rsidRPr="008974E0">
                              <w:rPr>
                                <w:sz w:val="16"/>
                                <w:szCs w:val="16"/>
                              </w:rPr>
                              <w:fldChar w:fldCharType="end"/>
                            </w:r>
                            <w:r w:rsidRPr="008974E0">
                              <w:rPr>
                                <w:sz w:val="16"/>
                                <w:szCs w:val="16"/>
                              </w:rPr>
                              <w:t xml:space="preserve"> O'Connor, T (2000) The Archaeology of Animal Bones p. 55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CCE1643" id="Text Box 4" o:spid="_x0000_s1027" type="#_x0000_t202" style="position:absolute;left:0;text-align:left;margin-left:66.6pt;margin-top:247.7pt;width:323.4pt;height:.0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" stroked="f">
                <v:textbox style="mso-fit-shape-to-text:t" inset="0,0,0,0">
                  <w:txbxContent>
                    <w:p w14:paraId="08B54EB3" w14:textId="65ACE48E" w:rsidR="008974E0" w:rsidRPr="008974E0" w:rsidRDefault="008974E0" w:rsidP="008974E0">
                      <w:pPr>
                        <w:pStyle w:val="Caption"/>
                        <w:rPr>
                          <w:noProof/>
                          <w:sz w:val="12"/>
                          <w:szCs w:val="12"/>
                        </w:rPr>
                      </w:pPr>
                      <w:r w:rsidRPr="008974E0">
                        <w:rPr>
                          <w:sz w:val="16"/>
                          <w:szCs w:val="16"/>
                        </w:rPr>
                        <w:t xml:space="preserve">Figure </w:t>
                      </w:r>
                      <w:r w:rsidRPr="008974E0">
                        <w:rPr>
                          <w:sz w:val="16"/>
                          <w:szCs w:val="16"/>
                        </w:rPr>
                        <w:fldChar w:fldCharType="begin"/>
                      </w:r>
                      <w:r w:rsidRPr="008974E0">
                        <w:rPr>
                          <w:sz w:val="16"/>
                          <w:szCs w:val="16"/>
                        </w:rPr>
                        <w:instrText xml:space="preserve"> SEQ Figure \* ARABIC </w:instrText>
                      </w:r>
                      <w:r w:rsidRPr="008974E0">
                        <w:rPr>
                          <w:sz w:val="16"/>
                          <w:szCs w:val="16"/>
                        </w:rPr>
                        <w:fldChar w:fldCharType="separate"/>
                      </w:r>
                      <w:r w:rsidRPr="008974E0">
                        <w:rPr>
                          <w:noProof/>
                          <w:sz w:val="16"/>
                          <w:szCs w:val="16"/>
                        </w:rPr>
                        <w:t>2</w:t>
                      </w:r>
                      <w:r w:rsidRPr="008974E0">
                        <w:rPr>
                          <w:sz w:val="16"/>
                          <w:szCs w:val="16"/>
                        </w:rPr>
                        <w:fldChar w:fldCharType="end"/>
                      </w:r>
                      <w:r w:rsidRPr="008974E0">
                        <w:rPr>
                          <w:sz w:val="16"/>
                          <w:szCs w:val="16"/>
                        </w:rPr>
                        <w:t xml:space="preserve"> O'Connor, T (2000) The Archaeology of Animal Bones p. 55</w:t>
                      </w:r>
                    </w:p>
                  </w:txbxContent>
                </v:textbox>
                <w10:wrap type="topAndBottom" anchorx="margin"/>
              </v:shape>
            </w:pict>
          </mc:Fallback>
        </mc:AlternateContent>
      </w:r>
      <w:r w:rsidRPr="002B4B76">
        <w:rPr>
          <w:rFonts w:ascii="Cambria" w:hAnsi="Cambria"/>
          <w:noProof/>
        </w:rPr>
        <w:drawing>
          <wp:inline distT="0" distB="0" distL="0" distR="0" wp14:anchorId="23F9EB0E" wp14:editId="0D163F16">
            <wp:extent cx="4389120" cy="3145415"/>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b="13519"/>
                    <a:stretch/>
                  </pic:blipFill>
                  <pic:spPr bwMode="auto">
                    <a:xfrm>
                      <a:off x="0" y="0"/>
                      <a:ext cx="4392271" cy="3147673"/>
                    </a:xfrm>
                    <a:prstGeom prst="rect">
                      <a:avLst/>
                    </a:prstGeom>
                    <a:noFill/>
                    <a:ln>
                      <a:noFill/>
                    </a:ln>
                    <a:extLst>
                      <a:ext uri="{53640926-AAD7-44D8-BBD7-CCE9431645EC}">
                        <a14:shadowObscured xmlns:a14="http://schemas.microsoft.com/office/drawing/2010/main"/>
                      </a:ext>
                    </a:extLst>
                  </pic:spPr>
                </pic:pic>
              </a:graphicData>
            </a:graphic>
          </wp:inline>
        </w:drawing>
      </w:r>
    </w:p>
    <w:p w14:paraId="1BD8997D" w14:textId="7411F84F" w:rsidR="00FB05FC" w:rsidRPr="002B4B76" w:rsidRDefault="00FB05FC" w:rsidP="002B4B76">
      <w:pPr>
        <w:spacing w:line="360" w:lineRule="auto"/>
        <w:rPr>
          <w:rFonts w:ascii="Cambria" w:eastAsia="Arial" w:hAnsi="Cambria" w:cstheme="minorHAnsi"/>
          <w:color w:val="373A3C"/>
        </w:rPr>
      </w:pPr>
      <w:r w:rsidRPr="002B4B76">
        <w:rPr>
          <w:rFonts w:ascii="Cambria" w:eastAsia="Arial" w:hAnsi="Cambria" w:cstheme="minorHAnsi"/>
          <w:color w:val="373A3C"/>
        </w:rPr>
        <w:t xml:space="preserve">There are many ways to quantify bones and most are heavily debated, including MNI and NISP. For </w:t>
      </w:r>
      <w:r w:rsidR="00C43912" w:rsidRPr="002B4B76">
        <w:rPr>
          <w:rFonts w:ascii="Cambria" w:eastAsia="Arial" w:hAnsi="Cambria" w:cstheme="minorHAnsi"/>
          <w:color w:val="373A3C"/>
        </w:rPr>
        <w:t>example,</w:t>
      </w:r>
      <w:r w:rsidRPr="002B4B76">
        <w:rPr>
          <w:rFonts w:ascii="Cambria" w:eastAsia="Arial" w:hAnsi="Cambria" w:cstheme="minorHAnsi"/>
          <w:color w:val="373A3C"/>
        </w:rPr>
        <w:t xml:space="preserve"> NISP may result in misidentification of species when the bones are fragmented and hard to identify (O’Connor 2000</w:t>
      </w:r>
      <w:r w:rsidR="00DF4BB0" w:rsidRPr="002B4B76">
        <w:rPr>
          <w:rFonts w:ascii="Cambria" w:eastAsia="Arial" w:hAnsi="Cambria" w:cstheme="minorHAnsi"/>
          <w:color w:val="373A3C"/>
        </w:rPr>
        <w:t>,</w:t>
      </w:r>
      <w:r w:rsidRPr="002B4B76">
        <w:rPr>
          <w:rFonts w:ascii="Cambria" w:eastAsia="Arial" w:hAnsi="Cambria" w:cstheme="minorHAnsi"/>
          <w:color w:val="373A3C"/>
        </w:rPr>
        <w:t xml:space="preserve"> p.56). </w:t>
      </w:r>
      <w:r w:rsidR="00626EC3" w:rsidRPr="002B4B76">
        <w:rPr>
          <w:rFonts w:ascii="Cambria" w:eastAsia="Arial" w:hAnsi="Cambria" w:cstheme="minorHAnsi"/>
          <w:color w:val="373A3C"/>
        </w:rPr>
        <w:t xml:space="preserve">There are many other methods of quantifying the bones present at an </w:t>
      </w:r>
      <w:r w:rsidRPr="002B4B76">
        <w:rPr>
          <w:rFonts w:ascii="Cambria" w:eastAsia="Arial" w:hAnsi="Cambria" w:cstheme="minorHAnsi"/>
          <w:color w:val="373A3C"/>
        </w:rPr>
        <w:t>assemblage</w:t>
      </w:r>
      <w:r w:rsidR="00626EC3" w:rsidRPr="002B4B76">
        <w:rPr>
          <w:rFonts w:ascii="Cambria" w:eastAsia="Arial" w:hAnsi="Cambria" w:cstheme="minorHAnsi"/>
          <w:color w:val="373A3C"/>
        </w:rPr>
        <w:t xml:space="preserve"> weighing for example </w:t>
      </w:r>
      <w:r w:rsidRPr="002B4B76">
        <w:rPr>
          <w:rFonts w:ascii="Cambria" w:eastAsia="Arial" w:hAnsi="Cambria" w:cstheme="minorHAnsi"/>
          <w:color w:val="373A3C"/>
        </w:rPr>
        <w:t>may</w:t>
      </w:r>
      <w:r w:rsidR="00626EC3" w:rsidRPr="002B4B76">
        <w:rPr>
          <w:rFonts w:ascii="Cambria" w:eastAsia="Arial" w:hAnsi="Cambria" w:cstheme="minorHAnsi"/>
          <w:color w:val="373A3C"/>
        </w:rPr>
        <w:t xml:space="preserve"> be useful when the research is on </w:t>
      </w:r>
      <w:r w:rsidR="00626EC3" w:rsidRPr="002B4B76">
        <w:rPr>
          <w:rFonts w:ascii="Cambria" w:eastAsia="Arial" w:hAnsi="Cambria" w:cstheme="minorHAnsi"/>
          <w:color w:val="373A3C"/>
        </w:rPr>
        <w:lastRenderedPageBreak/>
        <w:t xml:space="preserve">specimens such as shells </w:t>
      </w:r>
      <w:r w:rsidRPr="002B4B76">
        <w:rPr>
          <w:rFonts w:ascii="Cambria" w:eastAsia="Arial" w:hAnsi="Cambria" w:cstheme="minorHAnsi"/>
          <w:color w:val="373A3C"/>
        </w:rPr>
        <w:t>which</w:t>
      </w:r>
      <w:r w:rsidR="00626EC3" w:rsidRPr="002B4B76">
        <w:rPr>
          <w:rFonts w:ascii="Cambria" w:eastAsia="Arial" w:hAnsi="Cambria" w:cstheme="minorHAnsi"/>
          <w:color w:val="373A3C"/>
        </w:rPr>
        <w:t xml:space="preserve"> may all have a similar mass with little variation between individuals (</w:t>
      </w:r>
      <w:r w:rsidRPr="002B4B76">
        <w:rPr>
          <w:rFonts w:ascii="Cambria" w:eastAsia="Times New Roman" w:hAnsi="Cambria" w:cstheme="minorHAnsi"/>
          <w:lang w:eastAsia="en-GB"/>
        </w:rPr>
        <w:t>Mason Et.al 1998).</w:t>
      </w:r>
    </w:p>
    <w:p w14:paraId="543AA446" w14:textId="756DA5EC" w:rsidR="00DF4BB0" w:rsidRPr="00CB7E19" w:rsidRDefault="00FB05FC" w:rsidP="00CB7E19">
      <w:pPr>
        <w:spacing w:line="360" w:lineRule="auto"/>
        <w:rPr>
          <w:rFonts w:ascii="Cambria" w:eastAsia="Arial" w:hAnsi="Cambria" w:cstheme="minorHAnsi"/>
          <w:color w:val="373A3C"/>
        </w:rPr>
      </w:pPr>
      <w:r w:rsidRPr="002B4B76">
        <w:rPr>
          <w:rFonts w:ascii="Cambria" w:eastAsia="Arial" w:hAnsi="Cambria" w:cstheme="minorHAnsi"/>
          <w:color w:val="373A3C"/>
        </w:rPr>
        <w:t xml:space="preserve">NISP and MNI </w:t>
      </w:r>
      <w:r w:rsidR="00626EC3" w:rsidRPr="002B4B76">
        <w:rPr>
          <w:rFonts w:ascii="Cambria" w:eastAsia="Arial" w:hAnsi="Cambria" w:cstheme="minorHAnsi"/>
          <w:color w:val="373A3C"/>
        </w:rPr>
        <w:t xml:space="preserve"> can be seen to work </w:t>
      </w:r>
      <w:r w:rsidR="001813CB" w:rsidRPr="002B4B76">
        <w:rPr>
          <w:rFonts w:ascii="Cambria" w:eastAsia="Arial" w:hAnsi="Cambria" w:cstheme="minorHAnsi"/>
          <w:color w:val="373A3C"/>
        </w:rPr>
        <w:t xml:space="preserve">well together to give a maximum and a minimum boundary for animal bones present in the </w:t>
      </w:r>
      <w:r w:rsidR="00626EC3" w:rsidRPr="002B4B76">
        <w:rPr>
          <w:rFonts w:ascii="Cambria" w:eastAsia="Arial" w:hAnsi="Cambria" w:cstheme="minorHAnsi"/>
          <w:color w:val="373A3C"/>
        </w:rPr>
        <w:t xml:space="preserve">assemblage and can give a simple overview of the overall </w:t>
      </w:r>
      <w:r w:rsidRPr="002B4B76">
        <w:rPr>
          <w:rFonts w:ascii="Cambria" w:eastAsia="Arial" w:hAnsi="Cambria" w:cstheme="minorHAnsi"/>
          <w:color w:val="373A3C"/>
        </w:rPr>
        <w:t>assemblage</w:t>
      </w:r>
      <w:r w:rsidR="001813CB" w:rsidRPr="002B4B76">
        <w:rPr>
          <w:rFonts w:ascii="Cambria" w:eastAsia="Arial" w:hAnsi="Cambria" w:cstheme="minorHAnsi"/>
          <w:color w:val="373A3C"/>
        </w:rPr>
        <w:t xml:space="preserve">. </w:t>
      </w:r>
      <w:r w:rsidR="001813CB" w:rsidRPr="002B4B76">
        <w:rPr>
          <w:rFonts w:ascii="Cambria" w:eastAsia="Arial" w:hAnsi="Cambria" w:cstheme="minorHAnsi"/>
          <w:color w:val="373A3C"/>
        </w:rPr>
        <w:tab/>
      </w:r>
    </w:p>
    <w:p w14:paraId="33DF5920" w14:textId="77777777" w:rsidR="00DF4BB0" w:rsidRPr="002B4B76" w:rsidRDefault="00DF4BB0" w:rsidP="002B4B76">
      <w:pPr>
        <w:spacing w:line="360" w:lineRule="auto"/>
        <w:jc w:val="center"/>
        <w:rPr>
          <w:rFonts w:ascii="Cambria" w:hAnsi="Cambria"/>
          <w:noProof/>
        </w:rPr>
      </w:pPr>
    </w:p>
    <w:p w14:paraId="179D002E" w14:textId="77777777" w:rsidR="00686570" w:rsidRPr="00686570" w:rsidRDefault="00686570" w:rsidP="002B4B76">
      <w:pPr>
        <w:shd w:val="clear" w:color="auto" w:fill="FFFFFF"/>
        <w:spacing w:after="240" w:line="360" w:lineRule="auto"/>
        <w:rPr>
          <w:rFonts w:ascii="Cambria" w:eastAsia="Times New Roman" w:hAnsi="Cambria" w:cstheme="minorHAnsi"/>
          <w:color w:val="000000"/>
          <w:u w:val="single"/>
          <w:lang w:eastAsia="en-GB"/>
        </w:rPr>
      </w:pPr>
      <w:r w:rsidRPr="00686570">
        <w:rPr>
          <w:rFonts w:ascii="Cambria" w:eastAsia="Times New Roman" w:hAnsi="Cambria" w:cstheme="minorHAnsi"/>
          <w:color w:val="000000"/>
          <w:u w:val="single"/>
          <w:lang w:eastAsia="en-GB"/>
        </w:rPr>
        <w:t>Reference list</w:t>
      </w:r>
    </w:p>
    <w:p w14:paraId="7D1CB076" w14:textId="79A51396" w:rsidR="00686570" w:rsidRPr="00686570" w:rsidRDefault="00686570" w:rsidP="002B4B76">
      <w:pPr>
        <w:shd w:val="clear" w:color="auto" w:fill="FFFFFF"/>
        <w:spacing w:after="240" w:line="360" w:lineRule="auto"/>
        <w:rPr>
          <w:rFonts w:ascii="Cambria" w:eastAsia="Times New Roman" w:hAnsi="Cambria" w:cstheme="minorHAnsi"/>
          <w:color w:val="000000"/>
          <w:lang w:eastAsia="en-GB"/>
        </w:rPr>
      </w:pPr>
      <w:r w:rsidRPr="00686570">
        <w:rPr>
          <w:rFonts w:ascii="Cambria" w:eastAsia="Times New Roman" w:hAnsi="Cambria" w:cstheme="minorHAnsi"/>
          <w:color w:val="000000"/>
          <w:lang w:eastAsia="en-GB"/>
        </w:rPr>
        <w:t xml:space="preserve">Baker, P. and Worley, F. (2019). </w:t>
      </w:r>
      <w:r w:rsidRPr="00686570">
        <w:rPr>
          <w:rFonts w:ascii="Cambria" w:eastAsia="Times New Roman" w:hAnsi="Cambria" w:cstheme="minorHAnsi"/>
          <w:i/>
          <w:iCs/>
          <w:color w:val="000000"/>
          <w:lang w:eastAsia="en-GB"/>
        </w:rPr>
        <w:t>Animal Bones and Archaeology Recovery to archive Historic England Handbooks for Archaeology</w:t>
      </w:r>
      <w:r w:rsidRPr="00686570">
        <w:rPr>
          <w:rFonts w:ascii="Cambria" w:eastAsia="Times New Roman" w:hAnsi="Cambria" w:cstheme="minorHAnsi"/>
          <w:color w:val="000000"/>
          <w:lang w:eastAsia="en-GB"/>
        </w:rPr>
        <w:t>. [online] Swindon: H</w:t>
      </w:r>
      <w:r w:rsidR="00DF4BB0" w:rsidRPr="002B4B76">
        <w:rPr>
          <w:rFonts w:ascii="Cambria" w:eastAsia="Times New Roman" w:hAnsi="Cambria" w:cstheme="minorHAnsi"/>
          <w:color w:val="000000"/>
          <w:lang w:eastAsia="en-GB"/>
        </w:rPr>
        <w:t>i</w:t>
      </w:r>
      <w:r w:rsidRPr="00686570">
        <w:rPr>
          <w:rFonts w:ascii="Cambria" w:eastAsia="Times New Roman" w:hAnsi="Cambria" w:cstheme="minorHAnsi"/>
          <w:color w:val="000000"/>
          <w:lang w:eastAsia="en-GB"/>
        </w:rPr>
        <w:t>storic E</w:t>
      </w:r>
      <w:r w:rsidR="00DF4BB0" w:rsidRPr="002B4B76">
        <w:rPr>
          <w:rFonts w:ascii="Cambria" w:eastAsia="Times New Roman" w:hAnsi="Cambria" w:cstheme="minorHAnsi"/>
          <w:color w:val="000000"/>
          <w:lang w:eastAsia="en-GB"/>
        </w:rPr>
        <w:t>n</w:t>
      </w:r>
      <w:r w:rsidRPr="00686570">
        <w:rPr>
          <w:rFonts w:ascii="Cambria" w:eastAsia="Times New Roman" w:hAnsi="Cambria" w:cstheme="minorHAnsi"/>
          <w:color w:val="000000"/>
          <w:lang w:eastAsia="en-GB"/>
        </w:rPr>
        <w:t>gland. Available at: https://historicengland.org.uk/images-books/publications/animal-bones-and-archaeology/animal-bones-archaeology-handbook/ [Accessed 19 Feb. 2023].</w:t>
      </w:r>
    </w:p>
    <w:p w14:paraId="50AA9135" w14:textId="77777777" w:rsidR="00686570" w:rsidRPr="00686570" w:rsidRDefault="00686570" w:rsidP="002B4B76">
      <w:pPr>
        <w:shd w:val="clear" w:color="auto" w:fill="FFFFFF"/>
        <w:spacing w:after="240" w:line="360" w:lineRule="auto"/>
        <w:rPr>
          <w:rFonts w:ascii="Cambria" w:eastAsia="Times New Roman" w:hAnsi="Cambria" w:cstheme="minorHAnsi"/>
          <w:color w:val="000000"/>
          <w:lang w:eastAsia="en-GB"/>
        </w:rPr>
      </w:pPr>
      <w:r w:rsidRPr="00686570">
        <w:rPr>
          <w:rFonts w:ascii="Cambria" w:eastAsia="Times New Roman" w:hAnsi="Cambria" w:cstheme="minorHAnsi"/>
          <w:color w:val="000000"/>
          <w:lang w:eastAsia="en-GB"/>
        </w:rPr>
        <w:t xml:space="preserve">Mason, R.D., Peterson, M.L. and Tiffany, J.A. (1998). Weighing vs. Counting: Measurement Reliability and the California School of Midden Analysis. </w:t>
      </w:r>
      <w:r w:rsidRPr="00686570">
        <w:rPr>
          <w:rFonts w:ascii="Cambria" w:eastAsia="Times New Roman" w:hAnsi="Cambria" w:cstheme="minorHAnsi"/>
          <w:i/>
          <w:iCs/>
          <w:color w:val="000000"/>
          <w:lang w:eastAsia="en-GB"/>
        </w:rPr>
        <w:t>American Antiquity</w:t>
      </w:r>
      <w:r w:rsidRPr="00686570">
        <w:rPr>
          <w:rFonts w:ascii="Cambria" w:eastAsia="Times New Roman" w:hAnsi="Cambria" w:cstheme="minorHAnsi"/>
          <w:color w:val="000000"/>
          <w:lang w:eastAsia="en-GB"/>
        </w:rPr>
        <w:t>, [online] 63(2), pp.303–324. doi:https://doi.org/10.2307/2694700.</w:t>
      </w:r>
    </w:p>
    <w:p w14:paraId="3A917F49" w14:textId="77777777" w:rsidR="00686570" w:rsidRPr="00686570" w:rsidRDefault="00686570" w:rsidP="002B4B76">
      <w:pPr>
        <w:shd w:val="clear" w:color="auto" w:fill="FFFFFF"/>
        <w:spacing w:after="240" w:line="360" w:lineRule="auto"/>
        <w:rPr>
          <w:rFonts w:ascii="Cambria" w:eastAsia="Times New Roman" w:hAnsi="Cambria" w:cstheme="minorHAnsi"/>
          <w:color w:val="000000"/>
          <w:lang w:eastAsia="en-GB"/>
        </w:rPr>
      </w:pPr>
      <w:r w:rsidRPr="00686570">
        <w:rPr>
          <w:rFonts w:ascii="Cambria" w:eastAsia="Times New Roman" w:hAnsi="Cambria" w:cstheme="minorHAnsi"/>
          <w:color w:val="000000"/>
          <w:lang w:eastAsia="en-GB"/>
        </w:rPr>
        <w:t xml:space="preserve">Meadow, R.H. (1980). Animal Bones : Problems for the Archaeologist together with some possible solutions. </w:t>
      </w:r>
      <w:r w:rsidRPr="00686570">
        <w:rPr>
          <w:rFonts w:ascii="Cambria" w:eastAsia="Times New Roman" w:hAnsi="Cambria" w:cstheme="minorHAnsi"/>
          <w:i/>
          <w:iCs/>
          <w:color w:val="000000"/>
          <w:lang w:eastAsia="en-GB"/>
        </w:rPr>
        <w:t>Paléorient</w:t>
      </w:r>
      <w:r w:rsidRPr="00686570">
        <w:rPr>
          <w:rFonts w:ascii="Cambria" w:eastAsia="Times New Roman" w:hAnsi="Cambria" w:cstheme="minorHAnsi"/>
          <w:color w:val="000000"/>
          <w:lang w:eastAsia="en-GB"/>
        </w:rPr>
        <w:t>, [online] 6(1), pp.65–77. doi:https://doi.org/10.3406/paleo.1980.4260.</w:t>
      </w:r>
    </w:p>
    <w:p w14:paraId="7ACCF5F9" w14:textId="49316257" w:rsidR="00686570" w:rsidRPr="00686570" w:rsidRDefault="00686570" w:rsidP="002B4B76">
      <w:pPr>
        <w:shd w:val="clear" w:color="auto" w:fill="FFFFFF"/>
        <w:spacing w:after="240" w:line="360" w:lineRule="auto"/>
        <w:rPr>
          <w:rFonts w:ascii="Cambria" w:eastAsia="Times New Roman" w:hAnsi="Cambria" w:cstheme="minorHAnsi"/>
          <w:color w:val="000000"/>
          <w:lang w:eastAsia="en-GB"/>
        </w:rPr>
      </w:pPr>
      <w:r w:rsidRPr="00686570">
        <w:rPr>
          <w:rFonts w:ascii="Cambria" w:eastAsia="Times New Roman" w:hAnsi="Cambria" w:cstheme="minorHAnsi"/>
          <w:color w:val="000000"/>
          <w:lang w:eastAsia="en-GB"/>
        </w:rPr>
        <w:t xml:space="preserve">O’Connor, T.P. and O’Connor, T. (2000). </w:t>
      </w:r>
      <w:r w:rsidRPr="00686570">
        <w:rPr>
          <w:rFonts w:ascii="Cambria" w:eastAsia="Times New Roman" w:hAnsi="Cambria" w:cstheme="minorHAnsi"/>
          <w:i/>
          <w:iCs/>
          <w:color w:val="000000"/>
          <w:lang w:eastAsia="en-GB"/>
        </w:rPr>
        <w:t>The Archaeology of Animal Bones</w:t>
      </w:r>
      <w:r w:rsidRPr="00686570">
        <w:rPr>
          <w:rFonts w:ascii="Cambria" w:eastAsia="Times New Roman" w:hAnsi="Cambria" w:cstheme="minorHAnsi"/>
          <w:color w:val="000000"/>
          <w:lang w:eastAsia="en-GB"/>
        </w:rPr>
        <w:t xml:space="preserve">. 2nd ed. [online] </w:t>
      </w:r>
      <w:r w:rsidRPr="00686570">
        <w:rPr>
          <w:rFonts w:ascii="Cambria" w:eastAsia="Times New Roman" w:hAnsi="Cambria" w:cstheme="minorHAnsi"/>
          <w:i/>
          <w:iCs/>
          <w:color w:val="000000"/>
          <w:lang w:eastAsia="en-GB"/>
        </w:rPr>
        <w:t>Google Books</w:t>
      </w:r>
      <w:r w:rsidRPr="00686570">
        <w:rPr>
          <w:rFonts w:ascii="Cambria" w:eastAsia="Times New Roman" w:hAnsi="Cambria" w:cstheme="minorHAnsi"/>
          <w:color w:val="000000"/>
          <w:lang w:eastAsia="en-GB"/>
        </w:rPr>
        <w:t xml:space="preserve">, Stroud: Sutton Publishing </w:t>
      </w:r>
      <w:r w:rsidR="00DF4BB0" w:rsidRPr="002B4B76">
        <w:rPr>
          <w:rFonts w:ascii="Cambria" w:eastAsia="Times New Roman" w:hAnsi="Cambria" w:cstheme="minorHAnsi"/>
          <w:color w:val="000000"/>
          <w:lang w:eastAsia="en-GB"/>
        </w:rPr>
        <w:t>Limited</w:t>
      </w:r>
      <w:r w:rsidRPr="00686570">
        <w:rPr>
          <w:rFonts w:ascii="Cambria" w:eastAsia="Times New Roman" w:hAnsi="Cambria" w:cstheme="minorHAnsi"/>
          <w:color w:val="000000"/>
          <w:lang w:eastAsia="en-GB"/>
        </w:rPr>
        <w:t>, pp.54–57. Available at: https://books.google.co.uk/books?id=kzVpgrMQcJsC&amp;printsec=frontcover#v=onepage&amp;q&amp;f=false [Accessed 19 Feb. 2023].</w:t>
      </w:r>
    </w:p>
    <w:p w14:paraId="24054539" w14:textId="77777777" w:rsidR="00686570" w:rsidRPr="00686570" w:rsidRDefault="00686570" w:rsidP="002B4B76">
      <w:pPr>
        <w:shd w:val="clear" w:color="auto" w:fill="FFFFFF"/>
        <w:spacing w:after="0" w:line="360" w:lineRule="auto"/>
        <w:rPr>
          <w:rFonts w:ascii="Cambria" w:eastAsia="Times New Roman" w:hAnsi="Cambria" w:cs="Times New Roman"/>
          <w:color w:val="000000"/>
          <w:sz w:val="24"/>
          <w:szCs w:val="24"/>
          <w:lang w:eastAsia="en-GB"/>
        </w:rPr>
      </w:pPr>
      <w:r w:rsidRPr="00686570">
        <w:rPr>
          <w:rFonts w:ascii="Cambria" w:eastAsia="Times New Roman" w:hAnsi="Cambria" w:cs="Times New Roman"/>
          <w:color w:val="000000"/>
          <w:sz w:val="24"/>
          <w:szCs w:val="24"/>
          <w:lang w:eastAsia="en-GB"/>
        </w:rPr>
        <w:t>‌</w:t>
      </w:r>
    </w:p>
    <w:p w14:paraId="350B36E3" w14:textId="77777777" w:rsidR="00686570" w:rsidRPr="002B4B76" w:rsidRDefault="00686570" w:rsidP="002B4B76">
      <w:pPr>
        <w:spacing w:line="360" w:lineRule="auto"/>
        <w:jc w:val="center"/>
        <w:rPr>
          <w:rFonts w:ascii="Cambria" w:hAnsi="Cambria"/>
        </w:rPr>
      </w:pPr>
    </w:p>
    <w:sectPr w:rsidR="00686570" w:rsidRPr="002B4B76">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C72E4" w14:textId="77777777" w:rsidR="008033E8" w:rsidRDefault="008033E8" w:rsidP="00DF2400">
      <w:pPr>
        <w:spacing w:after="0" w:line="240" w:lineRule="auto"/>
      </w:pPr>
      <w:r>
        <w:separator/>
      </w:r>
    </w:p>
  </w:endnote>
  <w:endnote w:type="continuationSeparator" w:id="0">
    <w:p w14:paraId="4ACCDFDD" w14:textId="77777777" w:rsidR="008033E8" w:rsidRDefault="008033E8" w:rsidP="00DF2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A37BA" w14:textId="77777777" w:rsidR="008033E8" w:rsidRDefault="008033E8" w:rsidP="00DF2400">
      <w:pPr>
        <w:spacing w:after="0" w:line="240" w:lineRule="auto"/>
      </w:pPr>
      <w:r>
        <w:separator/>
      </w:r>
    </w:p>
  </w:footnote>
  <w:footnote w:type="continuationSeparator" w:id="0">
    <w:p w14:paraId="7E02BEF3" w14:textId="77777777" w:rsidR="008033E8" w:rsidRDefault="008033E8" w:rsidP="00DF24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61E2D" w14:textId="0080C702" w:rsidR="00DF2400" w:rsidRDefault="00DF2400">
    <w:pPr>
      <w:pStyle w:val="Header"/>
    </w:pPr>
    <w:r>
      <w:t>Cleo Harris</w:t>
    </w:r>
  </w:p>
  <w:p w14:paraId="675F4BF3" w14:textId="4C88C1D0" w:rsidR="00DF2400" w:rsidRDefault="00DF2400">
    <w:pPr>
      <w:pStyle w:val="Header"/>
    </w:pPr>
    <w:r>
      <w:t>2004275</w:t>
    </w:r>
  </w:p>
  <w:p w14:paraId="358022ED" w14:textId="77777777" w:rsidR="00DF2400" w:rsidRDefault="00DF24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3732AD"/>
    <w:multiLevelType w:val="hybridMultilevel"/>
    <w:tmpl w:val="F968CEF2"/>
    <w:lvl w:ilvl="0" w:tplc="89A64712">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F8336B"/>
    <w:multiLevelType w:val="hybridMultilevel"/>
    <w:tmpl w:val="0E986234"/>
    <w:lvl w:ilvl="0" w:tplc="53E6261A">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4656422">
    <w:abstractNumId w:val="1"/>
  </w:num>
  <w:num w:numId="2" w16cid:durableId="409036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400"/>
    <w:rsid w:val="0003211C"/>
    <w:rsid w:val="00060D5E"/>
    <w:rsid w:val="00107FF9"/>
    <w:rsid w:val="001813CB"/>
    <w:rsid w:val="002B4B76"/>
    <w:rsid w:val="0053179E"/>
    <w:rsid w:val="00626EC3"/>
    <w:rsid w:val="00686570"/>
    <w:rsid w:val="006D2D38"/>
    <w:rsid w:val="00801084"/>
    <w:rsid w:val="008033E8"/>
    <w:rsid w:val="008974E0"/>
    <w:rsid w:val="00974FBD"/>
    <w:rsid w:val="00A33C35"/>
    <w:rsid w:val="00B94CED"/>
    <w:rsid w:val="00C43912"/>
    <w:rsid w:val="00CB7E19"/>
    <w:rsid w:val="00D22D25"/>
    <w:rsid w:val="00DF2400"/>
    <w:rsid w:val="00DF4BB0"/>
    <w:rsid w:val="00EF276D"/>
    <w:rsid w:val="00FB0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13859"/>
  <w15:chartTrackingRefBased/>
  <w15:docId w15:val="{74C8ACEA-EBAF-4992-B089-A67922C54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4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24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2400"/>
  </w:style>
  <w:style w:type="paragraph" w:styleId="Footer">
    <w:name w:val="footer"/>
    <w:basedOn w:val="Normal"/>
    <w:link w:val="FooterChar"/>
    <w:uiPriority w:val="99"/>
    <w:unhideWhenUsed/>
    <w:rsid w:val="00DF24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2400"/>
  </w:style>
  <w:style w:type="paragraph" w:styleId="Caption">
    <w:name w:val="caption"/>
    <w:basedOn w:val="Normal"/>
    <w:next w:val="Normal"/>
    <w:uiPriority w:val="35"/>
    <w:unhideWhenUsed/>
    <w:qFormat/>
    <w:rsid w:val="00801084"/>
    <w:pPr>
      <w:spacing w:after="200" w:line="240" w:lineRule="auto"/>
    </w:pPr>
    <w:rPr>
      <w:i/>
      <w:iCs/>
      <w:color w:val="44546A" w:themeColor="text2"/>
      <w:sz w:val="18"/>
      <w:szCs w:val="18"/>
    </w:rPr>
  </w:style>
  <w:style w:type="paragraph" w:styleId="ListParagraph">
    <w:name w:val="List Paragraph"/>
    <w:basedOn w:val="Normal"/>
    <w:uiPriority w:val="34"/>
    <w:qFormat/>
    <w:rsid w:val="00EF276D"/>
    <w:pPr>
      <w:ind w:left="720"/>
      <w:contextualSpacing/>
    </w:pPr>
  </w:style>
  <w:style w:type="paragraph" w:styleId="NormalWeb">
    <w:name w:val="Normal (Web)"/>
    <w:basedOn w:val="Normal"/>
    <w:uiPriority w:val="99"/>
    <w:semiHidden/>
    <w:unhideWhenUsed/>
    <w:rsid w:val="0068657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542679">
      <w:bodyDiv w:val="1"/>
      <w:marLeft w:val="0"/>
      <w:marRight w:val="0"/>
      <w:marTop w:val="0"/>
      <w:marBottom w:val="0"/>
      <w:divBdr>
        <w:top w:val="none" w:sz="0" w:space="0" w:color="auto"/>
        <w:left w:val="none" w:sz="0" w:space="0" w:color="auto"/>
        <w:bottom w:val="none" w:sz="0" w:space="0" w:color="auto"/>
        <w:right w:val="none" w:sz="0" w:space="0" w:color="auto"/>
      </w:divBdr>
      <w:divsChild>
        <w:div w:id="653796959">
          <w:marLeft w:val="0"/>
          <w:marRight w:val="0"/>
          <w:marTop w:val="0"/>
          <w:marBottom w:val="0"/>
          <w:divBdr>
            <w:top w:val="none" w:sz="0" w:space="0" w:color="auto"/>
            <w:left w:val="none" w:sz="0" w:space="0" w:color="auto"/>
            <w:bottom w:val="none" w:sz="0" w:space="0" w:color="auto"/>
            <w:right w:val="none" w:sz="0" w:space="0" w:color="auto"/>
          </w:divBdr>
          <w:divsChild>
            <w:div w:id="1745177970">
              <w:marLeft w:val="0"/>
              <w:marRight w:val="0"/>
              <w:marTop w:val="0"/>
              <w:marBottom w:val="0"/>
              <w:divBdr>
                <w:top w:val="none" w:sz="0" w:space="0" w:color="auto"/>
                <w:left w:val="none" w:sz="0" w:space="0" w:color="auto"/>
                <w:bottom w:val="none" w:sz="0" w:space="0" w:color="auto"/>
                <w:right w:val="none" w:sz="0" w:space="0" w:color="auto"/>
              </w:divBdr>
              <w:divsChild>
                <w:div w:id="156729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050229">
      <w:bodyDiv w:val="1"/>
      <w:marLeft w:val="0"/>
      <w:marRight w:val="0"/>
      <w:marTop w:val="0"/>
      <w:marBottom w:val="0"/>
      <w:divBdr>
        <w:top w:val="none" w:sz="0" w:space="0" w:color="auto"/>
        <w:left w:val="none" w:sz="0" w:space="0" w:color="auto"/>
        <w:bottom w:val="none" w:sz="0" w:space="0" w:color="auto"/>
        <w:right w:val="none" w:sz="0" w:space="0" w:color="auto"/>
      </w:divBdr>
      <w:divsChild>
        <w:div w:id="82802625">
          <w:marLeft w:val="0"/>
          <w:marRight w:val="0"/>
          <w:marTop w:val="0"/>
          <w:marBottom w:val="0"/>
          <w:divBdr>
            <w:top w:val="none" w:sz="0" w:space="0" w:color="auto"/>
            <w:left w:val="none" w:sz="0" w:space="0" w:color="auto"/>
            <w:bottom w:val="none" w:sz="0" w:space="0" w:color="auto"/>
            <w:right w:val="none" w:sz="0" w:space="0" w:color="auto"/>
          </w:divBdr>
          <w:divsChild>
            <w:div w:id="829297709">
              <w:marLeft w:val="0"/>
              <w:marRight w:val="0"/>
              <w:marTop w:val="0"/>
              <w:marBottom w:val="0"/>
              <w:divBdr>
                <w:top w:val="none" w:sz="0" w:space="0" w:color="auto"/>
                <w:left w:val="none" w:sz="0" w:space="0" w:color="auto"/>
                <w:bottom w:val="none" w:sz="0" w:space="0" w:color="auto"/>
                <w:right w:val="none" w:sz="0" w:space="0" w:color="auto"/>
              </w:divBdr>
              <w:divsChild>
                <w:div w:id="60299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788338">
      <w:bodyDiv w:val="1"/>
      <w:marLeft w:val="0"/>
      <w:marRight w:val="0"/>
      <w:marTop w:val="0"/>
      <w:marBottom w:val="0"/>
      <w:divBdr>
        <w:top w:val="none" w:sz="0" w:space="0" w:color="auto"/>
        <w:left w:val="none" w:sz="0" w:space="0" w:color="auto"/>
        <w:bottom w:val="none" w:sz="0" w:space="0" w:color="auto"/>
        <w:right w:val="none" w:sz="0" w:space="0" w:color="auto"/>
      </w:divBdr>
      <w:divsChild>
        <w:div w:id="1584272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749AD-8713-456D-8A87-5D916461B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3</Pages>
  <Words>648</Words>
  <Characters>3697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Cleo Harris</dc:creator>
  <cp:keywords/>
  <dc:description/>
  <cp:lastModifiedBy>Cleo Harris</cp:lastModifiedBy>
  <cp:revision>5</cp:revision>
  <dcterms:created xsi:type="dcterms:W3CDTF">2023-02-23T14:33:00Z</dcterms:created>
  <dcterms:modified xsi:type="dcterms:W3CDTF">2023-02-23T17:57:00Z</dcterms:modified>
</cp:coreProperties>
</file>