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08F" w:rsidRDefault="008574AC" w:rsidP="00B14A99">
      <w:pPr>
        <w:spacing w:line="276" w:lineRule="auto"/>
        <w:rPr>
          <w:rFonts w:ascii="Arial Rounded MT Bold" w:hAnsi="Arial Rounded MT Bold" w:cstheme="minorHAnsi"/>
          <w:sz w:val="18"/>
          <w:szCs w:val="18"/>
        </w:rPr>
      </w:pPr>
      <w:r w:rsidRPr="008574AC">
        <w:rPr>
          <w:rFonts w:ascii="Arial Rounded MT Bold" w:hAnsi="Arial Rounded MT Bold" w:cstheme="minorHAnsi"/>
          <w:noProof/>
          <w:sz w:val="18"/>
          <w:szCs w:val="18"/>
        </w:rPr>
        <w:drawing>
          <wp:anchor distT="0" distB="0" distL="114300" distR="114300" simplePos="0" relativeHeight="251665408" behindDoc="1" locked="0" layoutInCell="1" allowOverlap="1" wp14:anchorId="452ED45D">
            <wp:simplePos x="0" y="0"/>
            <wp:positionH relativeFrom="column">
              <wp:posOffset>4239260</wp:posOffset>
            </wp:positionH>
            <wp:positionV relativeFrom="paragraph">
              <wp:posOffset>173</wp:posOffset>
            </wp:positionV>
            <wp:extent cx="1108710" cy="1104265"/>
            <wp:effectExtent l="0" t="0" r="0" b="635"/>
            <wp:wrapTight wrapText="bothSides">
              <wp:wrapPolygon edited="0">
                <wp:start x="16701" y="0"/>
                <wp:lineTo x="0" y="4099"/>
                <wp:lineTo x="0" y="6707"/>
                <wp:lineTo x="1856" y="11924"/>
                <wp:lineTo x="2227" y="13415"/>
                <wp:lineTo x="10021" y="17886"/>
                <wp:lineTo x="12619" y="18631"/>
                <wp:lineTo x="15588" y="21240"/>
                <wp:lineTo x="16701" y="21240"/>
                <wp:lineTo x="19299" y="21240"/>
                <wp:lineTo x="21155" y="21240"/>
                <wp:lineTo x="21155" y="16396"/>
                <wp:lineTo x="17814" y="11924"/>
                <wp:lineTo x="18557" y="5962"/>
                <wp:lineTo x="18557" y="0"/>
                <wp:lineTo x="16701" y="0"/>
              </wp:wrapPolygon>
            </wp:wrapTight>
            <wp:docPr id="1026" name="Picture 2" descr="Image result for bereavement&quot;">
              <a:extLst xmlns:a="http://schemas.openxmlformats.org/drawingml/2006/main">
                <a:ext uri="{FF2B5EF4-FFF2-40B4-BE49-F238E27FC236}">
                  <a16:creationId xmlns:a16="http://schemas.microsoft.com/office/drawing/2014/main" id="{C71AD02E-D7A9-4F80-B349-25829942AC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bereavement&quot;">
                      <a:extLst>
                        <a:ext uri="{FF2B5EF4-FFF2-40B4-BE49-F238E27FC236}">
                          <a16:creationId xmlns:a16="http://schemas.microsoft.com/office/drawing/2014/main" id="{C71AD02E-D7A9-4F80-B349-25829942AC07}"/>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8710" cy="1104265"/>
                    </a:xfrm>
                    <a:prstGeom prst="rect">
                      <a:avLst/>
                    </a:prstGeom>
                    <a:noFill/>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23684FCD" wp14:editId="73CA302E">
                <wp:simplePos x="0" y="0"/>
                <wp:positionH relativeFrom="column">
                  <wp:posOffset>-297180</wp:posOffset>
                </wp:positionH>
                <wp:positionV relativeFrom="paragraph">
                  <wp:posOffset>528</wp:posOffset>
                </wp:positionV>
                <wp:extent cx="4820920" cy="1017905"/>
                <wp:effectExtent l="0" t="0" r="0" b="0"/>
                <wp:wrapTight wrapText="bothSides">
                  <wp:wrapPolygon edited="0">
                    <wp:start x="171" y="0"/>
                    <wp:lineTo x="171" y="21021"/>
                    <wp:lineTo x="21338" y="21021"/>
                    <wp:lineTo x="21338" y="0"/>
                    <wp:lineTo x="171" y="0"/>
                  </wp:wrapPolygon>
                </wp:wrapTight>
                <wp:docPr id="2" name="Text Box 2"/>
                <wp:cNvGraphicFramePr/>
                <a:graphic xmlns:a="http://schemas.openxmlformats.org/drawingml/2006/main">
                  <a:graphicData uri="http://schemas.microsoft.com/office/word/2010/wordprocessingShape">
                    <wps:wsp>
                      <wps:cNvSpPr txBox="1"/>
                      <wps:spPr>
                        <a:xfrm>
                          <a:off x="0" y="0"/>
                          <a:ext cx="4820920" cy="1017905"/>
                        </a:xfrm>
                        <a:prstGeom prst="rect">
                          <a:avLst/>
                        </a:prstGeom>
                        <a:noFill/>
                        <a:ln>
                          <a:noFill/>
                        </a:ln>
                      </wps:spPr>
                      <wps:txbx>
                        <w:txbxContent>
                          <w:p w:rsidR="00B7408F" w:rsidRPr="00EB4A87" w:rsidRDefault="005A727C" w:rsidP="00B7408F">
                            <w:pPr>
                              <w:spacing w:line="360" w:lineRule="auto"/>
                              <w:jc w:val="center"/>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B4A87">
                              <w:rPr>
                                <w:rFonts w:ascii="Arial Rounded MT Bold" w:hAnsi="Arial Rounded MT Bold" w:cstheme="minorHAnsi"/>
                                <w:color w:val="FF000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Bereavement</w:t>
                            </w:r>
                            <w:r w:rsidRPr="00EB4A87">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84FCD" id="_x0000_t202" coordsize="21600,21600" o:spt="202" path="m,l,21600r21600,l21600,xe">
                <v:stroke joinstyle="miter"/>
                <v:path gradientshapeok="t" o:connecttype="rect"/>
              </v:shapetype>
              <v:shape id="Text Box 2" o:spid="_x0000_s1026" type="#_x0000_t202" style="position:absolute;margin-left:-23.4pt;margin-top:.05pt;width:379.6pt;height:8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" filled="f" stroked="f">
                <v:textbox>
                  <w:txbxContent>
                    <w:p w:rsidR="00B7408F" w:rsidRPr="00EB4A87" w:rsidRDefault="005A727C" w:rsidP="00B7408F">
                      <w:pPr>
                        <w:spacing w:line="360" w:lineRule="auto"/>
                        <w:jc w:val="center"/>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B4A87">
                        <w:rPr>
                          <w:rFonts w:ascii="Arial Rounded MT Bold" w:hAnsi="Arial Rounded MT Bold" w:cstheme="minorHAnsi"/>
                          <w:color w:val="FF000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Bereavement</w:t>
                      </w:r>
                      <w:r w:rsidRPr="00EB4A87">
                        <w:rPr>
                          <w:rFonts w:ascii="Arial Rounded MT Bold" w:hAnsi="Arial Rounded MT Bold" w:cstheme="minorHAnsi"/>
                          <w:color w:val="00B050"/>
                          <w:sz w:val="96"/>
                          <w:szCs w:val="72"/>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txbxContent>
                </v:textbox>
                <w10:wrap type="tight"/>
              </v:shape>
            </w:pict>
          </mc:Fallback>
        </mc:AlternateContent>
      </w:r>
    </w:p>
    <w:p w:rsidR="008574AC" w:rsidRDefault="008574AC" w:rsidP="00B14A99">
      <w:pPr>
        <w:spacing w:line="276" w:lineRule="auto"/>
        <w:rPr>
          <w:rFonts w:ascii="Arial Rounded MT Bold" w:hAnsi="Arial Rounded MT Bold" w:cstheme="minorHAnsi"/>
          <w:color w:val="FF0000"/>
          <w:sz w:val="18"/>
          <w:szCs w:val="18"/>
          <w:u w:val="single"/>
        </w:rPr>
      </w:pPr>
    </w:p>
    <w:p w:rsidR="008574AC" w:rsidRDefault="008574AC" w:rsidP="00B14A99">
      <w:pPr>
        <w:spacing w:line="276" w:lineRule="auto"/>
        <w:rPr>
          <w:rFonts w:ascii="Arial Rounded MT Bold" w:hAnsi="Arial Rounded MT Bold" w:cstheme="minorHAnsi"/>
          <w:color w:val="000000" w:themeColor="text1"/>
          <w:sz w:val="18"/>
          <w:szCs w:val="18"/>
        </w:rPr>
      </w:pPr>
    </w:p>
    <w:p w:rsidR="008574AC" w:rsidRDefault="008574AC" w:rsidP="00B14A99">
      <w:pPr>
        <w:spacing w:line="276" w:lineRule="auto"/>
        <w:rPr>
          <w:rFonts w:ascii="Arial Rounded MT Bold" w:hAnsi="Arial Rounded MT Bold" w:cstheme="minorHAnsi"/>
          <w:color w:val="000000" w:themeColor="text1"/>
          <w:sz w:val="18"/>
          <w:szCs w:val="18"/>
        </w:rPr>
      </w:pPr>
    </w:p>
    <w:p w:rsidR="0001397A" w:rsidRPr="008574AC" w:rsidRDefault="0001397A" w:rsidP="00B14A99">
      <w:pPr>
        <w:spacing w:line="276" w:lineRule="auto"/>
        <w:rPr>
          <w:rFonts w:ascii="Arial Rounded MT Bold" w:hAnsi="Arial Rounded MT Bold"/>
          <w:sz w:val="18"/>
          <w:szCs w:val="18"/>
        </w:rPr>
      </w:pPr>
      <w:r w:rsidRPr="00B7408F">
        <w:rPr>
          <w:rFonts w:ascii="Arial Rounded MT Bold" w:hAnsi="Arial Rounded MT Bold" w:cstheme="minorHAnsi"/>
          <w:color w:val="000000" w:themeColor="text1"/>
          <w:sz w:val="18"/>
          <w:szCs w:val="18"/>
        </w:rPr>
        <w:t>During later life, bereavement of a spouse is a common event that everybody will experience and is a significant source of psychiatric morbidity. Depression, anxiety and “complicated” grief are the most common symptoms among spousal bereavement</w:t>
      </w:r>
      <w:r>
        <w:rPr>
          <w:rFonts w:ascii="Arial Rounded MT Bold" w:hAnsi="Arial Rounded MT Bold" w:cstheme="minorHAnsi"/>
          <w:color w:val="000000" w:themeColor="text1"/>
          <w:sz w:val="18"/>
          <w:szCs w:val="18"/>
        </w:rPr>
        <w:t xml:space="preserve">. </w:t>
      </w:r>
      <w:r w:rsidRPr="00B7408F">
        <w:rPr>
          <w:rFonts w:ascii="Arial Rounded MT Bold" w:hAnsi="Arial Rounded MT Bold" w:cstheme="minorHAnsi"/>
          <w:color w:val="000000" w:themeColor="text1"/>
          <w:sz w:val="18"/>
          <w:szCs w:val="18"/>
          <w:shd w:val="clear" w:color="auto" w:fill="FFFFFF"/>
        </w:rPr>
        <w:t>A study by Williams, Sawyer, Allman &amp; Roseman (2007) revealed that over a 2.5-year period, around 70% of elderly adults suffered a bereavement.  In addition, the most common form of bereavement is spousal, however, the biggest proportion of losses among elderly adults are the losses of friends or siblings.</w:t>
      </w:r>
      <w:r>
        <w:rPr>
          <w:rFonts w:ascii="Arial Rounded MT Bold" w:hAnsi="Arial Rounded MT Bold" w:cstheme="minorHAnsi"/>
          <w:color w:val="000000" w:themeColor="text1"/>
          <w:sz w:val="18"/>
          <w:szCs w:val="18"/>
          <w:shd w:val="clear" w:color="auto" w:fill="FFFFFF"/>
        </w:rPr>
        <w:t xml:space="preserve"> The theories mentioned throughout this briefing report are the</w:t>
      </w:r>
      <w:r w:rsidR="00580FCA">
        <w:rPr>
          <w:rFonts w:ascii="Arial Rounded MT Bold" w:hAnsi="Arial Rounded MT Bold" w:cstheme="minorHAnsi"/>
          <w:color w:val="000000" w:themeColor="text1"/>
          <w:sz w:val="18"/>
          <w:szCs w:val="18"/>
          <w:shd w:val="clear" w:color="auto" w:fill="FFFFFF"/>
        </w:rPr>
        <w:t xml:space="preserve"> Kubler-ross model (1969),  </w:t>
      </w:r>
      <w:r w:rsidR="00610C65">
        <w:rPr>
          <w:rFonts w:ascii="Arial Rounded MT Bold" w:hAnsi="Arial Rounded MT Bold" w:cstheme="minorHAnsi"/>
          <w:color w:val="000000" w:themeColor="text1"/>
          <w:sz w:val="18"/>
          <w:szCs w:val="18"/>
          <w:shd w:val="clear" w:color="auto" w:fill="FFFFFF"/>
        </w:rPr>
        <w:t>illustrative images such as the grief wheel</w:t>
      </w:r>
      <w:r w:rsidR="00942716">
        <w:rPr>
          <w:rFonts w:ascii="Arial Rounded MT Bold" w:hAnsi="Arial Rounded MT Bold" w:cstheme="minorHAnsi"/>
          <w:color w:val="000000" w:themeColor="text1"/>
          <w:sz w:val="18"/>
          <w:szCs w:val="18"/>
          <w:shd w:val="clear" w:color="auto" w:fill="FFFFFF"/>
        </w:rPr>
        <w:t>,</w:t>
      </w:r>
      <w:r w:rsidR="008574AC">
        <w:rPr>
          <w:rFonts w:ascii="Arial Rounded MT Bold" w:hAnsi="Arial Rounded MT Bold" w:cstheme="minorHAnsi"/>
          <w:color w:val="000000" w:themeColor="text1"/>
          <w:sz w:val="18"/>
          <w:szCs w:val="18"/>
          <w:shd w:val="clear" w:color="auto" w:fill="FFFFFF"/>
        </w:rPr>
        <w:t xml:space="preserve"> the theory of attachment (Bowlby, 1961)</w:t>
      </w:r>
      <w:r w:rsidR="00942716">
        <w:rPr>
          <w:rFonts w:ascii="Arial Rounded MT Bold" w:hAnsi="Arial Rounded MT Bold" w:cstheme="minorHAnsi"/>
          <w:color w:val="000000" w:themeColor="text1"/>
          <w:sz w:val="18"/>
          <w:szCs w:val="18"/>
          <w:shd w:val="clear" w:color="auto" w:fill="FFFFFF"/>
        </w:rPr>
        <w:t xml:space="preserve"> and the </w:t>
      </w:r>
      <w:r w:rsidR="00942716" w:rsidRPr="00B7408F">
        <w:rPr>
          <w:rFonts w:ascii="Arial Rounded MT Bold" w:hAnsi="Arial Rounded MT Bold" w:cs="Arial"/>
          <w:sz w:val="18"/>
          <w:szCs w:val="18"/>
        </w:rPr>
        <w:t xml:space="preserve">dual process model (Strobe and </w:t>
      </w:r>
      <w:proofErr w:type="spellStart"/>
      <w:r w:rsidR="00942716" w:rsidRPr="00B7408F">
        <w:rPr>
          <w:rFonts w:ascii="Arial Rounded MT Bold" w:hAnsi="Arial Rounded MT Bold" w:cs="Arial"/>
          <w:sz w:val="18"/>
          <w:szCs w:val="18"/>
        </w:rPr>
        <w:t>Schut</w:t>
      </w:r>
      <w:proofErr w:type="spellEnd"/>
      <w:r w:rsidR="00942716" w:rsidRPr="00B7408F">
        <w:rPr>
          <w:rFonts w:ascii="Arial Rounded MT Bold" w:hAnsi="Arial Rounded MT Bold" w:cs="Arial"/>
          <w:sz w:val="18"/>
          <w:szCs w:val="18"/>
        </w:rPr>
        <w:t>, 1999)</w:t>
      </w:r>
      <w:r w:rsidR="00942716">
        <w:rPr>
          <w:rFonts w:ascii="Arial Rounded MT Bold" w:hAnsi="Arial Rounded MT Bold" w:cs="Arial"/>
          <w:sz w:val="18"/>
          <w:szCs w:val="18"/>
        </w:rPr>
        <w:t xml:space="preserve">. </w:t>
      </w:r>
      <w:r w:rsidR="008574AC">
        <w:rPr>
          <w:rFonts w:ascii="Arial Rounded MT Bold" w:hAnsi="Arial Rounded MT Bold"/>
          <w:sz w:val="18"/>
          <w:szCs w:val="18"/>
        </w:rPr>
        <w:t xml:space="preserve">According to Hall (2014) no theory or model to bereavement is appropriate for everyone. All therapeutic interventions must be adapted to the individual person, relationship or circumstances that that individual is experiencing at that present time. </w:t>
      </w:r>
    </w:p>
    <w:p w:rsidR="0001397A" w:rsidRPr="008574AC" w:rsidRDefault="00D942D7" w:rsidP="00B14A99">
      <w:pPr>
        <w:spacing w:line="276" w:lineRule="auto"/>
        <w:rPr>
          <w:rFonts w:ascii="Arial Rounded MT Bold" w:hAnsi="Arial Rounded MT Bold" w:cstheme="minorHAnsi"/>
          <w:i/>
          <w:sz w:val="18"/>
          <w:szCs w:val="18"/>
          <w:u w:val="single"/>
        </w:rPr>
      </w:pPr>
      <w:r>
        <w:rPr>
          <w:noProof/>
        </w:rPr>
        <mc:AlternateContent>
          <mc:Choice Requires="wps">
            <w:drawing>
              <wp:anchor distT="0" distB="0" distL="114300" distR="114300" simplePos="0" relativeHeight="251672576" behindDoc="0" locked="0" layoutInCell="1" allowOverlap="1" wp14:anchorId="41AAE3AB" wp14:editId="53ECEB1D">
                <wp:simplePos x="0" y="0"/>
                <wp:positionH relativeFrom="column">
                  <wp:posOffset>-130175</wp:posOffset>
                </wp:positionH>
                <wp:positionV relativeFrom="paragraph">
                  <wp:posOffset>70485</wp:posOffset>
                </wp:positionV>
                <wp:extent cx="1828800" cy="1828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B4A87" w:rsidRPr="00EB4A87" w:rsidRDefault="00EB4A87" w:rsidP="00EB4A87">
                            <w:pPr>
                              <w:spacing w:line="276" w:lineRule="auto"/>
                              <w:jc w:val="center"/>
                              <w:rPr>
                                <w:rFonts w:ascii="Arial Rounded MT Bold" w:hAnsi="Arial Rounded MT Bold"/>
                                <w:noProof/>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AAE3AB" id="Text Box 13" o:spid="_x0000_s1027" type="#_x0000_t202" style="position:absolute;margin-left:-10.25pt;margin-top:5.55pt;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GU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" filled="f" stroked="f">
                <v:textbox style="mso-fit-shape-to-text:t">
                  <w:txbxContent>
                    <w:p w:rsidR="00EB4A87" w:rsidRPr="00EB4A87" w:rsidRDefault="00EB4A87" w:rsidP="00EB4A87">
                      <w:pPr>
                        <w:spacing w:line="276" w:lineRule="auto"/>
                        <w:jc w:val="center"/>
                        <w:rPr>
                          <w:rFonts w:ascii="Arial Rounded MT Bold" w:hAnsi="Arial Rounded MT Bold"/>
                          <w:noProof/>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FF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Introduction</w:t>
                      </w:r>
                    </w:p>
                  </w:txbxContent>
                </v:textbox>
                <w10:wrap type="square"/>
              </v:shape>
            </w:pict>
          </mc:Fallback>
        </mc:AlternateContent>
      </w:r>
    </w:p>
    <w:p w:rsidR="00687E08" w:rsidRPr="00DE228D" w:rsidRDefault="00EB4A87" w:rsidP="00B14A99">
      <w:pPr>
        <w:spacing w:line="276" w:lineRule="auto"/>
        <w:rPr>
          <w:rFonts w:ascii="Arial Rounded MT Bold" w:hAnsi="Arial Rounded MT Bold" w:cstheme="minorHAnsi"/>
          <w:sz w:val="18"/>
          <w:szCs w:val="18"/>
        </w:rPr>
      </w:pPr>
      <w:r w:rsidRPr="008574AC">
        <w:rPr>
          <w:rFonts w:ascii="Arial Rounded MT Bold" w:hAnsi="Arial Rounded MT Bold"/>
          <w:i/>
          <w:noProof/>
          <w:sz w:val="18"/>
          <w:szCs w:val="18"/>
        </w:rPr>
        <w:drawing>
          <wp:anchor distT="0" distB="0" distL="114300" distR="114300" simplePos="0" relativeHeight="251659264" behindDoc="1" locked="0" layoutInCell="1" allowOverlap="1">
            <wp:simplePos x="0" y="0"/>
            <wp:positionH relativeFrom="column">
              <wp:posOffset>188520</wp:posOffset>
            </wp:positionH>
            <wp:positionV relativeFrom="paragraph">
              <wp:posOffset>287168</wp:posOffset>
            </wp:positionV>
            <wp:extent cx="1870710" cy="1870710"/>
            <wp:effectExtent l="0" t="0" r="0" b="0"/>
            <wp:wrapTight wrapText="bothSides">
              <wp:wrapPolygon edited="0">
                <wp:start x="880" y="0"/>
                <wp:lineTo x="0" y="440"/>
                <wp:lineTo x="0" y="20236"/>
                <wp:lineTo x="220" y="21116"/>
                <wp:lineTo x="880" y="21336"/>
                <wp:lineTo x="20456" y="21336"/>
                <wp:lineTo x="21116" y="21116"/>
                <wp:lineTo x="21336" y="20236"/>
                <wp:lineTo x="21336" y="440"/>
                <wp:lineTo x="20456" y="0"/>
                <wp:lineTo x="880" y="0"/>
              </wp:wrapPolygon>
            </wp:wrapTight>
            <wp:docPr id="4" name="Picture 4" descr="holding hands of elderly grieving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lding hands of elderly grieving pers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0710" cy="18707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87E08" w:rsidRPr="00B7408F">
        <w:rPr>
          <w:rFonts w:ascii="Arial Rounded MT Bold" w:hAnsi="Arial Rounded MT Bold" w:cstheme="minorHAnsi"/>
          <w:sz w:val="18"/>
          <w:szCs w:val="18"/>
        </w:rPr>
        <w:t xml:space="preserve">A definition of bereavement by </w:t>
      </w:r>
      <w:proofErr w:type="spellStart"/>
      <w:r w:rsidR="00687E08" w:rsidRPr="00B7408F">
        <w:rPr>
          <w:rFonts w:ascii="Arial Rounded MT Bold" w:hAnsi="Arial Rounded MT Bold" w:cstheme="minorHAnsi"/>
          <w:sz w:val="18"/>
          <w:szCs w:val="18"/>
        </w:rPr>
        <w:t>Stroebe</w:t>
      </w:r>
      <w:proofErr w:type="spellEnd"/>
      <w:r w:rsidR="00687E08" w:rsidRPr="00B7408F">
        <w:rPr>
          <w:rFonts w:ascii="Arial Rounded MT Bold" w:hAnsi="Arial Rounded MT Bold" w:cstheme="minorHAnsi"/>
          <w:sz w:val="18"/>
          <w:szCs w:val="18"/>
        </w:rPr>
        <w:t xml:space="preserve"> et al</w:t>
      </w:r>
      <w:r w:rsidR="00E1443A">
        <w:rPr>
          <w:rFonts w:ascii="Arial Rounded MT Bold" w:hAnsi="Arial Rounded MT Bold" w:cstheme="minorHAnsi"/>
          <w:sz w:val="18"/>
          <w:szCs w:val="18"/>
        </w:rPr>
        <w:t xml:space="preserve">, </w:t>
      </w:r>
      <w:r w:rsidR="00687E08" w:rsidRPr="00B7408F">
        <w:rPr>
          <w:rFonts w:ascii="Arial Rounded MT Bold" w:hAnsi="Arial Rounded MT Bold" w:cstheme="minorHAnsi"/>
          <w:sz w:val="18"/>
          <w:szCs w:val="18"/>
        </w:rPr>
        <w:t>(1993) states that bereavement is a feeling of loss which triggers a reaction known as grief that displays a collection of actions known as mourning.</w:t>
      </w:r>
      <w:r w:rsidR="00DE228D" w:rsidRPr="00DE228D">
        <w:rPr>
          <w:rFonts w:ascii="Arial Rounded MT Bold" w:hAnsi="Arial Rounded MT Bold" w:cstheme="minorHAnsi"/>
          <w:sz w:val="18"/>
          <w:szCs w:val="18"/>
        </w:rPr>
        <w:t xml:space="preserve"> According to Shapiro (2001), the first ever theoretical contribution was given by Freud (1957) in his research called “Mourning and Melancholia” and he made a significant impact on professional intervention for almost half a century. Sometime later, several theorist which specialist in grief and bereavement described grief as a person going through a set of predicable set of stages</w:t>
      </w:r>
      <w:r w:rsidR="00DE228D">
        <w:rPr>
          <w:rFonts w:ascii="Arial Rounded MT Bold" w:hAnsi="Arial Rounded MT Bold" w:cstheme="minorHAnsi"/>
          <w:sz w:val="18"/>
          <w:szCs w:val="18"/>
        </w:rPr>
        <w:t xml:space="preserve"> (</w:t>
      </w:r>
      <w:r w:rsidR="00DE228D" w:rsidRPr="00DE228D">
        <w:rPr>
          <w:rFonts w:ascii="Arial Rounded MT Bold" w:hAnsi="Arial Rounded MT Bold" w:cstheme="minorHAnsi"/>
          <w:sz w:val="18"/>
          <w:szCs w:val="18"/>
        </w:rPr>
        <w:t>Kübler-Ross, 1969; Bowlby, 1980; Parkes &amp; Weiss, 1983).</w:t>
      </w:r>
    </w:p>
    <w:p w:rsidR="00687E08" w:rsidRDefault="00687E08" w:rsidP="00B14A99">
      <w:pPr>
        <w:spacing w:line="276" w:lineRule="auto"/>
        <w:rPr>
          <w:rFonts w:ascii="Arial Rounded MT Bold" w:hAnsi="Arial Rounded MT Bold" w:cstheme="minorHAnsi"/>
          <w:sz w:val="18"/>
          <w:szCs w:val="18"/>
        </w:rPr>
      </w:pPr>
      <w:r w:rsidRPr="00B7408F">
        <w:rPr>
          <w:rFonts w:ascii="Arial Rounded MT Bold" w:hAnsi="Arial Rounded MT Bold" w:cstheme="minorHAnsi"/>
          <w:sz w:val="18"/>
          <w:szCs w:val="18"/>
        </w:rPr>
        <w:t>Elderly adults are particularly susceptible to symptoms such as depression, partially due to internal factors related to the development of ageing. During some point of an elderly person’s life, their spouse may pass away, leaving the elderly person bereaved</w:t>
      </w:r>
      <w:r w:rsidR="00DF7DE1">
        <w:rPr>
          <w:rFonts w:ascii="Arial Rounded MT Bold" w:hAnsi="Arial Rounded MT Bold" w:cstheme="minorHAnsi"/>
          <w:sz w:val="18"/>
          <w:szCs w:val="18"/>
        </w:rPr>
        <w:t xml:space="preserve"> </w:t>
      </w:r>
      <w:r w:rsidRPr="00B7408F">
        <w:rPr>
          <w:rFonts w:ascii="Arial Rounded MT Bold" w:hAnsi="Arial Rounded MT Bold" w:cstheme="minorHAnsi"/>
          <w:sz w:val="18"/>
          <w:szCs w:val="18"/>
        </w:rPr>
        <w:t>(</w:t>
      </w:r>
      <w:r w:rsidRPr="00B7408F">
        <w:rPr>
          <w:rFonts w:ascii="Arial Rounded MT Bold" w:hAnsi="Arial Rounded MT Bold" w:cstheme="minorHAnsi"/>
          <w:sz w:val="18"/>
          <w:szCs w:val="18"/>
          <w:shd w:val="clear" w:color="auto" w:fill="FFFFFF"/>
        </w:rPr>
        <w:t xml:space="preserve">Rosenzweig, </w:t>
      </w:r>
      <w:proofErr w:type="spellStart"/>
      <w:r w:rsidRPr="00B7408F">
        <w:rPr>
          <w:rFonts w:ascii="Arial Rounded MT Bold" w:hAnsi="Arial Rounded MT Bold" w:cstheme="minorHAnsi"/>
          <w:sz w:val="18"/>
          <w:szCs w:val="18"/>
          <w:shd w:val="clear" w:color="auto" w:fill="FFFFFF"/>
        </w:rPr>
        <w:t>Prigerson</w:t>
      </w:r>
      <w:proofErr w:type="spellEnd"/>
      <w:r w:rsidRPr="00B7408F">
        <w:rPr>
          <w:rFonts w:ascii="Arial Rounded MT Bold" w:hAnsi="Arial Rounded MT Bold" w:cstheme="minorHAnsi"/>
          <w:sz w:val="18"/>
          <w:szCs w:val="18"/>
          <w:shd w:val="clear" w:color="auto" w:fill="FFFFFF"/>
        </w:rPr>
        <w:t>, Miller &amp; Reynolds III, 1997)</w:t>
      </w:r>
      <w:r w:rsidRPr="00B7408F">
        <w:rPr>
          <w:rFonts w:ascii="Arial Rounded MT Bold" w:hAnsi="Arial Rounded MT Bold" w:cstheme="minorHAnsi"/>
          <w:sz w:val="18"/>
          <w:szCs w:val="18"/>
        </w:rPr>
        <w:t xml:space="preserve">. The way a person deals with bereavement may be influenced by individual factors such as faith, ethnicity, personality, the association with the deceased individual or the way the person died. </w:t>
      </w:r>
    </w:p>
    <w:p w:rsidR="008574AC" w:rsidRDefault="00942716" w:rsidP="00B14A99">
      <w:pPr>
        <w:spacing w:line="276" w:lineRule="auto"/>
        <w:rPr>
          <w:rFonts w:ascii="Arial Rounded MT Bold" w:hAnsi="Arial Rounded MT Bold" w:cstheme="minorHAnsi"/>
          <w:color w:val="FF0000"/>
          <w:sz w:val="18"/>
          <w:szCs w:val="18"/>
        </w:rPr>
      </w:pPr>
      <w:r>
        <w:rPr>
          <w:rFonts w:ascii="Arial Rounded MT Bold" w:hAnsi="Arial Rounded MT Bold" w:cstheme="minorHAnsi"/>
          <w:sz w:val="18"/>
          <w:szCs w:val="18"/>
        </w:rPr>
        <w:t>E</w:t>
      </w:r>
      <w:r w:rsidR="003644F2" w:rsidRPr="003644F2">
        <w:rPr>
          <w:rFonts w:ascii="Arial Rounded MT Bold" w:hAnsi="Arial Rounded MT Bold" w:cstheme="minorHAnsi"/>
          <w:sz w:val="18"/>
          <w:szCs w:val="18"/>
        </w:rPr>
        <w:t>lderly adults</w:t>
      </w:r>
      <w:r>
        <w:rPr>
          <w:rFonts w:ascii="Arial Rounded MT Bold" w:hAnsi="Arial Rounded MT Bold" w:cstheme="minorHAnsi"/>
          <w:sz w:val="18"/>
          <w:szCs w:val="18"/>
        </w:rPr>
        <w:t xml:space="preserve"> are the most common age group to suffer from a bereavement</w:t>
      </w:r>
      <w:r w:rsidR="00AE0F7F" w:rsidRPr="003644F2">
        <w:rPr>
          <w:rFonts w:ascii="Arial Rounded MT Bold" w:hAnsi="Arial Rounded MT Bold" w:cstheme="minorHAnsi"/>
          <w:sz w:val="18"/>
          <w:szCs w:val="18"/>
        </w:rPr>
        <w:t xml:space="preserve">. A study </w:t>
      </w:r>
      <w:r w:rsidR="003644F2" w:rsidRPr="003644F2">
        <w:rPr>
          <w:rFonts w:ascii="Arial Rounded MT Bold" w:hAnsi="Arial Rounded MT Bold" w:cstheme="minorHAnsi"/>
          <w:sz w:val="18"/>
          <w:szCs w:val="18"/>
        </w:rPr>
        <w:t>by Williams, Sawyer, Allman &amp; Roseman (2007) discovered that in</w:t>
      </w:r>
      <w:r w:rsidR="00AE0F7F" w:rsidRPr="003644F2">
        <w:rPr>
          <w:rFonts w:ascii="Arial Rounded MT Bold" w:hAnsi="Arial Rounded MT Bold" w:cstheme="minorHAnsi"/>
          <w:sz w:val="18"/>
          <w:szCs w:val="18"/>
        </w:rPr>
        <w:t xml:space="preserve"> the </w:t>
      </w:r>
      <w:r w:rsidR="003644F2" w:rsidRPr="003644F2">
        <w:rPr>
          <w:rFonts w:ascii="Arial Rounded MT Bold" w:hAnsi="Arial Rounded MT Bold" w:cstheme="minorHAnsi"/>
          <w:sz w:val="18"/>
          <w:szCs w:val="18"/>
        </w:rPr>
        <w:t xml:space="preserve">United States of America </w:t>
      </w:r>
      <w:r w:rsidR="00AE0F7F" w:rsidRPr="003644F2">
        <w:rPr>
          <w:rFonts w:ascii="Arial Rounded MT Bold" w:hAnsi="Arial Rounded MT Bold" w:cstheme="minorHAnsi"/>
          <w:sz w:val="18"/>
          <w:szCs w:val="18"/>
        </w:rPr>
        <w:t xml:space="preserve">7 out of 10 </w:t>
      </w:r>
      <w:r w:rsidR="003644F2" w:rsidRPr="003644F2">
        <w:rPr>
          <w:rFonts w:ascii="Arial Rounded MT Bold" w:hAnsi="Arial Rounded MT Bold" w:cstheme="minorHAnsi"/>
          <w:sz w:val="18"/>
          <w:szCs w:val="18"/>
        </w:rPr>
        <w:t xml:space="preserve">elderly adults had already faced </w:t>
      </w:r>
      <w:r w:rsidR="00AE0F7F" w:rsidRPr="003644F2">
        <w:rPr>
          <w:rFonts w:ascii="Arial Rounded MT Bold" w:hAnsi="Arial Rounded MT Bold" w:cstheme="minorHAnsi"/>
          <w:sz w:val="18"/>
          <w:szCs w:val="18"/>
        </w:rPr>
        <w:t>bereavement in a</w:t>
      </w:r>
      <w:r w:rsidR="003644F2" w:rsidRPr="003644F2">
        <w:rPr>
          <w:rFonts w:ascii="Arial Rounded MT Bold" w:hAnsi="Arial Rounded MT Bold" w:cstheme="minorHAnsi"/>
          <w:sz w:val="18"/>
          <w:szCs w:val="18"/>
        </w:rPr>
        <w:t xml:space="preserve"> short period of only</w:t>
      </w:r>
      <w:r w:rsidR="00AE0F7F" w:rsidRPr="003644F2">
        <w:rPr>
          <w:rFonts w:ascii="Arial Rounded MT Bold" w:hAnsi="Arial Rounded MT Bold" w:cstheme="minorHAnsi"/>
          <w:sz w:val="18"/>
          <w:szCs w:val="18"/>
        </w:rPr>
        <w:t xml:space="preserve"> two and a half year</w:t>
      </w:r>
      <w:r w:rsidR="003644F2" w:rsidRPr="003644F2">
        <w:rPr>
          <w:rFonts w:ascii="Arial Rounded MT Bold" w:hAnsi="Arial Rounded MT Bold" w:cstheme="minorHAnsi"/>
          <w:sz w:val="18"/>
          <w:szCs w:val="18"/>
        </w:rPr>
        <w:t>s</w:t>
      </w:r>
      <w:r w:rsidR="003644F2">
        <w:rPr>
          <w:rFonts w:ascii="Arial Rounded MT Bold" w:hAnsi="Arial Rounded MT Bold" w:cstheme="minorHAnsi"/>
          <w:color w:val="FF0000"/>
          <w:sz w:val="18"/>
          <w:szCs w:val="18"/>
        </w:rPr>
        <w:t>.</w:t>
      </w:r>
    </w:p>
    <w:p w:rsidR="00B14A99" w:rsidRDefault="00B14A99"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color w:val="FF0000"/>
          <w:sz w:val="18"/>
          <w:szCs w:val="18"/>
        </w:rPr>
      </w:pPr>
    </w:p>
    <w:p w:rsidR="00D942D7" w:rsidRDefault="00D942D7" w:rsidP="00B14A99">
      <w:pPr>
        <w:spacing w:line="276" w:lineRule="auto"/>
        <w:rPr>
          <w:rFonts w:ascii="Arial Rounded MT Bold" w:hAnsi="Arial Rounded MT Bold" w:cstheme="minorHAnsi"/>
          <w:sz w:val="18"/>
          <w:szCs w:val="18"/>
          <w:u w:val="single"/>
        </w:rPr>
      </w:pPr>
    </w:p>
    <w:p w:rsidR="00B14A99" w:rsidRDefault="00B14A99" w:rsidP="00B14A99">
      <w:pPr>
        <w:spacing w:line="276" w:lineRule="auto"/>
        <w:rPr>
          <w:rFonts w:ascii="Arial Rounded MT Bold" w:hAnsi="Arial Rounded MT Bold" w:cstheme="minorHAnsi"/>
          <w:sz w:val="18"/>
          <w:szCs w:val="18"/>
          <w:u w:val="single"/>
        </w:rPr>
      </w:pPr>
    </w:p>
    <w:p w:rsidR="00B14A99" w:rsidRDefault="00B14A99" w:rsidP="00B14A99">
      <w:pPr>
        <w:spacing w:line="276" w:lineRule="auto"/>
        <w:rPr>
          <w:rFonts w:ascii="Arial Rounded MT Bold" w:hAnsi="Arial Rounded MT Bold" w:cstheme="minorHAnsi"/>
          <w:sz w:val="18"/>
          <w:szCs w:val="18"/>
          <w:u w:val="single"/>
        </w:rPr>
      </w:pPr>
      <w:r>
        <w:rPr>
          <w:noProof/>
        </w:rPr>
        <w:lastRenderedPageBreak/>
        <mc:AlternateContent>
          <mc:Choice Requires="wps">
            <w:drawing>
              <wp:anchor distT="0" distB="0" distL="114300" distR="114300" simplePos="0" relativeHeight="251668480" behindDoc="0" locked="0" layoutInCell="1" allowOverlap="1" wp14:anchorId="606F3B48" wp14:editId="264232EB">
                <wp:simplePos x="0" y="0"/>
                <wp:positionH relativeFrom="column">
                  <wp:posOffset>-133350</wp:posOffset>
                </wp:positionH>
                <wp:positionV relativeFrom="paragraph">
                  <wp:posOffset>-447675</wp:posOffset>
                </wp:positionV>
                <wp:extent cx="1828800" cy="1828800"/>
                <wp:effectExtent l="19050" t="0" r="0" b="52705"/>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a:outerShdw blurRad="50800" dist="38100" dir="8100000" algn="tr" rotWithShape="0">
                            <a:prstClr val="black">
                              <a:alpha val="40000"/>
                            </a:prstClr>
                          </a:outerShdw>
                        </a:effectLst>
                      </wps:spPr>
                      <wps:txbx>
                        <w:txbxContent>
                          <w:p w:rsidR="00B14A99" w:rsidRPr="00EB4A87" w:rsidRDefault="00B14A99" w:rsidP="00B14A99">
                            <w:pPr>
                              <w:spacing w:line="276" w:lineRule="auto"/>
                              <w:jc w:val="center"/>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t>Mortality Rates &amp; Statistics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6F3B48" id="Text Box 10" o:spid="_x0000_s1028" type="#_x0000_t202" style="position:absolute;margin-left:-10.5pt;margin-top:-35.25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" filled="f" stroked="f">
                <v:shadow on="t" color="black" opacity="26214f" origin=".5,-.5" offset="-.74836mm,.74836mm"/>
                <v:textbox style="mso-fit-shape-to-text:t">
                  <w:txbxContent>
                    <w:p w:rsidR="00B14A99" w:rsidRPr="00EB4A87" w:rsidRDefault="00B14A99" w:rsidP="00B14A99">
                      <w:pPr>
                        <w:spacing w:line="276" w:lineRule="auto"/>
                        <w:jc w:val="center"/>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92D050"/>
                          <w:sz w:val="60"/>
                          <w:szCs w:val="60"/>
                          <w14:textOutline w14:w="9525" w14:cap="flat" w14:cmpd="sng" w14:algn="ctr">
                            <w14:solidFill>
                              <w14:srgbClr w14:val="000000"/>
                            </w14:solidFill>
                            <w14:prstDash w14:val="solid"/>
                            <w14:round/>
                          </w14:textOutline>
                        </w:rPr>
                        <w:t>Mortality Rates &amp; Statistics</w:t>
                      </w:r>
                    </w:p>
                  </w:txbxContent>
                </v:textbox>
              </v:shape>
            </w:pict>
          </mc:Fallback>
        </mc:AlternateContent>
      </w:r>
    </w:p>
    <w:p w:rsidR="00760E17" w:rsidRPr="00760E17" w:rsidRDefault="00073D11" w:rsidP="00B14A99">
      <w:pPr>
        <w:spacing w:line="276" w:lineRule="auto"/>
        <w:rPr>
          <w:rFonts w:ascii="Arial Rounded MT Bold" w:hAnsi="Arial Rounded MT Bold" w:cs="Arial"/>
          <w:color w:val="222222"/>
          <w:sz w:val="18"/>
          <w:szCs w:val="18"/>
          <w:shd w:val="clear" w:color="auto" w:fill="FFFFFF"/>
        </w:rPr>
      </w:pPr>
      <w:r w:rsidRPr="00073D11">
        <w:rPr>
          <w:noProof/>
        </w:rPr>
        <w:drawing>
          <wp:anchor distT="0" distB="0" distL="114300" distR="114300" simplePos="0" relativeHeight="251666432" behindDoc="1" locked="0" layoutInCell="1" allowOverlap="1" wp14:anchorId="51D47945">
            <wp:simplePos x="0" y="0"/>
            <wp:positionH relativeFrom="column">
              <wp:posOffset>1939925</wp:posOffset>
            </wp:positionH>
            <wp:positionV relativeFrom="paragraph">
              <wp:posOffset>152400</wp:posOffset>
            </wp:positionV>
            <wp:extent cx="3859530" cy="2513330"/>
            <wp:effectExtent l="190500" t="190500" r="388620" b="382270"/>
            <wp:wrapTight wrapText="bothSides">
              <wp:wrapPolygon edited="0">
                <wp:start x="533" y="-1637"/>
                <wp:lineTo x="-1066" y="-1310"/>
                <wp:lineTo x="-960" y="22430"/>
                <wp:lineTo x="320" y="24394"/>
                <wp:lineTo x="426" y="24722"/>
                <wp:lineTo x="22176" y="24722"/>
                <wp:lineTo x="22282" y="24394"/>
                <wp:lineTo x="23668" y="22430"/>
                <wp:lineTo x="23668" y="1310"/>
                <wp:lineTo x="22176" y="-1146"/>
                <wp:lineTo x="22069" y="-1637"/>
                <wp:lineTo x="533" y="-163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59530" cy="2513330"/>
                    </a:xfrm>
                    <a:prstGeom prst="rect">
                      <a:avLst/>
                    </a:prstGeom>
                    <a:ln>
                      <a:solidFill>
                        <a:srgbClr val="FF0000"/>
                      </a:solidFill>
                    </a:ln>
                    <a:effectLst>
                      <a:glow rad="63500">
                        <a:schemeClr val="accent2">
                          <a:satMod val="175000"/>
                          <a:alpha val="40000"/>
                        </a:schemeClr>
                      </a:glow>
                      <a:outerShdw blurRad="292100" dist="139700" dir="2700000" algn="tl" rotWithShape="0">
                        <a:srgbClr val="333333">
                          <a:alpha val="65000"/>
                        </a:srgbClr>
                      </a:outerShdw>
                    </a:effectLst>
                  </pic:spPr>
                </pic:pic>
              </a:graphicData>
            </a:graphic>
            <wp14:sizeRelH relativeFrom="margin">
              <wp14:pctWidth>0</wp14:pctWidth>
            </wp14:sizeRelH>
          </wp:anchor>
        </w:drawing>
      </w:r>
      <w:r w:rsidR="008574AC" w:rsidRPr="001302AD">
        <w:rPr>
          <w:rFonts w:ascii="Arial Rounded MT Bold" w:hAnsi="Arial Rounded MT Bold" w:cstheme="minorHAnsi"/>
          <w:sz w:val="18"/>
          <w:szCs w:val="18"/>
        </w:rPr>
        <w:t xml:space="preserve">The human increase of life expectation in the United Kingdom suggests that people have a higher </w:t>
      </w:r>
      <w:r w:rsidR="0011113B">
        <w:rPr>
          <w:rFonts w:ascii="Arial Rounded MT Bold" w:hAnsi="Arial Rounded MT Bold" w:cstheme="minorHAnsi"/>
          <w:sz w:val="18"/>
          <w:szCs w:val="18"/>
        </w:rPr>
        <w:t xml:space="preserve">rate </w:t>
      </w:r>
      <w:r w:rsidR="008574AC" w:rsidRPr="0011113B">
        <w:rPr>
          <w:rFonts w:ascii="Arial Rounded MT Bold" w:hAnsi="Arial Rounded MT Bold" w:cstheme="minorHAnsi"/>
          <w:sz w:val="18"/>
          <w:szCs w:val="18"/>
        </w:rPr>
        <w:t xml:space="preserve">of </w:t>
      </w:r>
      <w:r w:rsidR="0011113B">
        <w:rPr>
          <w:rFonts w:ascii="Arial Rounded MT Bold" w:hAnsi="Arial Rounded MT Bold" w:cstheme="minorHAnsi"/>
          <w:sz w:val="18"/>
          <w:szCs w:val="18"/>
        </w:rPr>
        <w:t xml:space="preserve">mortality </w:t>
      </w:r>
      <w:r w:rsidR="008574AC" w:rsidRPr="0011113B">
        <w:rPr>
          <w:rFonts w:ascii="Arial Rounded MT Bold" w:hAnsi="Arial Rounded MT Bold" w:cstheme="minorHAnsi"/>
          <w:sz w:val="18"/>
          <w:szCs w:val="18"/>
        </w:rPr>
        <w:t>at the age of 8</w:t>
      </w:r>
      <w:r w:rsidRPr="0011113B">
        <w:rPr>
          <w:rFonts w:ascii="Arial Rounded MT Bold" w:hAnsi="Arial Rounded MT Bold" w:cstheme="minorHAnsi"/>
          <w:sz w:val="18"/>
          <w:szCs w:val="18"/>
        </w:rPr>
        <w:t>5-90</w:t>
      </w:r>
      <w:r w:rsidR="008574AC" w:rsidRPr="0011113B">
        <w:rPr>
          <w:rFonts w:ascii="Arial Rounded MT Bold" w:hAnsi="Arial Rounded MT Bold" w:cstheme="minorHAnsi"/>
          <w:sz w:val="18"/>
          <w:szCs w:val="18"/>
        </w:rPr>
        <w:t xml:space="preserve"> or 90</w:t>
      </w:r>
      <w:r w:rsidRPr="0011113B">
        <w:rPr>
          <w:rFonts w:ascii="Arial Rounded MT Bold" w:hAnsi="Arial Rounded MT Bold" w:cstheme="minorHAnsi"/>
          <w:sz w:val="18"/>
          <w:szCs w:val="18"/>
        </w:rPr>
        <w:t>+</w:t>
      </w:r>
      <w:r w:rsidR="0011113B" w:rsidRPr="0011113B">
        <w:rPr>
          <w:rFonts w:ascii="Arial Rounded MT Bold" w:hAnsi="Arial Rounded MT Bold" w:cstheme="minorHAnsi"/>
          <w:sz w:val="18"/>
          <w:szCs w:val="18"/>
        </w:rPr>
        <w:t xml:space="preserve"> (</w:t>
      </w:r>
      <w:r w:rsidR="0011113B" w:rsidRPr="0011113B">
        <w:rPr>
          <w:rFonts w:ascii="Arial Rounded MT Bold" w:hAnsi="Arial Rounded MT Bold" w:cs="Arial"/>
          <w:color w:val="222222"/>
          <w:sz w:val="18"/>
          <w:szCs w:val="18"/>
          <w:shd w:val="clear" w:color="auto" w:fill="FFFFFF"/>
        </w:rPr>
        <w:t>Office for National Statistics, 2018).</w:t>
      </w:r>
      <w:r w:rsidR="0011113B">
        <w:rPr>
          <w:rFonts w:ascii="Arial Rounded MT Bold" w:hAnsi="Arial Rounded MT Bold" w:cs="Arial"/>
          <w:color w:val="222222"/>
          <w:sz w:val="18"/>
          <w:szCs w:val="18"/>
          <w:shd w:val="clear" w:color="auto" w:fill="FFFFFF"/>
        </w:rPr>
        <w:t xml:space="preserve"> </w:t>
      </w:r>
    </w:p>
    <w:p w:rsidR="00D80F52" w:rsidRPr="00D942D7" w:rsidRDefault="00760E17" w:rsidP="00B14A99">
      <w:pPr>
        <w:spacing w:line="276" w:lineRule="auto"/>
        <w:rPr>
          <w:rFonts w:ascii="Arial Rounded MT Bold" w:hAnsi="Arial Rounded MT Bold" w:cs="Arial"/>
          <w:color w:val="222222"/>
          <w:sz w:val="18"/>
          <w:szCs w:val="18"/>
          <w:shd w:val="clear" w:color="auto" w:fill="FFFFFF"/>
        </w:rPr>
      </w:pPr>
      <w:r w:rsidRPr="00760E17">
        <w:rPr>
          <w:rFonts w:ascii="Arial Rounded MT Bold" w:hAnsi="Arial Rounded MT Bold" w:cs="Arial"/>
          <w:color w:val="222222"/>
          <w:sz w:val="18"/>
          <w:szCs w:val="18"/>
          <w:shd w:val="clear" w:color="auto" w:fill="FFFFFF"/>
        </w:rPr>
        <w:t>According to these figures, elderly women only had a 2% rise in mortality rates in 2018. However, figures from earlier years have shown that it had been generally women who had died in the highest numbers. In England, women in their 90’s have been shown to have to the highest rise in mortality with an extra 2,504 dying of these old ages. This is an extra 6,358 million women at risk</w:t>
      </w:r>
      <w:r w:rsidR="0019740F">
        <w:rPr>
          <w:rFonts w:ascii="Arial Rounded MT Bold" w:hAnsi="Arial Rounded MT Bold" w:cs="Arial"/>
          <w:color w:val="222222"/>
          <w:sz w:val="18"/>
          <w:szCs w:val="18"/>
          <w:shd w:val="clear" w:color="auto" w:fill="FFFFFF"/>
        </w:rPr>
        <w:t xml:space="preserve"> </w:t>
      </w:r>
      <w:r w:rsidR="0019740F" w:rsidRPr="0011113B">
        <w:rPr>
          <w:rFonts w:ascii="Arial Rounded MT Bold" w:hAnsi="Arial Rounded MT Bold" w:cstheme="minorHAnsi"/>
          <w:sz w:val="18"/>
          <w:szCs w:val="18"/>
        </w:rPr>
        <w:t xml:space="preserve"> (</w:t>
      </w:r>
      <w:r w:rsidR="0019740F" w:rsidRPr="0011113B">
        <w:rPr>
          <w:rFonts w:ascii="Arial Rounded MT Bold" w:hAnsi="Arial Rounded MT Bold" w:cs="Arial"/>
          <w:color w:val="222222"/>
          <w:sz w:val="18"/>
          <w:szCs w:val="18"/>
          <w:shd w:val="clear" w:color="auto" w:fill="FFFFFF"/>
        </w:rPr>
        <w:t>Office for National Statistics, 2018).</w:t>
      </w:r>
    </w:p>
    <w:p w:rsidR="0091349C" w:rsidRDefault="0019740F" w:rsidP="00B14A99">
      <w:pPr>
        <w:spacing w:line="276" w:lineRule="auto"/>
        <w:rPr>
          <w:rFonts w:ascii="Arial Rounded MT Bold" w:hAnsi="Arial Rounded MT Bold" w:cstheme="minorHAnsi"/>
          <w:sz w:val="18"/>
          <w:szCs w:val="18"/>
        </w:rPr>
      </w:pPr>
      <w:r>
        <w:rPr>
          <w:rFonts w:ascii="Arial Rounded MT Bold" w:hAnsi="Arial Rounded MT Bold" w:cstheme="minorHAnsi"/>
          <w:color w:val="000000" w:themeColor="text1"/>
          <w:sz w:val="18"/>
          <w:szCs w:val="18"/>
        </w:rPr>
        <w:t>D</w:t>
      </w:r>
      <w:r w:rsidR="00E60407" w:rsidRPr="00B7408F">
        <w:rPr>
          <w:rFonts w:ascii="Arial Rounded MT Bold" w:hAnsi="Arial Rounded MT Bold" w:cstheme="minorHAnsi"/>
          <w:color w:val="000000" w:themeColor="text1"/>
          <w:sz w:val="18"/>
          <w:szCs w:val="18"/>
        </w:rPr>
        <w:t>epression, anxiety and “complicated” grief are</w:t>
      </w:r>
      <w:r w:rsidR="0069290F" w:rsidRPr="00B7408F">
        <w:rPr>
          <w:rFonts w:ascii="Arial Rounded MT Bold" w:hAnsi="Arial Rounded MT Bold" w:cstheme="minorHAnsi"/>
          <w:color w:val="000000" w:themeColor="text1"/>
          <w:sz w:val="18"/>
          <w:szCs w:val="18"/>
        </w:rPr>
        <w:t xml:space="preserve"> the most common symptoms among spousal bereavement</w:t>
      </w:r>
      <w:r w:rsidR="00AB269E">
        <w:rPr>
          <w:rFonts w:ascii="Arial Rounded MT Bold" w:hAnsi="Arial Rounded MT Bold" w:cstheme="minorHAnsi"/>
          <w:color w:val="000000" w:themeColor="text1"/>
          <w:sz w:val="18"/>
          <w:szCs w:val="18"/>
        </w:rPr>
        <w:t xml:space="preserve">. </w:t>
      </w:r>
      <w:r w:rsidR="001F0853" w:rsidRPr="00B7408F">
        <w:rPr>
          <w:rFonts w:ascii="Arial Rounded MT Bold" w:hAnsi="Arial Rounded MT Bold" w:cstheme="minorHAnsi"/>
          <w:color w:val="000000" w:themeColor="text1"/>
          <w:sz w:val="18"/>
          <w:szCs w:val="18"/>
          <w:shd w:val="clear" w:color="auto" w:fill="FFFFFF"/>
        </w:rPr>
        <w:t xml:space="preserve">“Complicated” grief is a form of grief that is tenacious </w:t>
      </w:r>
      <w:r w:rsidR="003F3BBA" w:rsidRPr="00B7408F">
        <w:rPr>
          <w:rFonts w:ascii="Arial Rounded MT Bold" w:hAnsi="Arial Rounded MT Bold" w:cstheme="minorHAnsi"/>
          <w:color w:val="000000" w:themeColor="text1"/>
          <w:sz w:val="18"/>
          <w:szCs w:val="18"/>
          <w:shd w:val="clear" w:color="auto" w:fill="FFFFFF"/>
        </w:rPr>
        <w:t xml:space="preserve">in which abnormal behaviour are present </w:t>
      </w:r>
      <w:r w:rsidR="007A5490" w:rsidRPr="00B7408F">
        <w:rPr>
          <w:rFonts w:ascii="Arial Rounded MT Bold" w:hAnsi="Arial Rounded MT Bold" w:cstheme="minorHAnsi"/>
          <w:color w:val="000000" w:themeColor="text1"/>
          <w:sz w:val="18"/>
          <w:szCs w:val="18"/>
          <w:shd w:val="clear" w:color="auto" w:fill="FFFFFF"/>
        </w:rPr>
        <w:t xml:space="preserve">along with continuous longing, sorrow and fixation with feelings and recollections of the person who passed away </w:t>
      </w:r>
      <w:r w:rsidR="007A5490" w:rsidRPr="00B7408F">
        <w:rPr>
          <w:rFonts w:ascii="Arial Rounded MT Bold" w:hAnsi="Arial Rounded MT Bold" w:cstheme="minorHAnsi"/>
          <w:color w:val="000000" w:themeColor="text1"/>
          <w:sz w:val="18"/>
          <w:szCs w:val="18"/>
        </w:rPr>
        <w:t>(</w:t>
      </w:r>
      <w:r w:rsidR="007A5490" w:rsidRPr="00B7408F">
        <w:rPr>
          <w:rFonts w:ascii="Arial Rounded MT Bold" w:hAnsi="Arial Rounded MT Bold" w:cstheme="minorHAnsi"/>
          <w:color w:val="000000" w:themeColor="text1"/>
          <w:sz w:val="18"/>
          <w:szCs w:val="18"/>
          <w:shd w:val="clear" w:color="auto" w:fill="FFFFFF"/>
        </w:rPr>
        <w:t xml:space="preserve">Monk, </w:t>
      </w:r>
      <w:proofErr w:type="spellStart"/>
      <w:r w:rsidR="007A5490" w:rsidRPr="00B7408F">
        <w:rPr>
          <w:rFonts w:ascii="Arial Rounded MT Bold" w:hAnsi="Arial Rounded MT Bold" w:cstheme="minorHAnsi"/>
          <w:color w:val="000000" w:themeColor="text1"/>
          <w:sz w:val="18"/>
          <w:szCs w:val="18"/>
          <w:shd w:val="clear" w:color="auto" w:fill="FFFFFF"/>
        </w:rPr>
        <w:t>Pfoff</w:t>
      </w:r>
      <w:proofErr w:type="spellEnd"/>
      <w:r w:rsidR="007A5490" w:rsidRPr="00B7408F">
        <w:rPr>
          <w:rFonts w:ascii="Arial Rounded MT Bold" w:hAnsi="Arial Rounded MT Bold" w:cstheme="minorHAnsi"/>
          <w:color w:val="000000" w:themeColor="text1"/>
          <w:sz w:val="18"/>
          <w:szCs w:val="18"/>
          <w:shd w:val="clear" w:color="auto" w:fill="FFFFFF"/>
        </w:rPr>
        <w:t xml:space="preserve">, &amp; </w:t>
      </w:r>
      <w:proofErr w:type="spellStart"/>
      <w:r w:rsidR="007A5490" w:rsidRPr="00B7408F">
        <w:rPr>
          <w:rFonts w:ascii="Arial Rounded MT Bold" w:hAnsi="Arial Rounded MT Bold" w:cstheme="minorHAnsi"/>
          <w:color w:val="000000" w:themeColor="text1"/>
          <w:sz w:val="18"/>
          <w:szCs w:val="18"/>
          <w:shd w:val="clear" w:color="auto" w:fill="FFFFFF"/>
        </w:rPr>
        <w:t>Zarotney</w:t>
      </w:r>
      <w:proofErr w:type="spellEnd"/>
      <w:r w:rsidR="007A5490" w:rsidRPr="00B7408F">
        <w:rPr>
          <w:rFonts w:ascii="Arial Rounded MT Bold" w:hAnsi="Arial Rounded MT Bold" w:cstheme="minorHAnsi"/>
          <w:color w:val="000000" w:themeColor="text1"/>
          <w:sz w:val="18"/>
          <w:szCs w:val="18"/>
          <w:shd w:val="clear" w:color="auto" w:fill="FFFFFF"/>
        </w:rPr>
        <w:t>, 2013).</w:t>
      </w:r>
      <w:r w:rsidR="005C1100" w:rsidRPr="00B7408F">
        <w:rPr>
          <w:rFonts w:ascii="Arial Rounded MT Bold" w:hAnsi="Arial Rounded MT Bold" w:cstheme="minorHAnsi"/>
          <w:color w:val="000000" w:themeColor="text1"/>
          <w:sz w:val="18"/>
          <w:szCs w:val="18"/>
          <w:shd w:val="clear" w:color="auto" w:fill="FFFFFF"/>
        </w:rPr>
        <w:t xml:space="preserve"> </w:t>
      </w:r>
      <w:r w:rsidR="005E3FF2" w:rsidRPr="00B7408F">
        <w:rPr>
          <w:rFonts w:ascii="Arial Rounded MT Bold" w:hAnsi="Arial Rounded MT Bold" w:cstheme="minorHAnsi"/>
          <w:color w:val="000000" w:themeColor="text1"/>
          <w:sz w:val="18"/>
          <w:szCs w:val="18"/>
          <w:shd w:val="clear" w:color="auto" w:fill="FFFFFF"/>
        </w:rPr>
        <w:t xml:space="preserve">Due to elderly adults experiencing greater levels of bereavement </w:t>
      </w:r>
      <w:r w:rsidR="006A5630" w:rsidRPr="00B7408F">
        <w:rPr>
          <w:rFonts w:ascii="Arial Rounded MT Bold" w:hAnsi="Arial Rounded MT Bold" w:cstheme="minorHAnsi"/>
          <w:color w:val="000000" w:themeColor="text1"/>
          <w:sz w:val="18"/>
          <w:szCs w:val="18"/>
          <w:shd w:val="clear" w:color="auto" w:fill="FFFFFF"/>
        </w:rPr>
        <w:t>than younger people, bereavement is particularly important to study. A study by</w:t>
      </w:r>
      <w:r w:rsidR="001B4929" w:rsidRPr="00B7408F">
        <w:rPr>
          <w:rFonts w:ascii="Arial Rounded MT Bold" w:hAnsi="Arial Rounded MT Bold" w:cstheme="minorHAnsi"/>
          <w:color w:val="000000" w:themeColor="text1"/>
          <w:sz w:val="18"/>
          <w:szCs w:val="18"/>
          <w:shd w:val="clear" w:color="auto" w:fill="FFFFFF"/>
        </w:rPr>
        <w:t xml:space="preserve"> </w:t>
      </w:r>
      <w:r w:rsidR="00687E08" w:rsidRPr="00B7408F">
        <w:rPr>
          <w:rFonts w:ascii="Arial Rounded MT Bold" w:hAnsi="Arial Rounded MT Bold" w:cstheme="minorHAnsi"/>
          <w:color w:val="000000" w:themeColor="text1"/>
          <w:sz w:val="18"/>
          <w:szCs w:val="18"/>
          <w:shd w:val="clear" w:color="auto" w:fill="FFFFFF"/>
        </w:rPr>
        <w:t xml:space="preserve">Williams, Sawyer, Allman &amp; Roseman (2007) revealed that over a 2.5-year period, around 70% of elderly adults suffered a bereavement. </w:t>
      </w:r>
      <w:r w:rsidR="006A5630" w:rsidRPr="00B7408F">
        <w:rPr>
          <w:rFonts w:ascii="Arial Rounded MT Bold" w:hAnsi="Arial Rounded MT Bold" w:cstheme="minorHAnsi"/>
          <w:color w:val="000000" w:themeColor="text1"/>
          <w:sz w:val="18"/>
          <w:szCs w:val="18"/>
          <w:shd w:val="clear" w:color="auto" w:fill="FFFFFF"/>
        </w:rPr>
        <w:t xml:space="preserve"> </w:t>
      </w:r>
      <w:r w:rsidR="00687E08" w:rsidRPr="00B7408F">
        <w:rPr>
          <w:rFonts w:ascii="Arial Rounded MT Bold" w:hAnsi="Arial Rounded MT Bold" w:cstheme="minorHAnsi"/>
          <w:color w:val="000000" w:themeColor="text1"/>
          <w:sz w:val="18"/>
          <w:szCs w:val="18"/>
          <w:shd w:val="clear" w:color="auto" w:fill="FFFFFF"/>
        </w:rPr>
        <w:t xml:space="preserve">In addition, the most common form of bereavement is spousal, however, the biggest proportion of losses among elderly adults are the losses of friends or siblings. </w:t>
      </w:r>
      <w:r w:rsidR="00307949" w:rsidRPr="00B7408F">
        <w:rPr>
          <w:rFonts w:ascii="Arial Rounded MT Bold" w:hAnsi="Arial Rounded MT Bold" w:cstheme="minorHAnsi"/>
          <w:sz w:val="18"/>
          <w:szCs w:val="18"/>
        </w:rPr>
        <w:t>According to Lindemann (1944), Kübler-Ross (1969), Parkes (1975), Bowlby (1980) &amp; Worden (1991) Numerous models of g</w:t>
      </w:r>
      <w:r w:rsidR="00FB4A78" w:rsidRPr="00B7408F">
        <w:rPr>
          <w:rFonts w:ascii="Arial Rounded MT Bold" w:hAnsi="Arial Rounded MT Bold" w:cstheme="minorHAnsi"/>
          <w:sz w:val="18"/>
          <w:szCs w:val="18"/>
        </w:rPr>
        <w:t>r</w:t>
      </w:r>
      <w:r w:rsidR="00307949" w:rsidRPr="00B7408F">
        <w:rPr>
          <w:rFonts w:ascii="Arial Rounded MT Bold" w:hAnsi="Arial Rounded MT Bold" w:cstheme="minorHAnsi"/>
          <w:sz w:val="18"/>
          <w:szCs w:val="18"/>
        </w:rPr>
        <w:t xml:space="preserve">ief have </w:t>
      </w:r>
      <w:r w:rsidR="00FB4A78" w:rsidRPr="00B7408F">
        <w:rPr>
          <w:rFonts w:ascii="Arial Rounded MT Bold" w:hAnsi="Arial Rounded MT Bold" w:cstheme="minorHAnsi"/>
          <w:sz w:val="18"/>
          <w:szCs w:val="18"/>
        </w:rPr>
        <w:t xml:space="preserve">mutual </w:t>
      </w:r>
      <w:r w:rsidR="00307949" w:rsidRPr="00B7408F">
        <w:rPr>
          <w:rFonts w:ascii="Arial Rounded MT Bold" w:hAnsi="Arial Rounded MT Bold" w:cstheme="minorHAnsi"/>
          <w:sz w:val="18"/>
          <w:szCs w:val="18"/>
        </w:rPr>
        <w:t xml:space="preserve">themes or </w:t>
      </w:r>
      <w:r w:rsidR="00FB4A78" w:rsidRPr="00B7408F">
        <w:rPr>
          <w:rFonts w:ascii="Arial Rounded MT Bold" w:hAnsi="Arial Rounded MT Bold" w:cstheme="minorHAnsi"/>
          <w:sz w:val="18"/>
          <w:szCs w:val="18"/>
        </w:rPr>
        <w:t>phases</w:t>
      </w:r>
      <w:r w:rsidR="00307949" w:rsidRPr="00B7408F">
        <w:rPr>
          <w:rFonts w:ascii="Arial Rounded MT Bold" w:hAnsi="Arial Rounded MT Bold" w:cstheme="minorHAnsi"/>
          <w:sz w:val="18"/>
          <w:szCs w:val="18"/>
        </w:rPr>
        <w:t>.</w:t>
      </w:r>
    </w:p>
    <w:p w:rsidR="00B14A99" w:rsidRDefault="00B14A99" w:rsidP="00B14A99">
      <w:pPr>
        <w:spacing w:line="276" w:lineRule="auto"/>
        <w:rPr>
          <w:rFonts w:ascii="Arial Rounded MT Bold" w:hAnsi="Arial Rounded MT Bold" w:cstheme="minorHAnsi"/>
          <w:sz w:val="18"/>
          <w:szCs w:val="18"/>
        </w:rPr>
      </w:pPr>
      <w:r>
        <w:rPr>
          <w:noProof/>
        </w:rPr>
        <mc:AlternateContent>
          <mc:Choice Requires="wps">
            <w:drawing>
              <wp:anchor distT="0" distB="0" distL="114300" distR="114300" simplePos="0" relativeHeight="251670528" behindDoc="0" locked="0" layoutInCell="1" allowOverlap="1" wp14:anchorId="4D7EBBF6" wp14:editId="11FD9893">
                <wp:simplePos x="0" y="0"/>
                <wp:positionH relativeFrom="column">
                  <wp:posOffset>-133350</wp:posOffset>
                </wp:positionH>
                <wp:positionV relativeFrom="paragraph">
                  <wp:posOffset>34925</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14A99" w:rsidRPr="00EB4A87" w:rsidRDefault="00B14A99" w:rsidP="00B14A99">
                            <w:pPr>
                              <w:spacing w:line="276" w:lineRule="auto"/>
                              <w:jc w:val="center"/>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Theories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7EBBF6" id="Text Box 11" o:spid="_x0000_s1029" type="#_x0000_t202" style="position:absolute;margin-left:-10.5pt;margin-top:2.7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L9C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" filled="f" stroked="f">
                <v:textbox style="mso-fit-shape-to-text:t">
                  <w:txbxContent>
                    <w:p w:rsidR="00B14A99" w:rsidRPr="00EB4A87" w:rsidRDefault="00B14A99" w:rsidP="00B14A99">
                      <w:pPr>
                        <w:spacing w:line="276" w:lineRule="auto"/>
                        <w:jc w:val="center"/>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EB4A87">
                        <w:rPr>
                          <w:rFonts w:ascii="Arial Rounded MT Bold" w:hAnsi="Arial Rounded MT Bold" w:cstheme="minorHAnsi"/>
                          <w:color w:val="FF0000"/>
                          <w:sz w:val="52"/>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 xml:space="preserve">Theories </w:t>
                      </w:r>
                    </w:p>
                  </w:txbxContent>
                </v:textbox>
              </v:shape>
            </w:pict>
          </mc:Fallback>
        </mc:AlternateContent>
      </w:r>
    </w:p>
    <w:p w:rsidR="00B14A99" w:rsidRPr="0091349C" w:rsidRDefault="00B14A99" w:rsidP="00B14A99">
      <w:pPr>
        <w:spacing w:line="276" w:lineRule="auto"/>
        <w:rPr>
          <w:rFonts w:ascii="Arial Rounded MT Bold" w:hAnsi="Arial Rounded MT Bold" w:cstheme="minorHAnsi"/>
          <w:sz w:val="18"/>
          <w:szCs w:val="18"/>
        </w:rPr>
      </w:pPr>
    </w:p>
    <w:p w:rsidR="00113598" w:rsidRPr="00113598" w:rsidRDefault="00B416A6" w:rsidP="00113598">
      <w:pPr>
        <w:spacing w:line="276" w:lineRule="auto"/>
        <w:rPr>
          <w:rFonts w:ascii="Arial Rounded MT Bold" w:hAnsi="Arial Rounded MT Bold"/>
          <w:sz w:val="18"/>
          <w:szCs w:val="18"/>
        </w:rPr>
      </w:pPr>
      <w:r w:rsidRPr="00B7408F">
        <w:rPr>
          <w:noProof/>
          <w:sz w:val="18"/>
          <w:szCs w:val="18"/>
        </w:rPr>
        <w:drawing>
          <wp:anchor distT="0" distB="0" distL="114300" distR="114300" simplePos="0" relativeHeight="251661312" behindDoc="1" locked="0" layoutInCell="1" allowOverlap="1" wp14:anchorId="2C38DCE4">
            <wp:simplePos x="0" y="0"/>
            <wp:positionH relativeFrom="column">
              <wp:posOffset>2494915</wp:posOffset>
            </wp:positionH>
            <wp:positionV relativeFrom="paragraph">
              <wp:posOffset>54610</wp:posOffset>
            </wp:positionV>
            <wp:extent cx="2983865" cy="2294255"/>
            <wp:effectExtent l="95250" t="95250" r="102235" b="86995"/>
            <wp:wrapTight wrapText="bothSides">
              <wp:wrapPolygon edited="0">
                <wp:start x="-690" y="-897"/>
                <wp:lineTo x="-690" y="22240"/>
                <wp:lineTo x="22202" y="22240"/>
                <wp:lineTo x="22202" y="-897"/>
                <wp:lineTo x="-690" y="-89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83865" cy="2294255"/>
                    </a:xfrm>
                    <a:prstGeom prst="rect">
                      <a:avLst/>
                    </a:prstGeom>
                    <a:ln>
                      <a:solidFill>
                        <a:srgbClr val="FF0000"/>
                      </a:solidFill>
                    </a:ln>
                    <a:effectLst>
                      <a:glow rad="63500">
                        <a:schemeClr val="accent2">
                          <a:satMod val="175000"/>
                          <a:alpha val="40000"/>
                        </a:schemeClr>
                      </a:glow>
                    </a:effectLst>
                  </pic:spPr>
                </pic:pic>
              </a:graphicData>
            </a:graphic>
            <wp14:sizeRelH relativeFrom="margin">
              <wp14:pctWidth>0</wp14:pctWidth>
            </wp14:sizeRelH>
            <wp14:sizeRelV relativeFrom="margin">
              <wp14:pctHeight>0</wp14:pctHeight>
            </wp14:sizeRelV>
          </wp:anchor>
        </w:drawing>
      </w:r>
      <w:r w:rsidR="00365FC6" w:rsidRPr="00B7408F">
        <w:rPr>
          <w:rFonts w:ascii="Arial Rounded MT Bold" w:hAnsi="Arial Rounded MT Bold" w:cs="Arial"/>
          <w:sz w:val="18"/>
          <w:szCs w:val="18"/>
        </w:rPr>
        <w:t xml:space="preserve">Methods such as illustrative images </w:t>
      </w:r>
      <w:r w:rsidR="00580FCA">
        <w:rPr>
          <w:rFonts w:ascii="Arial Rounded MT Bold" w:hAnsi="Arial Rounded MT Bold" w:cs="Arial"/>
          <w:sz w:val="18"/>
          <w:szCs w:val="18"/>
        </w:rPr>
        <w:t>such as the</w:t>
      </w:r>
      <w:r w:rsidR="00365FC6" w:rsidRPr="00B7408F">
        <w:rPr>
          <w:rFonts w:ascii="Arial Rounded MT Bold" w:hAnsi="Arial Rounded MT Bold" w:cs="Arial"/>
          <w:sz w:val="18"/>
          <w:szCs w:val="18"/>
        </w:rPr>
        <w:t xml:space="preserve"> grief wheel</w:t>
      </w:r>
      <w:r w:rsidR="00580FCA">
        <w:rPr>
          <w:rFonts w:ascii="Arial Rounded MT Bold" w:hAnsi="Arial Rounded MT Bold" w:cs="Arial"/>
          <w:sz w:val="18"/>
          <w:szCs w:val="18"/>
        </w:rPr>
        <w:t xml:space="preserve"> </w:t>
      </w:r>
      <w:r w:rsidR="00580FCA" w:rsidRPr="00580FCA">
        <w:rPr>
          <w:rFonts w:ascii="Arial Rounded MT Bold" w:hAnsi="Arial Rounded MT Bold" w:cs="Arial"/>
          <w:sz w:val="18"/>
          <w:szCs w:val="18"/>
        </w:rPr>
        <w:t>(Grief Education Institute,</w:t>
      </w:r>
      <w:r w:rsidR="00942716">
        <w:rPr>
          <w:rFonts w:ascii="Arial Rounded MT Bold" w:hAnsi="Arial Rounded MT Bold" w:cs="Arial"/>
          <w:sz w:val="18"/>
          <w:szCs w:val="18"/>
        </w:rPr>
        <w:t xml:space="preserve"> </w:t>
      </w:r>
      <w:r w:rsidR="00580FCA" w:rsidRPr="00580FCA">
        <w:rPr>
          <w:rFonts w:ascii="Arial Rounded MT Bold" w:hAnsi="Arial Rounded MT Bold" w:cs="Arial"/>
          <w:sz w:val="18"/>
          <w:szCs w:val="18"/>
        </w:rPr>
        <w:t xml:space="preserve">1986) </w:t>
      </w:r>
      <w:r w:rsidR="00365FC6" w:rsidRPr="00B7408F">
        <w:rPr>
          <w:rFonts w:ascii="Arial Rounded MT Bold" w:hAnsi="Arial Rounded MT Bold" w:cs="Arial"/>
          <w:sz w:val="18"/>
          <w:szCs w:val="18"/>
        </w:rPr>
        <w:t xml:space="preserve">are commonly used to explain the progression and phases involved in bereavement, proposing that it is hardly a stationary process. </w:t>
      </w:r>
      <w:r w:rsidR="000856A0" w:rsidRPr="00B7408F">
        <w:rPr>
          <w:rFonts w:ascii="Arial Rounded MT Bold" w:hAnsi="Arial Rounded MT Bold" w:cs="Arial"/>
          <w:sz w:val="18"/>
          <w:szCs w:val="18"/>
        </w:rPr>
        <w:t xml:space="preserve">According to Baxter &amp; Diehl (1998), the grief wheel </w:t>
      </w:r>
      <w:r w:rsidR="00EA6FA7" w:rsidRPr="00B7408F">
        <w:rPr>
          <w:rFonts w:ascii="Arial Rounded MT Bold" w:hAnsi="Arial Rounded MT Bold" w:cs="Arial"/>
          <w:sz w:val="18"/>
          <w:szCs w:val="18"/>
        </w:rPr>
        <w:t>is</w:t>
      </w:r>
      <w:r w:rsidR="000856A0" w:rsidRPr="00B7408F">
        <w:rPr>
          <w:rFonts w:ascii="Arial Rounded MT Bold" w:hAnsi="Arial Rounded MT Bold" w:cs="Arial"/>
          <w:sz w:val="18"/>
          <w:szCs w:val="18"/>
        </w:rPr>
        <w:t xml:space="preserve"> </w:t>
      </w:r>
      <w:r w:rsidR="00EA6FA7" w:rsidRPr="00B7408F">
        <w:rPr>
          <w:rFonts w:ascii="Arial Rounded MT Bold" w:hAnsi="Arial Rounded MT Bold" w:cs="Arial"/>
          <w:sz w:val="18"/>
          <w:szCs w:val="18"/>
        </w:rPr>
        <w:t>flexible,</w:t>
      </w:r>
      <w:r w:rsidR="000856A0" w:rsidRPr="00B7408F">
        <w:rPr>
          <w:rFonts w:ascii="Arial Rounded MT Bold" w:hAnsi="Arial Rounded MT Bold" w:cs="Arial"/>
          <w:sz w:val="18"/>
          <w:szCs w:val="18"/>
        </w:rPr>
        <w:t xml:space="preserve"> and people do not experience the stages in the same order.</w:t>
      </w:r>
      <w:r w:rsidR="0020150B" w:rsidRPr="00B7408F">
        <w:rPr>
          <w:rFonts w:ascii="Arial Rounded MT Bold" w:hAnsi="Arial Rounded MT Bold" w:cs="Arial"/>
          <w:sz w:val="18"/>
          <w:szCs w:val="18"/>
        </w:rPr>
        <w:t xml:space="preserve"> According to Bee (2000), Corey &amp; Corey (2006), due to elderly adults’ high exposure of bereavement, the symptoms such as anxiety and depression are highly likely to occur throughout this phase. An important intervention to help the elderly cope with their loss is group counselling support as this is vital to help the growing number of elderly in society. </w:t>
      </w:r>
      <w:r w:rsidR="000856A0" w:rsidRPr="00B7408F">
        <w:rPr>
          <w:rFonts w:ascii="Arial Rounded MT Bold" w:hAnsi="Arial Rounded MT Bold" w:cs="Arial"/>
          <w:sz w:val="18"/>
          <w:szCs w:val="18"/>
        </w:rPr>
        <w:t xml:space="preserve"> </w:t>
      </w:r>
      <w:r w:rsidR="00365FC6" w:rsidRPr="00B7408F">
        <w:rPr>
          <w:rFonts w:ascii="Arial Rounded MT Bold" w:hAnsi="Arial Rounded MT Bold" w:cs="Arial"/>
          <w:sz w:val="18"/>
          <w:szCs w:val="18"/>
        </w:rPr>
        <w:t xml:space="preserve">However, additional models, such as the </w:t>
      </w:r>
      <w:r w:rsidR="0013727F" w:rsidRPr="00B7408F">
        <w:rPr>
          <w:rFonts w:ascii="Arial Rounded MT Bold" w:hAnsi="Arial Rounded MT Bold" w:cs="Arial"/>
          <w:sz w:val="18"/>
          <w:szCs w:val="18"/>
        </w:rPr>
        <w:t>‘</w:t>
      </w:r>
      <w:r w:rsidR="00365FC6" w:rsidRPr="00B7408F">
        <w:rPr>
          <w:rFonts w:ascii="Arial Rounded MT Bold" w:hAnsi="Arial Rounded MT Bold" w:cs="Arial"/>
          <w:sz w:val="18"/>
          <w:szCs w:val="18"/>
        </w:rPr>
        <w:t>dual process model</w:t>
      </w:r>
      <w:r w:rsidR="0013727F" w:rsidRPr="00B7408F">
        <w:rPr>
          <w:rFonts w:ascii="Arial Rounded MT Bold" w:hAnsi="Arial Rounded MT Bold" w:cs="Arial"/>
          <w:sz w:val="18"/>
          <w:szCs w:val="18"/>
        </w:rPr>
        <w:t>’</w:t>
      </w:r>
      <w:r w:rsidR="00365FC6" w:rsidRPr="00B7408F">
        <w:rPr>
          <w:rFonts w:ascii="Arial Rounded MT Bold" w:hAnsi="Arial Rounded MT Bold" w:cs="Arial"/>
          <w:sz w:val="18"/>
          <w:szCs w:val="18"/>
        </w:rPr>
        <w:t xml:space="preserve"> (Strobe and </w:t>
      </w:r>
      <w:proofErr w:type="spellStart"/>
      <w:r w:rsidR="00365FC6" w:rsidRPr="00B7408F">
        <w:rPr>
          <w:rFonts w:ascii="Arial Rounded MT Bold" w:hAnsi="Arial Rounded MT Bold" w:cs="Arial"/>
          <w:sz w:val="18"/>
          <w:szCs w:val="18"/>
        </w:rPr>
        <w:t>Schut</w:t>
      </w:r>
      <w:proofErr w:type="spellEnd"/>
      <w:r w:rsidR="00365FC6" w:rsidRPr="00B7408F">
        <w:rPr>
          <w:rFonts w:ascii="Arial Rounded MT Bold" w:hAnsi="Arial Rounded MT Bold" w:cs="Arial"/>
          <w:sz w:val="18"/>
          <w:szCs w:val="18"/>
        </w:rPr>
        <w:t>, 1999) offer a more adaptable method to the explanation and management of grief. The dual process model</w:t>
      </w:r>
      <w:r w:rsidR="0013727F" w:rsidRPr="00B7408F">
        <w:rPr>
          <w:rFonts w:ascii="Arial Rounded MT Bold" w:hAnsi="Arial Rounded MT Bold" w:cs="Arial"/>
          <w:sz w:val="18"/>
          <w:szCs w:val="18"/>
        </w:rPr>
        <w:t xml:space="preserve"> </w:t>
      </w:r>
      <w:r w:rsidR="00365FC6" w:rsidRPr="00B7408F">
        <w:rPr>
          <w:rFonts w:ascii="Arial Rounded MT Bold" w:hAnsi="Arial Rounded MT Bold" w:cs="Arial"/>
          <w:sz w:val="18"/>
          <w:szCs w:val="18"/>
        </w:rPr>
        <w:t xml:space="preserve">explains how a person who is bereaved manages everyday life and other lifestyle changes that arise whilst trying to come to </w:t>
      </w:r>
      <w:r w:rsidR="00365FC6" w:rsidRPr="00B7408F">
        <w:rPr>
          <w:rFonts w:ascii="Arial Rounded MT Bold" w:hAnsi="Arial Rounded MT Bold" w:cs="Arial"/>
          <w:sz w:val="18"/>
          <w:szCs w:val="18"/>
        </w:rPr>
        <w:lastRenderedPageBreak/>
        <w:t>terms with their loss. According to Dunne (2004), the dual process model assumes that when individuals experience grief, the way they cope is a reciprocal process and the person moves amongst grieving and attempting to live with and understand their loss.</w:t>
      </w:r>
      <w:r w:rsidR="00113598">
        <w:t xml:space="preserve"> </w:t>
      </w:r>
      <w:r w:rsidR="00113598" w:rsidRPr="00113598">
        <w:rPr>
          <w:rFonts w:ascii="Arial Rounded MT Bold" w:hAnsi="Arial Rounded MT Bold"/>
          <w:sz w:val="18"/>
          <w:szCs w:val="18"/>
        </w:rPr>
        <w:t>According to Strobe &amp; Strutt (1999), the theory of grief provides an explanation as to how a bereaved individual may experience two different types of behaviour whilst experiencing grief. These are loss-orientated and restoration-oriented. As the living partner experiences grief, they will fluctuate among these two dissimilar phases. This is the explanation as to why it is named the dual process model because two different processes are occurring</w:t>
      </w:r>
      <w:r w:rsidR="00113598">
        <w:rPr>
          <w:rFonts w:ascii="Arial Rounded MT Bold" w:hAnsi="Arial Rounded MT Bold"/>
          <w:sz w:val="18"/>
          <w:szCs w:val="18"/>
        </w:rPr>
        <w:t>.</w:t>
      </w:r>
    </w:p>
    <w:p w:rsidR="00827D98" w:rsidRDefault="00113598" w:rsidP="00827D98">
      <w:pPr>
        <w:rPr>
          <w:rFonts w:ascii="Arial Rounded MT Bold" w:hAnsi="Arial Rounded MT Bold"/>
          <w:sz w:val="18"/>
          <w:szCs w:val="18"/>
        </w:rPr>
      </w:pPr>
      <w:r w:rsidRPr="00113598">
        <w:rPr>
          <w:rFonts w:ascii="Arial Rounded MT Bold" w:hAnsi="Arial Rounded MT Bold"/>
          <w:sz w:val="18"/>
          <w:szCs w:val="18"/>
        </w:rPr>
        <w:t>To think about your loved one and their passing are called loss-oriented stressors, and this is called the loss-oriented stage. These stressors may include relooking at old photographs or remembering a memory.</w:t>
      </w:r>
      <w:r w:rsidR="00752EAE">
        <w:rPr>
          <w:rFonts w:ascii="Arial Rounded MT Bold" w:hAnsi="Arial Rounded MT Bold"/>
          <w:sz w:val="18"/>
          <w:szCs w:val="18"/>
        </w:rPr>
        <w:t xml:space="preserve"> </w:t>
      </w:r>
      <w:r w:rsidR="00752EAE" w:rsidRPr="00752EAE">
        <w:rPr>
          <w:rFonts w:ascii="Arial Rounded MT Bold" w:hAnsi="Arial Rounded MT Bold"/>
          <w:sz w:val="18"/>
          <w:szCs w:val="18"/>
        </w:rPr>
        <w:t xml:space="preserve">Another type of stressors are types of activities that allow the bereaved person to carry on with daily tasks and activities and provide a distraction for a while from their grief. A common daily activity may be cleaning or working.  </w:t>
      </w:r>
    </w:p>
    <w:p w:rsidR="00113598" w:rsidRPr="00752EAE" w:rsidRDefault="00752EAE" w:rsidP="00752EAE">
      <w:pPr>
        <w:rPr>
          <w:rFonts w:ascii="Arial Rounded MT Bold" w:hAnsi="Arial Rounded MT Bold"/>
          <w:sz w:val="18"/>
          <w:szCs w:val="18"/>
        </w:rPr>
      </w:pPr>
      <w:r w:rsidRPr="00752EAE">
        <w:rPr>
          <w:rFonts w:ascii="Arial Rounded MT Bold" w:hAnsi="Arial Rounded MT Bold"/>
          <w:sz w:val="18"/>
          <w:szCs w:val="18"/>
        </w:rPr>
        <w:t xml:space="preserve">According to </w:t>
      </w:r>
      <w:proofErr w:type="spellStart"/>
      <w:r w:rsidRPr="00752EAE">
        <w:rPr>
          <w:rFonts w:ascii="Arial Rounded MT Bold" w:hAnsi="Arial Rounded MT Bold"/>
          <w:sz w:val="18"/>
          <w:szCs w:val="18"/>
        </w:rPr>
        <w:t>Stroebe</w:t>
      </w:r>
      <w:proofErr w:type="spellEnd"/>
      <w:r w:rsidRPr="00752EAE">
        <w:rPr>
          <w:rFonts w:ascii="Arial Rounded MT Bold" w:hAnsi="Arial Rounded MT Bold"/>
          <w:sz w:val="18"/>
          <w:szCs w:val="18"/>
        </w:rPr>
        <w:t xml:space="preserve"> &amp; </w:t>
      </w:r>
      <w:proofErr w:type="spellStart"/>
      <w:r w:rsidRPr="00752EAE">
        <w:rPr>
          <w:rFonts w:ascii="Arial Rounded MT Bold" w:hAnsi="Arial Rounded MT Bold"/>
          <w:sz w:val="18"/>
          <w:szCs w:val="18"/>
        </w:rPr>
        <w:t>Schut</w:t>
      </w:r>
      <w:proofErr w:type="spellEnd"/>
      <w:r w:rsidRPr="00752EAE">
        <w:rPr>
          <w:rFonts w:ascii="Arial Rounded MT Bold" w:hAnsi="Arial Rounded MT Bold"/>
          <w:sz w:val="18"/>
          <w:szCs w:val="18"/>
        </w:rPr>
        <w:t xml:space="preserve"> (1999) people who do use daily activities to distract themselves from grief are exhibiting normal behaviour and state that it is healthy for them following a bereavement. </w:t>
      </w:r>
      <w:proofErr w:type="spellStart"/>
      <w:r w:rsidRPr="00752EAE">
        <w:rPr>
          <w:rFonts w:ascii="Arial Rounded MT Bold" w:hAnsi="Arial Rounded MT Bold"/>
          <w:sz w:val="18"/>
          <w:szCs w:val="18"/>
        </w:rPr>
        <w:t>Stroebe</w:t>
      </w:r>
      <w:proofErr w:type="spellEnd"/>
      <w:r w:rsidRPr="00752EAE">
        <w:rPr>
          <w:rFonts w:ascii="Arial Rounded MT Bold" w:hAnsi="Arial Rounded MT Bold"/>
          <w:sz w:val="18"/>
          <w:szCs w:val="18"/>
        </w:rPr>
        <w:t xml:space="preserve"> &amp; </w:t>
      </w:r>
      <w:proofErr w:type="spellStart"/>
      <w:r w:rsidRPr="00752EAE">
        <w:rPr>
          <w:rFonts w:ascii="Arial Rounded MT Bold" w:hAnsi="Arial Rounded MT Bold"/>
          <w:sz w:val="18"/>
          <w:szCs w:val="18"/>
        </w:rPr>
        <w:t>Schut</w:t>
      </w:r>
      <w:proofErr w:type="spellEnd"/>
      <w:r w:rsidRPr="00752EAE">
        <w:rPr>
          <w:rFonts w:ascii="Arial Rounded MT Bold" w:hAnsi="Arial Rounded MT Bold"/>
          <w:sz w:val="18"/>
          <w:szCs w:val="18"/>
        </w:rPr>
        <w:t xml:space="preserve"> (1999) also argue that without restoration-oriented behaviour a bereaved person may end up being completely unable to continue with daily life.</w:t>
      </w:r>
      <w:r w:rsidR="000B2871">
        <w:rPr>
          <w:rFonts w:ascii="Arial Rounded MT Bold" w:hAnsi="Arial Rounded MT Bold"/>
          <w:sz w:val="18"/>
          <w:szCs w:val="18"/>
        </w:rPr>
        <w:t xml:space="preserve"> </w:t>
      </w:r>
      <w:r w:rsidR="000B2871" w:rsidRPr="000B2871">
        <w:rPr>
          <w:rFonts w:ascii="Arial Rounded MT Bold" w:hAnsi="Arial Rounded MT Bold"/>
          <w:sz w:val="18"/>
          <w:szCs w:val="18"/>
        </w:rPr>
        <w:t xml:space="preserve">Finally, Oscillation is best used to describe the way a person experiencing grief can alternate between the two modes of being; loss-oriented and restoration-orientation. </w:t>
      </w:r>
      <w:proofErr w:type="spellStart"/>
      <w:r w:rsidR="000B2871" w:rsidRPr="000B2871">
        <w:rPr>
          <w:rFonts w:ascii="Arial Rounded MT Bold" w:hAnsi="Arial Rounded MT Bold"/>
          <w:sz w:val="18"/>
          <w:szCs w:val="18"/>
        </w:rPr>
        <w:t>Stroebe</w:t>
      </w:r>
      <w:proofErr w:type="spellEnd"/>
      <w:r w:rsidR="000B2871" w:rsidRPr="000B2871">
        <w:rPr>
          <w:rFonts w:ascii="Arial Rounded MT Bold" w:hAnsi="Arial Rounded MT Bold"/>
          <w:sz w:val="18"/>
          <w:szCs w:val="18"/>
        </w:rPr>
        <w:t xml:space="preserve"> &amp; </w:t>
      </w:r>
      <w:proofErr w:type="spellStart"/>
      <w:r w:rsidR="000B2871" w:rsidRPr="000B2871">
        <w:rPr>
          <w:rFonts w:ascii="Arial Rounded MT Bold" w:hAnsi="Arial Rounded MT Bold"/>
          <w:sz w:val="18"/>
          <w:szCs w:val="18"/>
        </w:rPr>
        <w:t>Schut</w:t>
      </w:r>
      <w:proofErr w:type="spellEnd"/>
      <w:r w:rsidR="000B2871" w:rsidRPr="000B2871">
        <w:rPr>
          <w:rFonts w:ascii="Arial Rounded MT Bold" w:hAnsi="Arial Rounded MT Bold"/>
          <w:sz w:val="18"/>
          <w:szCs w:val="18"/>
        </w:rPr>
        <w:t xml:space="preserve"> (1999) state that individuals who are suffering a bereavement should adopt this oscillation, as they are then able to freely move throughout the grief stage and challenge the reality of the loss one step at a time. </w:t>
      </w:r>
      <w:r w:rsidR="00827D98" w:rsidRPr="00827D98">
        <w:rPr>
          <w:rFonts w:ascii="Arial Rounded MT Bold" w:hAnsi="Arial Rounded MT Bold"/>
          <w:sz w:val="18"/>
          <w:szCs w:val="18"/>
        </w:rPr>
        <w:t>According to Hansson, Carpenter, &amp; Fairchild, (1993); Lund, Caserta, &amp; Dimond, (1993) both loss-oriented coping and restoration-oriented coping and run alongside each other and expressed recurrently. But some individuals do participate in loss-oriented actions more often than others during the primary stages of bereavement and then participate in more restoration-oriented tasks after.</w:t>
      </w:r>
    </w:p>
    <w:p w:rsidR="008D3803" w:rsidRDefault="0013727F" w:rsidP="00B14A99">
      <w:pPr>
        <w:spacing w:line="276" w:lineRule="auto"/>
        <w:rPr>
          <w:rFonts w:ascii="Arial Rounded MT Bold" w:hAnsi="Arial Rounded MT Bold" w:cs="Arial"/>
          <w:sz w:val="18"/>
          <w:szCs w:val="18"/>
        </w:rPr>
      </w:pPr>
      <w:r w:rsidRPr="00B7408F">
        <w:rPr>
          <w:rFonts w:ascii="Arial Rounded MT Bold" w:hAnsi="Arial Rounded MT Bold" w:cs="Arial"/>
          <w:sz w:val="18"/>
          <w:szCs w:val="18"/>
        </w:rPr>
        <w:t xml:space="preserve">Another theory that tries to explain and identify bereavement and grief is called the ‘stage model’ </w:t>
      </w:r>
      <w:r w:rsidR="005F419F" w:rsidRPr="00B7408F">
        <w:rPr>
          <w:rFonts w:ascii="Arial Rounded MT Bold" w:hAnsi="Arial Rounded MT Bold" w:cs="Arial"/>
          <w:sz w:val="18"/>
          <w:szCs w:val="18"/>
        </w:rPr>
        <w:t>(Kubler-Ross, 1969). Kubler-Ross proposed that stage theory consists of a series of</w:t>
      </w:r>
      <w:r w:rsidR="00A7730C">
        <w:rPr>
          <w:rFonts w:ascii="Arial Rounded MT Bold" w:hAnsi="Arial Rounded MT Bold" w:cs="Arial"/>
          <w:sz w:val="18"/>
          <w:szCs w:val="18"/>
        </w:rPr>
        <w:t xml:space="preserve"> what they call</w:t>
      </w:r>
      <w:r w:rsidR="005F419F" w:rsidRPr="00B7408F">
        <w:rPr>
          <w:rFonts w:ascii="Arial Rounded MT Bold" w:hAnsi="Arial Rounded MT Bold" w:cs="Arial"/>
          <w:sz w:val="18"/>
          <w:szCs w:val="18"/>
        </w:rPr>
        <w:t xml:space="preserve"> </w:t>
      </w:r>
      <w:r w:rsidR="00A7730C">
        <w:rPr>
          <w:rFonts w:ascii="Arial Rounded MT Bold" w:hAnsi="Arial Rounded MT Bold" w:cs="Arial"/>
          <w:sz w:val="18"/>
          <w:szCs w:val="18"/>
        </w:rPr>
        <w:t>‘</w:t>
      </w:r>
      <w:r w:rsidR="005F419F" w:rsidRPr="00B7408F">
        <w:rPr>
          <w:rFonts w:ascii="Arial Rounded MT Bold" w:hAnsi="Arial Rounded MT Bold" w:cs="Arial"/>
          <w:sz w:val="18"/>
          <w:szCs w:val="18"/>
        </w:rPr>
        <w:t>likely stages</w:t>
      </w:r>
      <w:r w:rsidR="00A7730C">
        <w:rPr>
          <w:rFonts w:ascii="Arial Rounded MT Bold" w:hAnsi="Arial Rounded MT Bold" w:cs="Arial"/>
          <w:sz w:val="18"/>
          <w:szCs w:val="18"/>
        </w:rPr>
        <w:t>’</w:t>
      </w:r>
      <w:r w:rsidR="005F419F" w:rsidRPr="00B7408F">
        <w:rPr>
          <w:rFonts w:ascii="Arial Rounded MT Bold" w:hAnsi="Arial Rounded MT Bold" w:cs="Arial"/>
          <w:sz w:val="18"/>
          <w:szCs w:val="18"/>
        </w:rPr>
        <w:t xml:space="preserve"> and that a person who is experiencing grief will progress through these stages. These likely stages include denial, anger, bargaining, depression and finally acceptance. </w:t>
      </w:r>
      <w:r w:rsidR="004260B9" w:rsidRPr="00B7408F">
        <w:rPr>
          <w:rFonts w:ascii="Arial Rounded MT Bold" w:hAnsi="Arial Rounded MT Bold" w:cs="Arial"/>
          <w:sz w:val="18"/>
          <w:szCs w:val="18"/>
        </w:rPr>
        <w:t>However, according to Archer (1999) the stage model lacks theoretical explanation</w:t>
      </w:r>
      <w:r w:rsidR="000015B3" w:rsidRPr="00B7408F">
        <w:rPr>
          <w:rFonts w:ascii="Arial Rounded MT Bold" w:hAnsi="Arial Rounded MT Bold" w:cs="Arial"/>
          <w:sz w:val="18"/>
          <w:szCs w:val="18"/>
        </w:rPr>
        <w:t xml:space="preserve">. In addition, Bonanno and Boerner </w:t>
      </w:r>
      <w:r w:rsidR="006921F0" w:rsidRPr="00B7408F">
        <w:rPr>
          <w:rFonts w:ascii="Arial Rounded MT Bold" w:hAnsi="Arial Rounded MT Bold" w:cs="Arial"/>
          <w:sz w:val="18"/>
          <w:szCs w:val="18"/>
        </w:rPr>
        <w:t>(</w:t>
      </w:r>
      <w:r w:rsidR="000015B3" w:rsidRPr="00B7408F">
        <w:rPr>
          <w:rFonts w:ascii="Arial Rounded MT Bold" w:hAnsi="Arial Rounded MT Bold" w:cs="Arial"/>
          <w:sz w:val="18"/>
          <w:szCs w:val="18"/>
        </w:rPr>
        <w:t>2007) expressed their concerns by stating that the stage model provides very little information about how people come to terms with loss</w:t>
      </w:r>
      <w:r w:rsidR="006921F0" w:rsidRPr="00B7408F">
        <w:rPr>
          <w:rFonts w:ascii="Arial Rounded MT Bold" w:hAnsi="Arial Rounded MT Bold" w:cs="Arial"/>
          <w:sz w:val="18"/>
          <w:szCs w:val="18"/>
        </w:rPr>
        <w:t xml:space="preserve">, </w:t>
      </w:r>
      <w:r w:rsidR="000015B3" w:rsidRPr="00B7408F">
        <w:rPr>
          <w:rFonts w:ascii="Arial Rounded MT Bold" w:hAnsi="Arial Rounded MT Bold" w:cs="Arial"/>
          <w:sz w:val="18"/>
          <w:szCs w:val="18"/>
        </w:rPr>
        <w:t>why people experience different types of distress a</w:t>
      </w:r>
      <w:r w:rsidR="006921F0" w:rsidRPr="00B7408F">
        <w:rPr>
          <w:rFonts w:ascii="Arial Rounded MT Bold" w:hAnsi="Arial Rounded MT Bold" w:cs="Arial"/>
          <w:sz w:val="18"/>
          <w:szCs w:val="18"/>
        </w:rPr>
        <w:t xml:space="preserve">t </w:t>
      </w:r>
      <w:r w:rsidR="000015B3" w:rsidRPr="00B7408F">
        <w:rPr>
          <w:rFonts w:ascii="Arial Rounded MT Bold" w:hAnsi="Arial Rounded MT Bold" w:cs="Arial"/>
          <w:sz w:val="18"/>
          <w:szCs w:val="18"/>
        </w:rPr>
        <w:t>different times</w:t>
      </w:r>
      <w:r w:rsidR="006921F0" w:rsidRPr="00B7408F">
        <w:rPr>
          <w:rFonts w:ascii="Arial Rounded MT Bold" w:hAnsi="Arial Rounded MT Bold" w:cs="Arial"/>
          <w:sz w:val="18"/>
          <w:szCs w:val="18"/>
        </w:rPr>
        <w:t xml:space="preserve"> and it also does not assist to recognise those at elevated risk or with difficulties in the mourning process (Bonanno and Boerner, 2007). </w:t>
      </w:r>
    </w:p>
    <w:p w:rsidR="00580FCA" w:rsidRPr="00B7408F" w:rsidRDefault="00BE6FE2" w:rsidP="00B14A99">
      <w:pPr>
        <w:spacing w:line="276" w:lineRule="auto"/>
        <w:rPr>
          <w:rFonts w:ascii="Arial Rounded MT Bold" w:hAnsi="Arial Rounded MT Bold" w:cstheme="minorHAnsi"/>
          <w:sz w:val="18"/>
          <w:szCs w:val="18"/>
        </w:rPr>
      </w:pPr>
      <w:r w:rsidRPr="00B7408F">
        <w:rPr>
          <w:rFonts w:ascii="Arial Rounded MT Bold" w:hAnsi="Arial Rounded MT Bold" w:cstheme="minorHAnsi"/>
          <w:sz w:val="18"/>
          <w:szCs w:val="18"/>
        </w:rPr>
        <w:t xml:space="preserve">An </w:t>
      </w:r>
      <w:r w:rsidR="00282BAE" w:rsidRPr="00B7408F">
        <w:rPr>
          <w:rFonts w:ascii="Arial Rounded MT Bold" w:hAnsi="Arial Rounded MT Bold" w:cstheme="minorHAnsi"/>
          <w:sz w:val="18"/>
          <w:szCs w:val="18"/>
        </w:rPr>
        <w:t>evaluation</w:t>
      </w:r>
      <w:r w:rsidRPr="00B7408F">
        <w:rPr>
          <w:rFonts w:ascii="Arial Rounded MT Bold" w:hAnsi="Arial Rounded MT Bold" w:cstheme="minorHAnsi"/>
          <w:sz w:val="18"/>
          <w:szCs w:val="18"/>
        </w:rPr>
        <w:t xml:space="preserve"> of this theory was offered by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(1998).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states that the phrase “stages” suggests a set sequence of set circumstances. </w:t>
      </w:r>
      <w:proofErr w:type="spellStart"/>
      <w:r w:rsidRPr="00B7408F">
        <w:rPr>
          <w:rFonts w:ascii="Arial Rounded MT Bold" w:hAnsi="Arial Rounded MT Bold" w:cstheme="minorHAnsi"/>
          <w:sz w:val="18"/>
          <w:szCs w:val="18"/>
        </w:rPr>
        <w:t>Kastenbaum</w:t>
      </w:r>
      <w:proofErr w:type="spellEnd"/>
      <w:r w:rsidRPr="00B7408F">
        <w:rPr>
          <w:rFonts w:ascii="Arial Rounded MT Bold" w:hAnsi="Arial Rounded MT Bold" w:cstheme="minorHAnsi"/>
          <w:sz w:val="18"/>
          <w:szCs w:val="18"/>
        </w:rPr>
        <w:t xml:space="preserve"> (1998) suggests there is no proof that people who are bereaved experience the stages in their supposed correct sequence.</w:t>
      </w:r>
      <w:r w:rsidR="003E4966" w:rsidRPr="00B7408F">
        <w:rPr>
          <w:rFonts w:ascii="Arial Rounded MT Bold" w:hAnsi="Arial Rounded MT Bold" w:cstheme="minorHAnsi"/>
          <w:sz w:val="18"/>
          <w:szCs w:val="18"/>
        </w:rPr>
        <w:t xml:space="preserve"> The sequences mentioned in the stage model may not be the sequences experienced by every person and they may experience feelings that are not stated throughout the stage model. More specifically, there is no evidence that people who are suffering with bereavement complete all the stages. </w:t>
      </w:r>
    </w:p>
    <w:p w:rsidR="00B14A99" w:rsidRDefault="0091349C" w:rsidP="00B14A99">
      <w:pPr>
        <w:spacing w:line="276" w:lineRule="auto"/>
        <w:rPr>
          <w:rFonts w:ascii="Arial Rounded MT Bold" w:hAnsi="Arial Rounded MT Bold"/>
          <w:sz w:val="18"/>
          <w:szCs w:val="18"/>
        </w:rPr>
      </w:pPr>
      <w:r w:rsidRPr="00B7408F">
        <w:rPr>
          <w:noProof/>
          <w:sz w:val="18"/>
          <w:szCs w:val="18"/>
        </w:rPr>
        <w:lastRenderedPageBreak/>
        <w:drawing>
          <wp:anchor distT="0" distB="0" distL="114300" distR="114300" simplePos="0" relativeHeight="251660288" behindDoc="1" locked="0" layoutInCell="1" allowOverlap="1">
            <wp:simplePos x="0" y="0"/>
            <wp:positionH relativeFrom="column">
              <wp:posOffset>3409315</wp:posOffset>
            </wp:positionH>
            <wp:positionV relativeFrom="paragraph">
              <wp:posOffset>306070</wp:posOffset>
            </wp:positionV>
            <wp:extent cx="2382520" cy="2107565"/>
            <wp:effectExtent l="209550" t="209550" r="208280" b="216535"/>
            <wp:wrapTight wrapText="bothSides">
              <wp:wrapPolygon edited="0">
                <wp:start x="-518" y="-2148"/>
                <wp:lineTo x="-1900" y="-1757"/>
                <wp:lineTo x="-1900" y="20500"/>
                <wp:lineTo x="-518" y="23234"/>
                <wp:lineTo x="-518" y="23624"/>
                <wp:lineTo x="21934" y="23624"/>
                <wp:lineTo x="22107" y="23234"/>
                <wp:lineTo x="23316" y="20305"/>
                <wp:lineTo x="23316" y="1367"/>
                <wp:lineTo x="22107" y="-1562"/>
                <wp:lineTo x="21934" y="-2148"/>
                <wp:lineTo x="-518" y="-2148"/>
              </wp:wrapPolygon>
            </wp:wrapTight>
            <wp:docPr id="7" name="Picture 7" descr="Bowlby's Attach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owlby's Attachment Theo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2520" cy="2107565"/>
                    </a:xfrm>
                    <a:prstGeom prst="rect">
                      <a:avLst/>
                    </a:prstGeom>
                    <a:ln>
                      <a:solidFill>
                        <a:srgbClr val="FF0000"/>
                      </a:solidFill>
                    </a:ln>
                    <a:effectLst>
                      <a:glow rad="63500">
                        <a:schemeClr val="accent2">
                          <a:satMod val="175000"/>
                          <a:alpha val="40000"/>
                        </a:schemeClr>
                      </a:glow>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7A0CCD" w:rsidRPr="00B7408F">
        <w:rPr>
          <w:rFonts w:ascii="Arial Rounded MT Bold" w:hAnsi="Arial Rounded MT Bold" w:cstheme="minorHAnsi"/>
          <w:sz w:val="18"/>
          <w:szCs w:val="18"/>
        </w:rPr>
        <w:t>Bowlby’s (1961) theory of attachment is another theory that attempts to understand grief</w:t>
      </w:r>
      <w:r w:rsidR="00CE6583" w:rsidRPr="00B7408F">
        <w:rPr>
          <w:rFonts w:ascii="Arial Rounded MT Bold" w:hAnsi="Arial Rounded MT Bold" w:cstheme="minorHAnsi"/>
          <w:sz w:val="18"/>
          <w:szCs w:val="18"/>
        </w:rPr>
        <w:t>. Bowlby suggests that humans tend to form strong affectional relationships and that attachment is reciprocal. This happens because of long-term interactions which start in childhood between the infant and its caregivers</w:t>
      </w:r>
      <w:r w:rsidR="001D2CF8" w:rsidRPr="00B7408F">
        <w:rPr>
          <w:rFonts w:ascii="Arial Rounded MT Bold" w:hAnsi="Arial Rounded MT Bold" w:cstheme="minorHAnsi"/>
          <w:sz w:val="18"/>
          <w:szCs w:val="18"/>
        </w:rPr>
        <w:t xml:space="preserve">, however, during adulthood the attachment shifts from caregivers to romantic partners. </w:t>
      </w:r>
      <w:r w:rsidR="00282BAE" w:rsidRPr="00B7408F">
        <w:rPr>
          <w:rFonts w:ascii="Arial Rounded MT Bold" w:hAnsi="Arial Rounded MT Bold" w:cstheme="minorHAnsi"/>
          <w:sz w:val="18"/>
          <w:szCs w:val="18"/>
        </w:rPr>
        <w:t xml:space="preserve">According to </w:t>
      </w:r>
      <w:proofErr w:type="spellStart"/>
      <w:r w:rsidR="00282BAE" w:rsidRPr="00B7408F">
        <w:rPr>
          <w:rFonts w:ascii="Arial Rounded MT Bold" w:hAnsi="Arial Rounded MT Bold" w:cstheme="minorHAnsi"/>
          <w:sz w:val="18"/>
          <w:szCs w:val="18"/>
        </w:rPr>
        <w:t>Ciechanowski</w:t>
      </w:r>
      <w:proofErr w:type="spellEnd"/>
      <w:r w:rsidR="00282BAE" w:rsidRPr="00B7408F">
        <w:rPr>
          <w:rFonts w:ascii="Arial Rounded MT Bold" w:hAnsi="Arial Rounded MT Bold" w:cstheme="minorHAnsi"/>
          <w:sz w:val="18"/>
          <w:szCs w:val="18"/>
        </w:rPr>
        <w:t xml:space="preserve"> et al., (2001, 2002) it has been previously recognised that Bowlby’s attachment theory could be used to understand the attachment behaviour in</w:t>
      </w:r>
      <w:r w:rsidR="009744F0">
        <w:rPr>
          <w:rFonts w:ascii="Arial Rounded MT Bold" w:hAnsi="Arial Rounded MT Bold" w:cstheme="minorHAnsi"/>
          <w:sz w:val="18"/>
          <w:szCs w:val="18"/>
        </w:rPr>
        <w:t xml:space="preserve"> elderly</w:t>
      </w:r>
      <w:r w:rsidR="00282BAE" w:rsidRPr="00B7408F">
        <w:rPr>
          <w:rFonts w:ascii="Arial Rounded MT Bold" w:hAnsi="Arial Rounded MT Bold" w:cstheme="minorHAnsi"/>
          <w:sz w:val="18"/>
          <w:szCs w:val="18"/>
        </w:rPr>
        <w:t xml:space="preserve"> adults to comprehend their behaviour whilst </w:t>
      </w:r>
      <w:r w:rsidR="00EA6FA7" w:rsidRPr="00B7408F">
        <w:rPr>
          <w:rFonts w:ascii="Arial Rounded MT Bold" w:hAnsi="Arial Rounded MT Bold" w:cstheme="minorHAnsi"/>
          <w:sz w:val="18"/>
          <w:szCs w:val="18"/>
        </w:rPr>
        <w:t xml:space="preserve">they are </w:t>
      </w:r>
      <w:r w:rsidR="00282BAE" w:rsidRPr="00B7408F">
        <w:rPr>
          <w:rFonts w:ascii="Arial Rounded MT Bold" w:hAnsi="Arial Rounded MT Bold" w:cstheme="minorHAnsi"/>
          <w:sz w:val="18"/>
          <w:szCs w:val="18"/>
        </w:rPr>
        <w:t>experiencing an illness</w:t>
      </w:r>
      <w:r w:rsidR="00024959" w:rsidRPr="00B7408F">
        <w:rPr>
          <w:rFonts w:ascii="Arial Rounded MT Bold" w:hAnsi="Arial Rounded MT Bold" w:cstheme="minorHAnsi"/>
          <w:sz w:val="18"/>
          <w:szCs w:val="18"/>
        </w:rPr>
        <w:t xml:space="preserve"> e.g. dementia</w:t>
      </w:r>
      <w:r w:rsidR="00282BAE" w:rsidRPr="00B7408F">
        <w:rPr>
          <w:rFonts w:ascii="Arial Rounded MT Bold" w:hAnsi="Arial Rounded MT Bold" w:cstheme="minorHAnsi"/>
          <w:sz w:val="18"/>
          <w:szCs w:val="18"/>
        </w:rPr>
        <w:t>.</w:t>
      </w:r>
      <w:r w:rsidR="00EA6FA7" w:rsidRPr="00B7408F">
        <w:rPr>
          <w:rFonts w:ascii="Arial Rounded MT Bold" w:hAnsi="Arial Rounded MT Bold" w:cstheme="minorHAnsi"/>
          <w:sz w:val="18"/>
          <w:szCs w:val="18"/>
        </w:rPr>
        <w:t xml:space="preserve"> Previous research has normally focused on the connection between experiences in early stage attachment and how these experiences impact behavioural responses to illness and death (</w:t>
      </w:r>
      <w:proofErr w:type="spellStart"/>
      <w:r w:rsidR="00EA6FA7" w:rsidRPr="00B7408F">
        <w:rPr>
          <w:rFonts w:ascii="Arial Rounded MT Bold" w:hAnsi="Arial Rounded MT Bold"/>
          <w:sz w:val="18"/>
          <w:szCs w:val="18"/>
        </w:rPr>
        <w:t>Ciechanowski</w:t>
      </w:r>
      <w:proofErr w:type="spellEnd"/>
      <w:r w:rsidR="00EA6FA7" w:rsidRPr="00B7408F">
        <w:rPr>
          <w:rFonts w:ascii="Arial Rounded MT Bold" w:hAnsi="Arial Rounded MT Bold"/>
          <w:sz w:val="18"/>
          <w:szCs w:val="18"/>
        </w:rPr>
        <w:t xml:space="preserve"> et al., 2001, 2002)</w:t>
      </w:r>
      <w:r w:rsidR="002C6F4F" w:rsidRPr="00B7408F">
        <w:rPr>
          <w:rFonts w:ascii="Arial Rounded MT Bold" w:hAnsi="Arial Rounded MT Bold"/>
          <w:sz w:val="18"/>
          <w:szCs w:val="18"/>
        </w:rPr>
        <w:t xml:space="preserve">. </w:t>
      </w:r>
      <w:r w:rsidR="00024959" w:rsidRPr="00B7408F">
        <w:rPr>
          <w:rFonts w:ascii="Arial Rounded MT Bold" w:hAnsi="Arial Rounded MT Bold"/>
          <w:sz w:val="18"/>
          <w:szCs w:val="18"/>
        </w:rPr>
        <w:t xml:space="preserve">In a study by </w:t>
      </w:r>
      <w:proofErr w:type="spellStart"/>
      <w:r w:rsidR="00024959" w:rsidRPr="00B7408F">
        <w:rPr>
          <w:rFonts w:ascii="Arial Rounded MT Bold" w:hAnsi="Arial Rounded MT Bold"/>
          <w:sz w:val="18"/>
          <w:szCs w:val="18"/>
        </w:rPr>
        <w:t>Hazan</w:t>
      </w:r>
      <w:proofErr w:type="spellEnd"/>
      <w:r w:rsidR="00024959" w:rsidRPr="00B7408F">
        <w:rPr>
          <w:rFonts w:ascii="Arial Rounded MT Bold" w:hAnsi="Arial Rounded MT Bold"/>
          <w:sz w:val="18"/>
          <w:szCs w:val="18"/>
        </w:rPr>
        <w:t xml:space="preserve"> &amp; Shaver (1987, 1990), they discovered that even though attachment behaviour derives from the connection between infant and guardian it does continue during the lifespan. </w:t>
      </w:r>
    </w:p>
    <w:p w:rsidR="00A21C30" w:rsidRDefault="008D3803" w:rsidP="00DD6A5F">
      <w:pPr>
        <w:rPr>
          <w:rFonts w:ascii="Arial Rounded MT Bold" w:hAnsi="Arial Rounded MT Bold"/>
          <w:sz w:val="18"/>
          <w:szCs w:val="18"/>
        </w:rPr>
      </w:pPr>
      <w:r>
        <w:rPr>
          <w:rFonts w:ascii="Arial Rounded MT Bold" w:hAnsi="Arial Rounded MT Bold"/>
          <w:sz w:val="18"/>
          <w:szCs w:val="18"/>
        </w:rPr>
        <w:t>O</w:t>
      </w:r>
      <w:r w:rsidR="00D23928" w:rsidRPr="00D23928">
        <w:rPr>
          <w:rFonts w:ascii="Arial Rounded MT Bold" w:hAnsi="Arial Rounded MT Bold"/>
          <w:sz w:val="18"/>
          <w:szCs w:val="18"/>
        </w:rPr>
        <w:t>ne of the greatest recognised explanations regarding social relations on health is often called the “widow effect”</w:t>
      </w:r>
      <w:r>
        <w:rPr>
          <w:rFonts w:ascii="Arial Rounded MT Bold" w:hAnsi="Arial Rounded MT Bold"/>
          <w:sz w:val="18"/>
          <w:szCs w:val="18"/>
        </w:rPr>
        <w:t xml:space="preserve"> (</w:t>
      </w:r>
      <w:r w:rsidRPr="00D23928">
        <w:rPr>
          <w:rFonts w:ascii="Arial Rounded MT Bold" w:hAnsi="Arial Rounded MT Bold"/>
          <w:sz w:val="18"/>
          <w:szCs w:val="18"/>
        </w:rPr>
        <w:t xml:space="preserve">Schaefer, </w:t>
      </w:r>
      <w:proofErr w:type="spellStart"/>
      <w:r w:rsidRPr="00D23928">
        <w:rPr>
          <w:rFonts w:ascii="Arial Rounded MT Bold" w:hAnsi="Arial Rounded MT Bold"/>
          <w:sz w:val="18"/>
          <w:szCs w:val="18"/>
        </w:rPr>
        <w:t>Quesenberry</w:t>
      </w:r>
      <w:proofErr w:type="spellEnd"/>
      <w:r w:rsidRPr="00D23928">
        <w:rPr>
          <w:rFonts w:ascii="Arial Rounded MT Bold" w:hAnsi="Arial Rounded MT Bold"/>
          <w:sz w:val="18"/>
          <w:szCs w:val="18"/>
        </w:rPr>
        <w:t xml:space="preserve"> Jr, &amp; Wi</w:t>
      </w:r>
      <w:r>
        <w:rPr>
          <w:rFonts w:ascii="Arial Rounded MT Bold" w:hAnsi="Arial Rounded MT Bold"/>
          <w:sz w:val="18"/>
          <w:szCs w:val="18"/>
        </w:rPr>
        <w:t xml:space="preserve">, </w:t>
      </w:r>
      <w:r w:rsidRPr="00D23928">
        <w:rPr>
          <w:rFonts w:ascii="Arial Rounded MT Bold" w:hAnsi="Arial Rounded MT Bold"/>
          <w:sz w:val="18"/>
          <w:szCs w:val="18"/>
        </w:rPr>
        <w:t>1995)</w:t>
      </w:r>
      <w:r>
        <w:rPr>
          <w:rFonts w:ascii="Arial Rounded MT Bold" w:hAnsi="Arial Rounded MT Bold"/>
          <w:sz w:val="18"/>
          <w:szCs w:val="18"/>
        </w:rPr>
        <w:t>.</w:t>
      </w:r>
      <w:r w:rsidR="00D23928" w:rsidRPr="00D23928">
        <w:rPr>
          <w:rFonts w:ascii="Arial Rounded MT Bold" w:hAnsi="Arial Rounded MT Bold"/>
          <w:sz w:val="18"/>
          <w:szCs w:val="18"/>
        </w:rPr>
        <w:t xml:space="preserve"> The </w:t>
      </w:r>
      <w:r>
        <w:rPr>
          <w:rFonts w:ascii="Arial Rounded MT Bold" w:hAnsi="Arial Rounded MT Bold"/>
          <w:sz w:val="18"/>
          <w:szCs w:val="18"/>
        </w:rPr>
        <w:t>W</w:t>
      </w:r>
      <w:r w:rsidR="00D23928" w:rsidRPr="00D23928">
        <w:rPr>
          <w:rFonts w:ascii="Arial Rounded MT Bold" w:hAnsi="Arial Rounded MT Bold"/>
          <w:sz w:val="18"/>
          <w:szCs w:val="18"/>
        </w:rPr>
        <w:t xml:space="preserve">idow effect provides an explanation as to the increased probability for a newly widowed individual to pass away. The </w:t>
      </w:r>
      <w:r>
        <w:rPr>
          <w:rFonts w:ascii="Arial Rounded MT Bold" w:hAnsi="Arial Rounded MT Bold"/>
          <w:sz w:val="18"/>
          <w:szCs w:val="18"/>
        </w:rPr>
        <w:t>W</w:t>
      </w:r>
      <w:r w:rsidR="00D23928" w:rsidRPr="00D23928">
        <w:rPr>
          <w:rFonts w:ascii="Arial Rounded MT Bold" w:hAnsi="Arial Rounded MT Bold"/>
          <w:sz w:val="18"/>
          <w:szCs w:val="18"/>
        </w:rPr>
        <w:t xml:space="preserve">idowhood effect has been discovered to be present among both males and females of every age all over the world (Kraus &amp; Lilienfeld, 1959; Hu &amp; Goldman, 1990). A current longitudinal study Kraus &amp; Lilienfeld, (1959); Hu &amp; Goldman (1990) placed the additional death of widowhood (in comparison with marriage) amongst the elderly people between 30% and 90% in the initial three months of marriage and about 15% in the continuing months (Schaefer &amp; </w:t>
      </w:r>
      <w:proofErr w:type="spellStart"/>
      <w:r w:rsidR="00D23928" w:rsidRPr="00D23928">
        <w:rPr>
          <w:rFonts w:ascii="Arial Rounded MT Bold" w:hAnsi="Arial Rounded MT Bold"/>
          <w:sz w:val="18"/>
          <w:szCs w:val="18"/>
        </w:rPr>
        <w:t>Quesenberry</w:t>
      </w:r>
      <w:proofErr w:type="spellEnd"/>
      <w:r w:rsidR="00D23928" w:rsidRPr="00D23928">
        <w:rPr>
          <w:rFonts w:ascii="Arial Rounded MT Bold" w:hAnsi="Arial Rounded MT Bold"/>
          <w:sz w:val="18"/>
          <w:szCs w:val="18"/>
        </w:rPr>
        <w:t xml:space="preserve">, 1995; </w:t>
      </w:r>
      <w:proofErr w:type="spellStart"/>
      <w:r w:rsidR="00D23928" w:rsidRPr="00D23928">
        <w:rPr>
          <w:rFonts w:ascii="Arial Rounded MT Bold" w:hAnsi="Arial Rounded MT Bold"/>
          <w:sz w:val="18"/>
          <w:szCs w:val="18"/>
        </w:rPr>
        <w:t>Martikainen</w:t>
      </w:r>
      <w:proofErr w:type="spellEnd"/>
      <w:r w:rsidR="00D23928" w:rsidRPr="00D23928">
        <w:rPr>
          <w:rFonts w:ascii="Arial Rounded MT Bold" w:hAnsi="Arial Rounded MT Bold"/>
          <w:sz w:val="18"/>
          <w:szCs w:val="18"/>
        </w:rPr>
        <w:t xml:space="preserve"> &amp; </w:t>
      </w:r>
      <w:proofErr w:type="spellStart"/>
      <w:r w:rsidR="00D23928" w:rsidRPr="00D23928">
        <w:rPr>
          <w:rFonts w:ascii="Arial Rounded MT Bold" w:hAnsi="Arial Rounded MT Bold"/>
          <w:sz w:val="18"/>
          <w:szCs w:val="18"/>
        </w:rPr>
        <w:t>Valkonen</w:t>
      </w:r>
      <w:proofErr w:type="spellEnd"/>
      <w:r w:rsidR="00D23928" w:rsidRPr="00D23928">
        <w:rPr>
          <w:rFonts w:ascii="Arial Rounded MT Bold" w:hAnsi="Arial Rounded MT Bold"/>
          <w:sz w:val="18"/>
          <w:szCs w:val="18"/>
        </w:rPr>
        <w:t xml:space="preserve">, 1996; </w:t>
      </w:r>
      <w:proofErr w:type="spellStart"/>
      <w:r w:rsidR="00D23928" w:rsidRPr="00D23928">
        <w:rPr>
          <w:rFonts w:ascii="Arial Rounded MT Bold" w:hAnsi="Arial Rounded MT Bold"/>
          <w:sz w:val="18"/>
          <w:szCs w:val="18"/>
        </w:rPr>
        <w:t>Jognson</w:t>
      </w:r>
      <w:proofErr w:type="spellEnd"/>
      <w:r w:rsidR="00D23928" w:rsidRPr="00D23928">
        <w:rPr>
          <w:rFonts w:ascii="Arial Rounded MT Bold" w:hAnsi="Arial Rounded MT Bold"/>
          <w:sz w:val="18"/>
          <w:szCs w:val="18"/>
        </w:rPr>
        <w:t xml:space="preserve">, Backlund, </w:t>
      </w:r>
      <w:proofErr w:type="spellStart"/>
      <w:r w:rsidR="00D23928" w:rsidRPr="00D23928">
        <w:rPr>
          <w:rFonts w:ascii="Arial Rounded MT Bold" w:hAnsi="Arial Rounded MT Bold"/>
          <w:sz w:val="18"/>
          <w:szCs w:val="18"/>
        </w:rPr>
        <w:t>Sorlie</w:t>
      </w:r>
      <w:proofErr w:type="spellEnd"/>
      <w:r w:rsidR="00D23928" w:rsidRPr="00D23928">
        <w:rPr>
          <w:rFonts w:ascii="Arial Rounded MT Bold" w:hAnsi="Arial Rounded MT Bold"/>
          <w:sz w:val="18"/>
          <w:szCs w:val="18"/>
        </w:rPr>
        <w:t xml:space="preserve"> &amp; Loveless, 2000; </w:t>
      </w:r>
      <w:proofErr w:type="spellStart"/>
      <w:r w:rsidR="00D23928" w:rsidRPr="00D23928">
        <w:rPr>
          <w:rFonts w:ascii="Arial Rounded MT Bold" w:hAnsi="Arial Rounded MT Bold"/>
          <w:sz w:val="18"/>
          <w:szCs w:val="18"/>
        </w:rPr>
        <w:t>Elwert</w:t>
      </w:r>
      <w:proofErr w:type="spellEnd"/>
      <w:r w:rsidR="00D23928" w:rsidRPr="00D23928">
        <w:rPr>
          <w:rFonts w:ascii="Arial Rounded MT Bold" w:hAnsi="Arial Rounded MT Bold"/>
          <w:sz w:val="18"/>
          <w:szCs w:val="18"/>
        </w:rPr>
        <w:t xml:space="preserve"> &amp; Christakis, 2006). </w:t>
      </w:r>
    </w:p>
    <w:p w:rsidR="008D3803" w:rsidRDefault="009C4ED1" w:rsidP="008D3803">
      <w:pPr>
        <w:rPr>
          <w:rFonts w:ascii="Arial Rounded MT Bold" w:hAnsi="Arial Rounded MT Bold"/>
          <w:sz w:val="18"/>
          <w:szCs w:val="18"/>
        </w:rPr>
      </w:pPr>
      <w:proofErr w:type="spellStart"/>
      <w:r w:rsidRPr="009C4ED1">
        <w:rPr>
          <w:rFonts w:ascii="Arial Rounded MT Bold" w:hAnsi="Arial Rounded MT Bold"/>
          <w:sz w:val="18"/>
          <w:szCs w:val="18"/>
        </w:rPr>
        <w:t>Elwert</w:t>
      </w:r>
      <w:proofErr w:type="spellEnd"/>
      <w:r w:rsidRPr="009C4ED1">
        <w:rPr>
          <w:rFonts w:ascii="Arial Rounded MT Bold" w:hAnsi="Arial Rounded MT Bold"/>
          <w:sz w:val="18"/>
          <w:szCs w:val="18"/>
        </w:rPr>
        <w:t xml:space="preserve"> &amp; Christakis et al., (2008) stated that the bereavement of a </w:t>
      </w:r>
      <w:r w:rsidR="0037686E">
        <w:rPr>
          <w:rFonts w:ascii="Arial Rounded MT Bold" w:hAnsi="Arial Rounded MT Bold"/>
          <w:sz w:val="18"/>
          <w:szCs w:val="18"/>
        </w:rPr>
        <w:t>partner</w:t>
      </w:r>
      <w:r w:rsidRPr="009C4ED1">
        <w:rPr>
          <w:rFonts w:ascii="Arial Rounded MT Bold" w:hAnsi="Arial Rounded MT Bold"/>
          <w:sz w:val="18"/>
          <w:szCs w:val="18"/>
        </w:rPr>
        <w:t xml:space="preserve"> is commonly related with an </w:t>
      </w:r>
      <w:r w:rsidR="0037686E">
        <w:rPr>
          <w:rFonts w:ascii="Arial Rounded MT Bold" w:hAnsi="Arial Rounded MT Bold"/>
          <w:sz w:val="18"/>
          <w:szCs w:val="18"/>
        </w:rPr>
        <w:t>expanded</w:t>
      </w:r>
      <w:r w:rsidR="0037686E" w:rsidRPr="009C4ED1">
        <w:rPr>
          <w:rFonts w:ascii="Arial Rounded MT Bold" w:hAnsi="Arial Rounded MT Bold"/>
          <w:sz w:val="18"/>
          <w:szCs w:val="18"/>
        </w:rPr>
        <w:t xml:space="preserve"> </w:t>
      </w:r>
      <w:r w:rsidRPr="009C4ED1">
        <w:rPr>
          <w:rFonts w:ascii="Arial Rounded MT Bold" w:hAnsi="Arial Rounded MT Bold"/>
          <w:sz w:val="18"/>
          <w:szCs w:val="18"/>
        </w:rPr>
        <w:t xml:space="preserve">age </w:t>
      </w:r>
      <w:r w:rsidR="0037686E">
        <w:rPr>
          <w:rFonts w:ascii="Arial Rounded MT Bold" w:hAnsi="Arial Rounded MT Bold"/>
          <w:sz w:val="18"/>
          <w:szCs w:val="18"/>
        </w:rPr>
        <w:t>specific</w:t>
      </w:r>
      <w:r w:rsidRPr="009C4ED1">
        <w:rPr>
          <w:rFonts w:ascii="Arial Rounded MT Bold" w:hAnsi="Arial Rounded MT Bold"/>
          <w:sz w:val="18"/>
          <w:szCs w:val="18"/>
        </w:rPr>
        <w:t xml:space="preserve"> likelihood of dying for the living </w:t>
      </w:r>
      <w:r w:rsidR="0037686E" w:rsidRPr="009C4ED1">
        <w:rPr>
          <w:rFonts w:ascii="Arial Rounded MT Bold" w:hAnsi="Arial Rounded MT Bold"/>
          <w:sz w:val="18"/>
          <w:szCs w:val="18"/>
        </w:rPr>
        <w:t>partner</w:t>
      </w:r>
      <w:r w:rsidRPr="009C4ED1">
        <w:rPr>
          <w:rFonts w:ascii="Arial Rounded MT Bold" w:hAnsi="Arial Rounded MT Bold"/>
          <w:sz w:val="18"/>
          <w:szCs w:val="18"/>
        </w:rPr>
        <w:t xml:space="preserve"> comparative to wedded males or females. Becoming a widow does not only interrupt long-lasting companionship but also interrupts monetary changes and additional major lifestyle routines. Adapting to these lifestyle changes may result in weak health consequences for the living partner.  </w:t>
      </w:r>
      <w:r w:rsidR="008D3803" w:rsidRPr="008D3803">
        <w:rPr>
          <w:rFonts w:ascii="Arial Rounded MT Bold" w:hAnsi="Arial Rounded MT Bold"/>
          <w:sz w:val="18"/>
          <w:szCs w:val="18"/>
        </w:rPr>
        <w:t>According to Thierry (2000), descriptions for the theory known as the widow effect has been separated into three overall groups: selection into widowhood, the direct consequence of shock and new accommodation arrangements. Originally, the connection between widowhood and mortality risk may be false. Bowling (1987), stated that selection into widowhood may be a contributing factor to morality as these individuals who have a higher chance of becoming widows may also possess higher rates of mortality risks due to shared domestic qualities (Bowling, 1987). An example of this was provided by Bowling (1987), and this s</w:t>
      </w:r>
      <w:bookmarkStart w:id="0" w:name="_GoBack"/>
      <w:bookmarkEnd w:id="0"/>
      <w:r w:rsidR="008D3803" w:rsidRPr="008D3803">
        <w:rPr>
          <w:rFonts w:ascii="Arial Rounded MT Bold" w:hAnsi="Arial Rounded MT Bold"/>
          <w:sz w:val="18"/>
          <w:szCs w:val="18"/>
        </w:rPr>
        <w:t xml:space="preserve">tates that individuals with a lower social economic status are more prone to die compared to those who possess a higher social economic status who are of a similar age and are also more probable to be married to a partner who also has low economic status. Therefore, individuals who have low economic status are concurrently more probable to experience spousal bereavement and more likely to die themselves, independent of any widowhood effect Bowling, 1987). </w:t>
      </w:r>
    </w:p>
    <w:p w:rsidR="00CA17DC" w:rsidRDefault="008D3803" w:rsidP="00013C76">
      <w:pPr>
        <w:rPr>
          <w:rFonts w:ascii="Arial Rounded MT Bold" w:hAnsi="Arial Rounded MT Bold"/>
          <w:sz w:val="18"/>
          <w:szCs w:val="18"/>
        </w:rPr>
      </w:pPr>
      <w:r w:rsidRPr="008D3803">
        <w:rPr>
          <w:rFonts w:ascii="Arial Rounded MT Bold" w:hAnsi="Arial Rounded MT Bold"/>
          <w:sz w:val="18"/>
          <w:szCs w:val="18"/>
        </w:rPr>
        <w:t>Mortality rates may rise d</w:t>
      </w:r>
      <w:r>
        <w:rPr>
          <w:rFonts w:ascii="Arial Rounded MT Bold" w:hAnsi="Arial Rounded MT Bold"/>
          <w:sz w:val="18"/>
          <w:szCs w:val="18"/>
        </w:rPr>
        <w:t>ue to</w:t>
      </w:r>
      <w:r w:rsidRPr="008D3803">
        <w:rPr>
          <w:rFonts w:ascii="Arial Rounded MT Bold" w:hAnsi="Arial Rounded MT Bold"/>
          <w:sz w:val="18"/>
          <w:szCs w:val="18"/>
        </w:rPr>
        <w:t xml:space="preserve"> the direct effects of widowhood </w:t>
      </w:r>
      <w:r>
        <w:rPr>
          <w:rFonts w:ascii="Arial Rounded MT Bold" w:hAnsi="Arial Rounded MT Bold"/>
          <w:sz w:val="18"/>
          <w:szCs w:val="18"/>
        </w:rPr>
        <w:t>(</w:t>
      </w:r>
      <w:r w:rsidRPr="008D3803">
        <w:rPr>
          <w:rFonts w:ascii="Arial Rounded MT Bold" w:hAnsi="Arial Rounded MT Bold"/>
          <w:sz w:val="18"/>
          <w:szCs w:val="18"/>
        </w:rPr>
        <w:t>Strobe</w:t>
      </w:r>
      <w:r>
        <w:rPr>
          <w:rFonts w:ascii="Arial Rounded MT Bold" w:hAnsi="Arial Rounded MT Bold"/>
          <w:sz w:val="18"/>
          <w:szCs w:val="18"/>
        </w:rPr>
        <w:t xml:space="preserve">, </w:t>
      </w:r>
      <w:r w:rsidRPr="008D3803">
        <w:rPr>
          <w:rFonts w:ascii="Arial Rounded MT Bold" w:hAnsi="Arial Rounded MT Bold"/>
          <w:sz w:val="18"/>
          <w:szCs w:val="18"/>
        </w:rPr>
        <w:t>1994)</w:t>
      </w:r>
      <w:r>
        <w:rPr>
          <w:rFonts w:ascii="Arial Rounded MT Bold" w:hAnsi="Arial Rounded MT Bold"/>
          <w:sz w:val="18"/>
          <w:szCs w:val="18"/>
        </w:rPr>
        <w:t>.</w:t>
      </w:r>
      <w:r w:rsidRPr="008D3803">
        <w:rPr>
          <w:rFonts w:ascii="Arial Rounded MT Bold" w:hAnsi="Arial Rounded MT Bold"/>
          <w:sz w:val="18"/>
          <w:szCs w:val="18"/>
        </w:rPr>
        <w:t xml:space="preserve"> One probability of this could be caused by overall “wear and tear” which may be related to providing support to their dying partner, particularly if the partners death was prolonged due to a drawn-out ailment. (</w:t>
      </w:r>
      <w:proofErr w:type="spellStart"/>
      <w:r w:rsidRPr="008D3803">
        <w:rPr>
          <w:rFonts w:ascii="Arial Rounded MT Bold" w:hAnsi="Arial Rounded MT Bold"/>
          <w:sz w:val="18"/>
        </w:rPr>
        <w:t>Pruchno</w:t>
      </w:r>
      <w:proofErr w:type="spellEnd"/>
      <w:r w:rsidRPr="008D3803">
        <w:rPr>
          <w:rFonts w:ascii="Arial Rounded MT Bold" w:hAnsi="Arial Rounded MT Bold"/>
          <w:sz w:val="18"/>
        </w:rPr>
        <w:t>, Cartwright, &amp; Wilson-</w:t>
      </w:r>
      <w:proofErr w:type="spellStart"/>
      <w:r w:rsidRPr="008D3803">
        <w:rPr>
          <w:rFonts w:ascii="Arial Rounded MT Bold" w:hAnsi="Arial Rounded MT Bold"/>
          <w:sz w:val="18"/>
        </w:rPr>
        <w:t>Genderson</w:t>
      </w:r>
      <w:proofErr w:type="spellEnd"/>
      <w:r w:rsidRPr="008D3803">
        <w:rPr>
          <w:rFonts w:ascii="Arial Rounded MT Bold" w:hAnsi="Arial Rounded MT Bold"/>
          <w:sz w:val="18"/>
        </w:rPr>
        <w:t>, 2009).</w:t>
      </w:r>
      <w:r>
        <w:rPr>
          <w:rFonts w:ascii="Arial Rounded MT Bold" w:hAnsi="Arial Rounded MT Bold"/>
          <w:sz w:val="18"/>
        </w:rPr>
        <w:t xml:space="preserve"> Also, p</w:t>
      </w:r>
      <w:r w:rsidRPr="008D3803">
        <w:rPr>
          <w:rFonts w:ascii="Arial Rounded MT Bold" w:hAnsi="Arial Rounded MT Bold"/>
          <w:sz w:val="18"/>
        </w:rPr>
        <w:t xml:space="preserve">roving support for an ill partner can have serious consequences such as the </w:t>
      </w:r>
      <w:r>
        <w:rPr>
          <w:rFonts w:ascii="Arial Rounded MT Bold" w:hAnsi="Arial Rounded MT Bold"/>
          <w:sz w:val="18"/>
        </w:rPr>
        <w:t xml:space="preserve">increased </w:t>
      </w:r>
      <w:r w:rsidRPr="008D3803">
        <w:rPr>
          <w:rFonts w:ascii="Arial Rounded MT Bold" w:hAnsi="Arial Rounded MT Bold"/>
          <w:sz w:val="18"/>
        </w:rPr>
        <w:t>risk of illness (Christakis &amp; Allison, 2006; Shaw et al., 1997) and mortality (Christakis &amp; Allison, 2006; Schulz &amp; Beach, 1999).</w:t>
      </w:r>
      <w:r w:rsidR="003D0186">
        <w:rPr>
          <w:rFonts w:ascii="Arial Rounded MT Bold" w:hAnsi="Arial Rounded MT Bold"/>
          <w:sz w:val="18"/>
        </w:rPr>
        <w:t xml:space="preserve"> </w:t>
      </w:r>
      <w:r w:rsidR="003D0186" w:rsidRPr="003D0186">
        <w:rPr>
          <w:rFonts w:ascii="Arial Rounded MT Bold" w:hAnsi="Arial Rounded MT Bold"/>
          <w:sz w:val="18"/>
          <w:szCs w:val="18"/>
        </w:rPr>
        <w:t xml:space="preserve">The overall stress of providing care for an ill partner may cause neuroendocrine changes (Kim &amp; Jacobs, 1993) or may cause suppressed immune system functioning (Irwin &amp; Pike, 1993). On the other hand, spousal bereavement may cause harmful changes to the individuals health which may cause an increased possibility of related mortality </w:t>
      </w:r>
      <w:r w:rsidR="003D0186" w:rsidRPr="003D0186">
        <w:rPr>
          <w:rFonts w:ascii="Arial Rounded MT Bold" w:hAnsi="Arial Rounded MT Bold"/>
          <w:sz w:val="18"/>
        </w:rPr>
        <w:t>(</w:t>
      </w:r>
      <w:proofErr w:type="spellStart"/>
      <w:r w:rsidR="003D0186" w:rsidRPr="003D0186">
        <w:rPr>
          <w:rFonts w:ascii="Arial Rounded MT Bold" w:hAnsi="Arial Rounded MT Bold"/>
          <w:sz w:val="18"/>
        </w:rPr>
        <w:t>Luoma</w:t>
      </w:r>
      <w:proofErr w:type="spellEnd"/>
      <w:r w:rsidR="003D0186" w:rsidRPr="003D0186">
        <w:rPr>
          <w:rFonts w:ascii="Arial Rounded MT Bold" w:hAnsi="Arial Rounded MT Bold"/>
          <w:sz w:val="18"/>
        </w:rPr>
        <w:t xml:space="preserve"> &amp; Pearson, 2002; </w:t>
      </w:r>
      <w:proofErr w:type="spellStart"/>
      <w:r w:rsidR="003D0186" w:rsidRPr="003D0186">
        <w:rPr>
          <w:rFonts w:ascii="Arial Rounded MT Bold" w:hAnsi="Arial Rounded MT Bold"/>
          <w:sz w:val="18"/>
        </w:rPr>
        <w:t>Martikainen</w:t>
      </w:r>
      <w:proofErr w:type="spellEnd"/>
      <w:r w:rsidR="003D0186" w:rsidRPr="003D0186">
        <w:rPr>
          <w:rFonts w:ascii="Arial Rounded MT Bold" w:hAnsi="Arial Rounded MT Bold"/>
          <w:sz w:val="18"/>
        </w:rPr>
        <w:t xml:space="preserve"> &amp; </w:t>
      </w:r>
      <w:proofErr w:type="spellStart"/>
      <w:r w:rsidR="003D0186" w:rsidRPr="003D0186">
        <w:rPr>
          <w:rFonts w:ascii="Arial Rounded MT Bold" w:hAnsi="Arial Rounded MT Bold"/>
          <w:sz w:val="18"/>
        </w:rPr>
        <w:t>Valkonen</w:t>
      </w:r>
      <w:proofErr w:type="spellEnd"/>
      <w:r w:rsidR="003D0186" w:rsidRPr="003D0186">
        <w:rPr>
          <w:rFonts w:ascii="Arial Rounded MT Bold" w:hAnsi="Arial Rounded MT Bold"/>
          <w:sz w:val="18"/>
        </w:rPr>
        <w:t xml:space="preserve">, 1996; </w:t>
      </w:r>
      <w:proofErr w:type="spellStart"/>
      <w:r w:rsidR="003D0186" w:rsidRPr="003D0186">
        <w:rPr>
          <w:rFonts w:ascii="Arial Rounded MT Bold" w:hAnsi="Arial Rounded MT Bold"/>
          <w:sz w:val="18"/>
        </w:rPr>
        <w:t>Umberson</w:t>
      </w:r>
      <w:proofErr w:type="spellEnd"/>
      <w:r w:rsidR="003D0186" w:rsidRPr="003D0186">
        <w:rPr>
          <w:rFonts w:ascii="Arial Rounded MT Bold" w:hAnsi="Arial Rounded MT Bold"/>
          <w:sz w:val="18"/>
        </w:rPr>
        <w:t xml:space="preserve">, 1992). According to </w:t>
      </w:r>
      <w:proofErr w:type="spellStart"/>
      <w:r w:rsidR="003D0186" w:rsidRPr="003D0186">
        <w:rPr>
          <w:rFonts w:ascii="Arial Rounded MT Bold" w:hAnsi="Arial Rounded MT Bold"/>
          <w:sz w:val="18"/>
        </w:rPr>
        <w:t>Zisook</w:t>
      </w:r>
      <w:proofErr w:type="spellEnd"/>
      <w:r w:rsidR="003D0186" w:rsidRPr="003D0186">
        <w:rPr>
          <w:rFonts w:ascii="Arial Rounded MT Bold" w:hAnsi="Arial Rounded MT Bold"/>
          <w:sz w:val="18"/>
        </w:rPr>
        <w:t xml:space="preserve">, </w:t>
      </w:r>
      <w:proofErr w:type="spellStart"/>
      <w:r w:rsidR="003D0186" w:rsidRPr="003D0186">
        <w:rPr>
          <w:rFonts w:ascii="Arial Rounded MT Bold" w:hAnsi="Arial Rounded MT Bold"/>
          <w:sz w:val="18"/>
        </w:rPr>
        <w:t>Shuchter</w:t>
      </w:r>
      <w:proofErr w:type="spellEnd"/>
      <w:r w:rsidR="003D0186" w:rsidRPr="003D0186">
        <w:rPr>
          <w:rFonts w:ascii="Arial Rounded MT Bold" w:hAnsi="Arial Rounded MT Bold"/>
          <w:sz w:val="18"/>
        </w:rPr>
        <w:t xml:space="preserve"> &amp; Mulvihill (1990), after the death of a partner, the living partner may decide to engage in risky health choices such as smoking, taking drugs or drinking alcohol. Finally, becoming a widow forces to the living spouse to rearrange their living situation and they may not have had time to acquire other means </w:t>
      </w:r>
      <w:r w:rsidR="003D0186" w:rsidRPr="003D0186">
        <w:rPr>
          <w:rFonts w:ascii="Arial Rounded MT Bold" w:hAnsi="Arial Rounded MT Bold"/>
          <w:sz w:val="18"/>
        </w:rPr>
        <w:lastRenderedPageBreak/>
        <w:t xml:space="preserve">of communal or emotional support (Smith &amp; </w:t>
      </w:r>
      <w:proofErr w:type="spellStart"/>
      <w:r w:rsidR="003D0186" w:rsidRPr="003D0186">
        <w:rPr>
          <w:rFonts w:ascii="Arial Rounded MT Bold" w:hAnsi="Arial Rounded MT Bold"/>
          <w:sz w:val="18"/>
        </w:rPr>
        <w:t>Zick</w:t>
      </w:r>
      <w:proofErr w:type="spellEnd"/>
      <w:r w:rsidR="003D0186" w:rsidRPr="003D0186">
        <w:rPr>
          <w:rFonts w:ascii="Arial Rounded MT Bold" w:hAnsi="Arial Rounded MT Bold"/>
          <w:sz w:val="18"/>
        </w:rPr>
        <w:t xml:space="preserve">, 1996). </w:t>
      </w:r>
      <w:r w:rsidR="00013C76" w:rsidRPr="00CA17DC">
        <w:rPr>
          <w:rFonts w:ascii="Arial Rounded MT Bold" w:hAnsi="Arial Rounded MT Bold"/>
          <w:sz w:val="18"/>
          <w:szCs w:val="18"/>
        </w:rPr>
        <w:t xml:space="preserve">According to Shumaker &amp; Hill, 1991), males may be particularly vulnerable due to not having close intimate relations other than their wives, this can be explained by role theory. </w:t>
      </w:r>
    </w:p>
    <w:p w:rsidR="00B14A99" w:rsidRPr="00CA17DC" w:rsidRDefault="00013C76" w:rsidP="00DD6A5F">
      <w:pPr>
        <w:rPr>
          <w:rFonts w:ascii="Arial Rounded MT Bold" w:hAnsi="Arial Rounded MT Bold"/>
          <w:color w:val="FFC000"/>
          <w:sz w:val="18"/>
          <w:szCs w:val="18"/>
        </w:rPr>
      </w:pPr>
      <w:r w:rsidRPr="00CA17DC">
        <w:rPr>
          <w:rFonts w:ascii="Arial Rounded MT Bold" w:hAnsi="Arial Rounded MT Bold"/>
          <w:sz w:val="18"/>
          <w:szCs w:val="18"/>
        </w:rPr>
        <w:t xml:space="preserve">Role theory provides explanations of daily behaviour of people and how they act out roles e.g. husband and wife. The period after death of a spouse, role theory presumes that the living partner will have difficulty to adjust to the loss of both material and task support (Bowling, 1987). Couples depend on one another to complete these tasks (Becker, 1991). </w:t>
      </w:r>
    </w:p>
    <w:p w:rsidR="00EB4A87" w:rsidRDefault="00CA17DC" w:rsidP="00B14A99">
      <w:pPr>
        <w:spacing w:line="276" w:lineRule="auto"/>
        <w:rPr>
          <w:rFonts w:ascii="Arial Rounded MT Bold" w:hAnsi="Arial Rounded MT Bold"/>
          <w:sz w:val="18"/>
          <w:szCs w:val="18"/>
        </w:rPr>
      </w:pPr>
      <w:r>
        <w:rPr>
          <w:noProof/>
        </w:rPr>
        <mc:AlternateContent>
          <mc:Choice Requires="wps">
            <w:drawing>
              <wp:anchor distT="0" distB="0" distL="114300" distR="114300" simplePos="0" relativeHeight="251673600" behindDoc="1" locked="0" layoutInCell="1" allowOverlap="1" wp14:anchorId="5F6EE6A8">
                <wp:simplePos x="0" y="0"/>
                <wp:positionH relativeFrom="column">
                  <wp:posOffset>-133350</wp:posOffset>
                </wp:positionH>
                <wp:positionV relativeFrom="paragraph">
                  <wp:posOffset>33020</wp:posOffset>
                </wp:positionV>
                <wp:extent cx="2137410" cy="428625"/>
                <wp:effectExtent l="0" t="0" r="0" b="9525"/>
                <wp:wrapTight wrapText="bothSides">
                  <wp:wrapPolygon edited="0">
                    <wp:start x="385" y="0"/>
                    <wp:lineTo x="385" y="21120"/>
                    <wp:lineTo x="20984" y="21120"/>
                    <wp:lineTo x="20984" y="0"/>
                    <wp:lineTo x="385" y="0"/>
                  </wp:wrapPolygon>
                </wp:wrapTight>
                <wp:docPr id="12" name="Text Box 12"/>
                <wp:cNvGraphicFramePr/>
                <a:graphic xmlns:a="http://schemas.openxmlformats.org/drawingml/2006/main">
                  <a:graphicData uri="http://schemas.microsoft.com/office/word/2010/wordprocessingShape">
                    <wps:wsp>
                      <wps:cNvSpPr txBox="1"/>
                      <wps:spPr>
                        <a:xfrm>
                          <a:off x="0" y="0"/>
                          <a:ext cx="2137410" cy="428625"/>
                        </a:xfrm>
                        <a:prstGeom prst="rect">
                          <a:avLst/>
                        </a:prstGeom>
                        <a:noFill/>
                        <a:ln>
                          <a:noFill/>
                        </a:ln>
                      </wps:spPr>
                      <wps:txbx>
                        <w:txbxContent>
                          <w:p w:rsidR="00EB4A87" w:rsidRPr="00061590" w:rsidRDefault="00EB4A87" w:rsidP="00EB4A87">
                            <w:pPr>
                              <w:spacing w:line="276" w:lineRule="auto"/>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061590">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6EE6A8" id="Text Box 12" o:spid="_x0000_s1030" type="#_x0000_t202" style="position:absolute;margin-left:-10.5pt;margin-top:2.6pt;width:168.3pt;height:33.7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" filled="f" stroked="f">
                <v:textbox>
                  <w:txbxContent>
                    <w:p w:rsidR="00EB4A87" w:rsidRPr="00061590" w:rsidRDefault="00EB4A87" w:rsidP="00EB4A87">
                      <w:pPr>
                        <w:spacing w:line="276" w:lineRule="auto"/>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061590">
                        <w:rPr>
                          <w:rFonts w:ascii="Arial Rounded MT Bold" w:hAnsi="Arial Rounded MT Bold"/>
                          <w:color w:val="00B0F0"/>
                          <w:sz w:val="48"/>
                          <w:szCs w:val="7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Conclusion</w:t>
                      </w:r>
                    </w:p>
                  </w:txbxContent>
                </v:textbox>
                <w10:wrap type="tight"/>
              </v:shape>
            </w:pict>
          </mc:Fallback>
        </mc:AlternateContent>
      </w:r>
    </w:p>
    <w:p w:rsidR="00CA17DC" w:rsidRDefault="00CA17DC" w:rsidP="00B14A99">
      <w:pPr>
        <w:spacing w:line="276" w:lineRule="auto"/>
        <w:rPr>
          <w:rFonts w:ascii="Arial Rounded MT Bold" w:hAnsi="Arial Rounded MT Bold"/>
          <w:sz w:val="18"/>
          <w:szCs w:val="18"/>
        </w:rPr>
      </w:pPr>
    </w:p>
    <w:p w:rsidR="005A727C" w:rsidRDefault="008E47AE" w:rsidP="00B14A99">
      <w:pPr>
        <w:spacing w:line="276" w:lineRule="auto"/>
        <w:rPr>
          <w:rFonts w:ascii="Arial Rounded MT Bold" w:hAnsi="Arial Rounded MT Bold"/>
          <w:sz w:val="18"/>
          <w:szCs w:val="18"/>
        </w:rPr>
      </w:pPr>
      <w:r>
        <w:rPr>
          <w:rFonts w:ascii="Arial Rounded MT Bold" w:hAnsi="Arial Rounded MT Bold"/>
          <w:sz w:val="18"/>
          <w:szCs w:val="18"/>
        </w:rPr>
        <w:t>The</w:t>
      </w:r>
      <w:r w:rsidR="00DE228D">
        <w:rPr>
          <w:rFonts w:ascii="Arial Rounded MT Bold" w:hAnsi="Arial Rounded MT Bold"/>
          <w:sz w:val="18"/>
          <w:szCs w:val="18"/>
        </w:rPr>
        <w:t xml:space="preserve"> amount of clinical research available </w:t>
      </w:r>
      <w:r w:rsidR="008E1F86">
        <w:rPr>
          <w:rFonts w:ascii="Arial Rounded MT Bold" w:hAnsi="Arial Rounded MT Bold"/>
          <w:sz w:val="18"/>
          <w:szCs w:val="18"/>
        </w:rPr>
        <w:t xml:space="preserve">has enhanced researchers’ perception of the individual symptoms, risk factors and potential consequences of grief. According to Hall (2014) </w:t>
      </w:r>
      <w:r w:rsidR="005A377F">
        <w:rPr>
          <w:rFonts w:ascii="Arial Rounded MT Bold" w:hAnsi="Arial Rounded MT Bold"/>
          <w:sz w:val="18"/>
          <w:szCs w:val="18"/>
        </w:rPr>
        <w:t>n</w:t>
      </w:r>
      <w:r w:rsidR="008E1F86">
        <w:rPr>
          <w:rFonts w:ascii="Arial Rounded MT Bold" w:hAnsi="Arial Rounded MT Bold"/>
          <w:sz w:val="18"/>
          <w:szCs w:val="18"/>
        </w:rPr>
        <w:t>o theory or model to bereavement is appropriate</w:t>
      </w:r>
      <w:r w:rsidR="005A377F">
        <w:rPr>
          <w:rFonts w:ascii="Arial Rounded MT Bold" w:hAnsi="Arial Rounded MT Bold"/>
          <w:sz w:val="18"/>
          <w:szCs w:val="18"/>
        </w:rPr>
        <w:t xml:space="preserve"> </w:t>
      </w:r>
      <w:r w:rsidR="0001397A">
        <w:rPr>
          <w:rFonts w:ascii="Arial Rounded MT Bold" w:hAnsi="Arial Rounded MT Bold"/>
          <w:sz w:val="18"/>
          <w:szCs w:val="18"/>
        </w:rPr>
        <w:t>for everyone</w:t>
      </w:r>
      <w:r w:rsidR="008E1F86">
        <w:rPr>
          <w:rFonts w:ascii="Arial Rounded MT Bold" w:hAnsi="Arial Rounded MT Bold"/>
          <w:sz w:val="18"/>
          <w:szCs w:val="18"/>
        </w:rPr>
        <w:t xml:space="preserve">. </w:t>
      </w:r>
      <w:r w:rsidR="005A377F">
        <w:rPr>
          <w:rFonts w:ascii="Arial Rounded MT Bold" w:hAnsi="Arial Rounded MT Bold"/>
          <w:sz w:val="18"/>
          <w:szCs w:val="18"/>
        </w:rPr>
        <w:t xml:space="preserve">All therapeutic interventions must be adapted to the individual person, relationship or circumstances that that individual </w:t>
      </w:r>
      <w:r w:rsidR="0001397A">
        <w:rPr>
          <w:rFonts w:ascii="Arial Rounded MT Bold" w:hAnsi="Arial Rounded MT Bold"/>
          <w:sz w:val="18"/>
          <w:szCs w:val="18"/>
        </w:rPr>
        <w:t>is experiencing at that present time</w:t>
      </w:r>
      <w:r w:rsidR="005A727C">
        <w:rPr>
          <w:rFonts w:ascii="Arial Rounded MT Bold" w:hAnsi="Arial Rounded MT Bold"/>
          <w:sz w:val="18"/>
          <w:szCs w:val="18"/>
        </w:rPr>
        <w:t xml:space="preserve"> (Hall, 2014). </w:t>
      </w:r>
    </w:p>
    <w:p w:rsidR="00B14A99" w:rsidRDefault="00B14A99"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D23928" w:rsidRDefault="00D23928" w:rsidP="00B14A99">
      <w:pPr>
        <w:spacing w:line="276" w:lineRule="auto"/>
        <w:rPr>
          <w:rFonts w:ascii="Arial Rounded MT Bold" w:hAnsi="Arial Rounded MT Bold"/>
          <w:sz w:val="18"/>
          <w:szCs w:val="18"/>
        </w:rPr>
      </w:pPr>
    </w:p>
    <w:p w:rsidR="00D942D7" w:rsidRDefault="00D942D7"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827D98" w:rsidRDefault="00827D98" w:rsidP="00B14A99">
      <w:pPr>
        <w:spacing w:line="276" w:lineRule="auto"/>
        <w:rPr>
          <w:rFonts w:ascii="Arial Rounded MT Bold" w:hAnsi="Arial Rounded MT Bold"/>
          <w:sz w:val="18"/>
          <w:szCs w:val="18"/>
        </w:rPr>
      </w:pPr>
    </w:p>
    <w:p w:rsidR="00D942D7" w:rsidRDefault="00D942D7"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CA17DC" w:rsidRDefault="00CA17DC" w:rsidP="00B14A99">
      <w:pPr>
        <w:spacing w:line="276" w:lineRule="auto"/>
        <w:rPr>
          <w:rFonts w:ascii="Arial Rounded MT Bold" w:hAnsi="Arial Rounded MT Bold"/>
          <w:sz w:val="18"/>
          <w:szCs w:val="18"/>
        </w:rPr>
      </w:pPr>
    </w:p>
    <w:p w:rsidR="00827D98" w:rsidRPr="00CA17DC"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lastRenderedPageBreak/>
        <w:t>Becker, G. S., &amp; Murphy, K. M. (2009). Social economics</w:t>
      </w:r>
      <w:r w:rsidRPr="00D942D7">
        <w:rPr>
          <w:rFonts w:ascii="Arial Rounded MT Bold" w:hAnsi="Arial Rounded MT Bold" w:cstheme="minorHAnsi"/>
          <w:i/>
          <w:sz w:val="20"/>
          <w:szCs w:val="18"/>
        </w:rPr>
        <w:t>: Market behaviour in a social environment.</w:t>
      </w:r>
      <w:r w:rsidRPr="00D942D7">
        <w:rPr>
          <w:rFonts w:ascii="Arial Rounded MT Bold" w:hAnsi="Arial Rounded MT Bold" w:cstheme="minorHAnsi"/>
          <w:sz w:val="20"/>
          <w:szCs w:val="18"/>
        </w:rPr>
        <w:t xml:space="preserve"> Harvard University Press.</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Bonanno, G. A., &amp; Boerner, K. (2007). The stage theory of grief. </w:t>
      </w:r>
      <w:r w:rsidRPr="00CA17DC">
        <w:rPr>
          <w:rFonts w:ascii="Arial Rounded MT Bold" w:hAnsi="Arial Rounded MT Bold" w:cs="Arial"/>
          <w:i/>
          <w:iCs/>
          <w:color w:val="222222"/>
          <w:sz w:val="20"/>
          <w:szCs w:val="20"/>
          <w:shd w:val="clear" w:color="auto" w:fill="FFFFFF"/>
        </w:rPr>
        <w:t>Jama</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297</w:t>
      </w:r>
      <w:r w:rsidRPr="00CA17DC">
        <w:rPr>
          <w:rFonts w:ascii="Arial Rounded MT Bold" w:hAnsi="Arial Rounded MT Bold" w:cs="Arial"/>
          <w:color w:val="222222"/>
          <w:sz w:val="20"/>
          <w:szCs w:val="20"/>
          <w:shd w:val="clear" w:color="auto" w:fill="FFFFFF"/>
        </w:rPr>
        <w:t>(24), 2692-2694.</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Bowlby, J. (1961). Processes of mourning. </w:t>
      </w:r>
      <w:r w:rsidRPr="00CA17DC">
        <w:rPr>
          <w:rFonts w:ascii="Arial Rounded MT Bold" w:hAnsi="Arial Rounded MT Bold" w:cs="Arial"/>
          <w:i/>
          <w:iCs/>
          <w:color w:val="222222"/>
          <w:sz w:val="20"/>
          <w:szCs w:val="20"/>
          <w:shd w:val="clear" w:color="auto" w:fill="FFFFFF"/>
        </w:rPr>
        <w:t>International Journal of Psycho-Analysis</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42</w:t>
      </w:r>
      <w:r w:rsidRPr="00CA17DC">
        <w:rPr>
          <w:rFonts w:ascii="Arial Rounded MT Bold" w:hAnsi="Arial Rounded MT Bold" w:cs="Arial"/>
          <w:color w:val="222222"/>
          <w:sz w:val="20"/>
          <w:szCs w:val="20"/>
          <w:shd w:val="clear" w:color="auto" w:fill="FFFFFF"/>
        </w:rPr>
        <w:t>, 317-340.</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Bowlby, J. (2012). </w:t>
      </w:r>
      <w:r w:rsidRPr="00CA17DC">
        <w:rPr>
          <w:rFonts w:ascii="Arial Rounded MT Bold" w:hAnsi="Arial Rounded MT Bold" w:cs="Arial"/>
          <w:i/>
          <w:iCs/>
          <w:color w:val="222222"/>
          <w:sz w:val="20"/>
          <w:szCs w:val="20"/>
          <w:shd w:val="clear" w:color="auto" w:fill="FFFFFF"/>
        </w:rPr>
        <w:t>The making and breaking of affectional bonds</w:t>
      </w:r>
      <w:r w:rsidRPr="00CA17DC">
        <w:rPr>
          <w:rFonts w:ascii="Arial Rounded MT Bold" w:hAnsi="Arial Rounded MT Bold" w:cs="Arial"/>
          <w:color w:val="222222"/>
          <w:sz w:val="20"/>
          <w:szCs w:val="20"/>
          <w:shd w:val="clear" w:color="auto" w:fill="FFFFFF"/>
        </w:rPr>
        <w:t>. Routledge.</w:t>
      </w:r>
    </w:p>
    <w:p w:rsidR="00827D98"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t xml:space="preserve">Bowling, A. (1987). Mortality after bereavement: a review of the literature on survival periods and factors affecting survival. </w:t>
      </w:r>
      <w:r w:rsidRPr="00D942D7">
        <w:rPr>
          <w:rFonts w:ascii="Arial Rounded MT Bold" w:hAnsi="Arial Rounded MT Bold" w:cstheme="minorHAnsi"/>
          <w:i/>
          <w:sz w:val="20"/>
          <w:szCs w:val="18"/>
        </w:rPr>
        <w:t>Social science &amp; medicine, 24</w:t>
      </w:r>
      <w:r w:rsidRPr="00D942D7">
        <w:rPr>
          <w:rFonts w:ascii="Arial Rounded MT Bold" w:hAnsi="Arial Rounded MT Bold" w:cstheme="minorHAnsi"/>
          <w:sz w:val="20"/>
          <w:szCs w:val="18"/>
        </w:rPr>
        <w:t>(2), 117-124.</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Coleman, P., &amp; O'Hanlon, A. (2004). </w:t>
      </w:r>
      <w:r w:rsidRPr="00CA17DC">
        <w:rPr>
          <w:rFonts w:ascii="Arial Rounded MT Bold" w:hAnsi="Arial Rounded MT Bold" w:cs="Arial"/>
          <w:i/>
          <w:iCs/>
          <w:color w:val="222222"/>
          <w:sz w:val="20"/>
          <w:szCs w:val="20"/>
          <w:shd w:val="clear" w:color="auto" w:fill="FFFFFF"/>
        </w:rPr>
        <w:t>Ageing and development: Theories and research</w:t>
      </w:r>
      <w:r w:rsidRPr="00CA17DC">
        <w:rPr>
          <w:rFonts w:ascii="Arial Rounded MT Bold" w:hAnsi="Arial Rounded MT Bold" w:cs="Arial"/>
          <w:color w:val="222222"/>
          <w:sz w:val="20"/>
          <w:szCs w:val="20"/>
          <w:shd w:val="clear" w:color="auto" w:fill="FFFFFF"/>
        </w:rPr>
        <w:t>. Hodder Arnold.</w:t>
      </w:r>
    </w:p>
    <w:p w:rsidR="00827D98" w:rsidRPr="00CA17DC" w:rsidRDefault="00827D98" w:rsidP="00B14A99">
      <w:pPr>
        <w:spacing w:line="276" w:lineRule="auto"/>
        <w:rPr>
          <w:rFonts w:ascii="Arial Rounded MT Bold" w:hAnsi="Arial Rounded MT Bold" w:cstheme="minorHAnsi"/>
          <w:sz w:val="20"/>
          <w:szCs w:val="20"/>
        </w:rPr>
      </w:pPr>
      <w:r w:rsidRPr="00CA17DC">
        <w:rPr>
          <w:rFonts w:ascii="Arial Rounded MT Bold" w:hAnsi="Arial Rounded MT Bold" w:cstheme="minorHAnsi"/>
          <w:sz w:val="20"/>
          <w:szCs w:val="20"/>
        </w:rPr>
        <w:t xml:space="preserve">Danny, D. (2019, July 2).  Mortality rates are still rising in the UK – and everyone is ignoring how many more people are dying. Retrieved from www.theconversation.com </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Dimond, M. (1981). Bereavement and the elderly: A critical review with implications for nursing practice and research. </w:t>
      </w:r>
      <w:r w:rsidRPr="00CA17DC">
        <w:rPr>
          <w:rFonts w:ascii="Arial Rounded MT Bold" w:hAnsi="Arial Rounded MT Bold" w:cs="Arial"/>
          <w:i/>
          <w:iCs/>
          <w:color w:val="222222"/>
          <w:sz w:val="20"/>
          <w:szCs w:val="20"/>
          <w:shd w:val="clear" w:color="auto" w:fill="FFFFFF"/>
        </w:rPr>
        <w:t>Journal of Advanced Nursing</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6</w:t>
      </w:r>
      <w:r w:rsidRPr="00CA17DC">
        <w:rPr>
          <w:rFonts w:ascii="Arial Rounded MT Bold" w:hAnsi="Arial Rounded MT Bold" w:cs="Arial"/>
          <w:color w:val="222222"/>
          <w:sz w:val="20"/>
          <w:szCs w:val="20"/>
          <w:shd w:val="clear" w:color="auto" w:fill="FFFFFF"/>
        </w:rPr>
        <w:t>(6), 461-470.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proofErr w:type="spellStart"/>
      <w:r w:rsidRPr="00CA17DC">
        <w:rPr>
          <w:rFonts w:ascii="Arial Rounded MT Bold" w:hAnsi="Arial Rounded MT Bold" w:cstheme="minorHAnsi"/>
          <w:sz w:val="20"/>
          <w:szCs w:val="20"/>
          <w:shd w:val="clear" w:color="auto" w:fill="FFFFFF"/>
        </w:rPr>
        <w:t>Elwert</w:t>
      </w:r>
      <w:proofErr w:type="spellEnd"/>
      <w:r w:rsidRPr="00CA17DC">
        <w:rPr>
          <w:rFonts w:ascii="Arial Rounded MT Bold" w:hAnsi="Arial Rounded MT Bold" w:cstheme="minorHAnsi"/>
          <w:sz w:val="20"/>
          <w:szCs w:val="20"/>
          <w:shd w:val="clear" w:color="auto" w:fill="FFFFFF"/>
        </w:rPr>
        <w:t xml:space="preserve">, F., &amp; Christakis, N. A. (2006). Widowhood and race. </w:t>
      </w:r>
      <w:r w:rsidRPr="00CA17DC">
        <w:rPr>
          <w:rFonts w:ascii="Arial Rounded MT Bold" w:hAnsi="Arial Rounded MT Bold" w:cstheme="minorHAnsi"/>
          <w:i/>
          <w:sz w:val="20"/>
          <w:szCs w:val="20"/>
          <w:shd w:val="clear" w:color="auto" w:fill="FFFFFF"/>
        </w:rPr>
        <w:t>American Sociological Review, 71(</w:t>
      </w:r>
      <w:r w:rsidRPr="00CA17DC">
        <w:rPr>
          <w:rFonts w:ascii="Arial Rounded MT Bold" w:hAnsi="Arial Rounded MT Bold" w:cstheme="minorHAnsi"/>
          <w:sz w:val="20"/>
          <w:szCs w:val="20"/>
          <w:shd w:val="clear" w:color="auto" w:fill="FFFFFF"/>
        </w:rPr>
        <w:t>1), 16-41.</w:t>
      </w:r>
    </w:p>
    <w:p w:rsidR="00827D98" w:rsidRDefault="00827D98" w:rsidP="00B14A99">
      <w:pPr>
        <w:spacing w:line="276" w:lineRule="auto"/>
        <w:rPr>
          <w:rFonts w:ascii="Arial Rounded MT Bold" w:hAnsi="Arial Rounded MT Bold" w:cstheme="minorHAnsi"/>
          <w:sz w:val="20"/>
          <w:szCs w:val="18"/>
        </w:rPr>
      </w:pPr>
      <w:r w:rsidRPr="00827D98">
        <w:rPr>
          <w:rFonts w:ascii="Arial Rounded MT Bold" w:hAnsi="Arial Rounded MT Bold" w:cstheme="minorHAnsi"/>
          <w:sz w:val="20"/>
          <w:szCs w:val="18"/>
        </w:rPr>
        <w:t>Hansson, R. O., Carpenter, B. N., &amp; Fairchild, S. K. (1993). Measurement issues in bereavement.</w:t>
      </w:r>
    </w:p>
    <w:p w:rsidR="00827D98" w:rsidRPr="00CA17DC" w:rsidRDefault="00827D98" w:rsidP="00D23928">
      <w:pPr>
        <w:rPr>
          <w:rFonts w:ascii="Arial Rounded MT Bold" w:hAnsi="Arial Rounded MT Bold"/>
          <w:sz w:val="20"/>
          <w:szCs w:val="20"/>
        </w:rPr>
      </w:pPr>
      <w:r w:rsidRPr="00CA17DC">
        <w:rPr>
          <w:rFonts w:ascii="Arial Rounded MT Bold" w:hAnsi="Arial Rounded MT Bold"/>
          <w:sz w:val="20"/>
          <w:szCs w:val="20"/>
        </w:rPr>
        <w:t xml:space="preserve">Hu, Y., &amp; Goldman, N. (1990). Mortality differentials by marital status: an international comparison. </w:t>
      </w:r>
      <w:r w:rsidRPr="00CA17DC">
        <w:rPr>
          <w:rFonts w:ascii="Arial Rounded MT Bold" w:hAnsi="Arial Rounded MT Bold"/>
          <w:i/>
          <w:sz w:val="20"/>
          <w:szCs w:val="20"/>
        </w:rPr>
        <w:t>Demography, 27</w:t>
      </w:r>
      <w:r w:rsidRPr="00CA17DC">
        <w:rPr>
          <w:rFonts w:ascii="Arial Rounded MT Bold" w:hAnsi="Arial Rounded MT Bold"/>
          <w:sz w:val="20"/>
          <w:szCs w:val="20"/>
        </w:rPr>
        <w:t>(2), 233-250.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r w:rsidRPr="00CA17DC">
        <w:rPr>
          <w:rFonts w:ascii="Arial Rounded MT Bold" w:hAnsi="Arial Rounded MT Bold" w:cstheme="minorHAnsi"/>
          <w:sz w:val="20"/>
          <w:szCs w:val="20"/>
          <w:shd w:val="clear" w:color="auto" w:fill="FFFFFF"/>
        </w:rPr>
        <w:t xml:space="preserve">Johnson, N. J., Backlund, E., </w:t>
      </w:r>
      <w:proofErr w:type="spellStart"/>
      <w:r w:rsidRPr="00CA17DC">
        <w:rPr>
          <w:rFonts w:ascii="Arial Rounded MT Bold" w:hAnsi="Arial Rounded MT Bold" w:cstheme="minorHAnsi"/>
          <w:sz w:val="20"/>
          <w:szCs w:val="20"/>
          <w:shd w:val="clear" w:color="auto" w:fill="FFFFFF"/>
        </w:rPr>
        <w:t>Sorlie</w:t>
      </w:r>
      <w:proofErr w:type="spellEnd"/>
      <w:r w:rsidRPr="00CA17DC">
        <w:rPr>
          <w:rFonts w:ascii="Arial Rounded MT Bold" w:hAnsi="Arial Rounded MT Bold" w:cstheme="minorHAnsi"/>
          <w:sz w:val="20"/>
          <w:szCs w:val="20"/>
          <w:shd w:val="clear" w:color="auto" w:fill="FFFFFF"/>
        </w:rPr>
        <w:t xml:space="preserve">, P. D., &amp; Loveless, C. A. (2000). Marital status and mortality: the national longitudinal mortality study. </w:t>
      </w:r>
      <w:r w:rsidRPr="00CA17DC">
        <w:rPr>
          <w:rFonts w:ascii="Arial Rounded MT Bold" w:hAnsi="Arial Rounded MT Bold" w:cstheme="minorHAnsi"/>
          <w:i/>
          <w:sz w:val="20"/>
          <w:szCs w:val="20"/>
          <w:shd w:val="clear" w:color="auto" w:fill="FFFFFF"/>
        </w:rPr>
        <w:t>Annals of epidemiology, 10</w:t>
      </w:r>
      <w:r w:rsidRPr="00CA17DC">
        <w:rPr>
          <w:rFonts w:ascii="Arial Rounded MT Bold" w:hAnsi="Arial Rounded MT Bold" w:cstheme="minorHAnsi"/>
          <w:sz w:val="20"/>
          <w:szCs w:val="20"/>
          <w:shd w:val="clear" w:color="auto" w:fill="FFFFFF"/>
        </w:rPr>
        <w:t xml:space="preserve">(4), 224-238. </w:t>
      </w:r>
    </w:p>
    <w:p w:rsidR="00827D98" w:rsidRPr="00CA17DC" w:rsidRDefault="00827D98" w:rsidP="00B14A99">
      <w:pPr>
        <w:spacing w:line="276" w:lineRule="auto"/>
        <w:rPr>
          <w:rFonts w:ascii="Arial Rounded MT Bold" w:hAnsi="Arial Rounded MT Bold"/>
          <w:sz w:val="20"/>
          <w:szCs w:val="20"/>
        </w:rPr>
      </w:pPr>
      <w:r w:rsidRPr="00CA17DC">
        <w:rPr>
          <w:rFonts w:ascii="Arial Rounded MT Bold" w:hAnsi="Arial Rounded MT Bold"/>
          <w:sz w:val="20"/>
          <w:szCs w:val="20"/>
        </w:rPr>
        <w:t xml:space="preserve">Kraus, A. S., &amp; Lilienfeld, A. M. (1959). Some epidemiologic aspects of the high mortality rate in the young widowed group. </w:t>
      </w:r>
      <w:r w:rsidRPr="00CA17DC">
        <w:rPr>
          <w:rFonts w:ascii="Arial Rounded MT Bold" w:hAnsi="Arial Rounded MT Bold"/>
          <w:i/>
          <w:sz w:val="20"/>
          <w:szCs w:val="20"/>
        </w:rPr>
        <w:t>Journal of Chronic Diseases, 10</w:t>
      </w:r>
      <w:r w:rsidRPr="00CA17DC">
        <w:rPr>
          <w:rFonts w:ascii="Arial Rounded MT Bold" w:hAnsi="Arial Rounded MT Bold"/>
          <w:sz w:val="20"/>
          <w:szCs w:val="20"/>
        </w:rPr>
        <w:t xml:space="preserve">(3), 207-217. </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Kübler-Ross, E. (1973). </w:t>
      </w:r>
      <w:r w:rsidRPr="00CA17DC">
        <w:rPr>
          <w:rFonts w:ascii="Arial Rounded MT Bold" w:hAnsi="Arial Rounded MT Bold" w:cs="Arial"/>
          <w:i/>
          <w:iCs/>
          <w:color w:val="222222"/>
          <w:sz w:val="20"/>
          <w:szCs w:val="20"/>
          <w:shd w:val="clear" w:color="auto" w:fill="FFFFFF"/>
        </w:rPr>
        <w:t>On death and dying</w:t>
      </w:r>
      <w:r w:rsidRPr="00CA17DC">
        <w:rPr>
          <w:rFonts w:ascii="Arial Rounded MT Bold" w:hAnsi="Arial Rounded MT Bold" w:cs="Arial"/>
          <w:color w:val="222222"/>
          <w:sz w:val="20"/>
          <w:szCs w:val="20"/>
          <w:shd w:val="clear" w:color="auto" w:fill="FFFFFF"/>
        </w:rPr>
        <w:t>. Routledge.</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Lund, D. A., Caserta, M. S., &amp; Dimond, M. F. (1986). Gender differences through two years of bereavement among the elderly. </w:t>
      </w:r>
      <w:r w:rsidRPr="00CA17DC">
        <w:rPr>
          <w:rFonts w:ascii="Arial Rounded MT Bold" w:hAnsi="Arial Rounded MT Bold" w:cs="Arial"/>
          <w:i/>
          <w:iCs/>
          <w:color w:val="222222"/>
          <w:sz w:val="20"/>
          <w:szCs w:val="20"/>
          <w:shd w:val="clear" w:color="auto" w:fill="FFFFFF"/>
        </w:rPr>
        <w:t>The Gerontologist</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26</w:t>
      </w:r>
      <w:r w:rsidRPr="00CA17DC">
        <w:rPr>
          <w:rFonts w:ascii="Arial Rounded MT Bold" w:hAnsi="Arial Rounded MT Bold" w:cs="Arial"/>
          <w:color w:val="222222"/>
          <w:sz w:val="20"/>
          <w:szCs w:val="20"/>
          <w:shd w:val="clear" w:color="auto" w:fill="FFFFFF"/>
        </w:rPr>
        <w:t>(3), 314-320.</w:t>
      </w:r>
    </w:p>
    <w:p w:rsidR="00827D98" w:rsidRPr="00CA17DC" w:rsidRDefault="00827D98" w:rsidP="00B14A99">
      <w:pPr>
        <w:spacing w:line="276" w:lineRule="auto"/>
        <w:rPr>
          <w:rFonts w:ascii="Arial Rounded MT Bold" w:hAnsi="Arial Rounded MT Bold" w:cstheme="minorHAnsi"/>
          <w:sz w:val="20"/>
          <w:szCs w:val="20"/>
          <w:shd w:val="clear" w:color="auto" w:fill="FFFFFF"/>
        </w:rPr>
      </w:pPr>
      <w:proofErr w:type="spellStart"/>
      <w:r w:rsidRPr="00CA17DC">
        <w:rPr>
          <w:rFonts w:ascii="Arial Rounded MT Bold" w:hAnsi="Arial Rounded MT Bold" w:cstheme="minorHAnsi"/>
          <w:sz w:val="20"/>
          <w:szCs w:val="20"/>
          <w:shd w:val="clear" w:color="auto" w:fill="FFFFFF"/>
        </w:rPr>
        <w:t>Martikainen</w:t>
      </w:r>
      <w:proofErr w:type="spellEnd"/>
      <w:r w:rsidRPr="00CA17DC">
        <w:rPr>
          <w:rFonts w:ascii="Arial Rounded MT Bold" w:hAnsi="Arial Rounded MT Bold" w:cstheme="minorHAnsi"/>
          <w:sz w:val="20"/>
          <w:szCs w:val="20"/>
          <w:shd w:val="clear" w:color="auto" w:fill="FFFFFF"/>
        </w:rPr>
        <w:t xml:space="preserve">, P., &amp; </w:t>
      </w:r>
      <w:proofErr w:type="spellStart"/>
      <w:r w:rsidRPr="00CA17DC">
        <w:rPr>
          <w:rFonts w:ascii="Arial Rounded MT Bold" w:hAnsi="Arial Rounded MT Bold" w:cstheme="minorHAnsi"/>
          <w:sz w:val="20"/>
          <w:szCs w:val="20"/>
          <w:shd w:val="clear" w:color="auto" w:fill="FFFFFF"/>
        </w:rPr>
        <w:t>Valkonen</w:t>
      </w:r>
      <w:proofErr w:type="spellEnd"/>
      <w:r w:rsidRPr="00CA17DC">
        <w:rPr>
          <w:rFonts w:ascii="Arial Rounded MT Bold" w:hAnsi="Arial Rounded MT Bold" w:cstheme="minorHAnsi"/>
          <w:sz w:val="20"/>
          <w:szCs w:val="20"/>
          <w:shd w:val="clear" w:color="auto" w:fill="FFFFFF"/>
        </w:rPr>
        <w:t>, T. (1996). Mortality after death of spouse in relation to duration of bereavement in Finland. </w:t>
      </w:r>
      <w:r w:rsidRPr="00CA17DC">
        <w:rPr>
          <w:rFonts w:ascii="Arial Rounded MT Bold" w:hAnsi="Arial Rounded MT Bold" w:cstheme="minorHAnsi"/>
          <w:i/>
          <w:iCs/>
          <w:sz w:val="20"/>
          <w:szCs w:val="20"/>
          <w:shd w:val="clear" w:color="auto" w:fill="FFFFFF"/>
        </w:rPr>
        <w:t>Journal of Epidemiology &amp; Community Health</w:t>
      </w:r>
      <w:r w:rsidRPr="00CA17DC">
        <w:rPr>
          <w:rFonts w:ascii="Arial Rounded MT Bold" w:hAnsi="Arial Rounded MT Bold" w:cstheme="minorHAnsi"/>
          <w:sz w:val="20"/>
          <w:szCs w:val="20"/>
          <w:shd w:val="clear" w:color="auto" w:fill="FFFFFF"/>
        </w:rPr>
        <w:t>, </w:t>
      </w:r>
      <w:r w:rsidRPr="00CA17DC">
        <w:rPr>
          <w:rFonts w:ascii="Arial Rounded MT Bold" w:hAnsi="Arial Rounded MT Bold" w:cstheme="minorHAnsi"/>
          <w:i/>
          <w:iCs/>
          <w:sz w:val="20"/>
          <w:szCs w:val="20"/>
          <w:shd w:val="clear" w:color="auto" w:fill="FFFFFF"/>
        </w:rPr>
        <w:t>50</w:t>
      </w:r>
      <w:r w:rsidRPr="00CA17DC">
        <w:rPr>
          <w:rFonts w:ascii="Arial Rounded MT Bold" w:hAnsi="Arial Rounded MT Bold" w:cstheme="minorHAnsi"/>
          <w:sz w:val="20"/>
          <w:szCs w:val="20"/>
          <w:shd w:val="clear" w:color="auto" w:fill="FFFFFF"/>
        </w:rPr>
        <w:t xml:space="preserve">(3), 264-268. </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theme="minorHAnsi"/>
          <w:color w:val="222222"/>
          <w:sz w:val="20"/>
          <w:szCs w:val="20"/>
          <w:shd w:val="clear" w:color="auto" w:fill="FFFFFF"/>
        </w:rPr>
        <w:t xml:space="preserve">Monk, T. H., </w:t>
      </w:r>
      <w:proofErr w:type="spellStart"/>
      <w:r w:rsidRPr="00CA17DC">
        <w:rPr>
          <w:rFonts w:ascii="Arial Rounded MT Bold" w:hAnsi="Arial Rounded MT Bold" w:cstheme="minorHAnsi"/>
          <w:color w:val="222222"/>
          <w:sz w:val="20"/>
          <w:szCs w:val="20"/>
          <w:shd w:val="clear" w:color="auto" w:fill="FFFFFF"/>
        </w:rPr>
        <w:t>Pfoff</w:t>
      </w:r>
      <w:proofErr w:type="spellEnd"/>
      <w:r w:rsidRPr="00CA17DC">
        <w:rPr>
          <w:rFonts w:ascii="Arial Rounded MT Bold" w:hAnsi="Arial Rounded MT Bold" w:cstheme="minorHAnsi"/>
          <w:color w:val="222222"/>
          <w:sz w:val="20"/>
          <w:szCs w:val="20"/>
          <w:shd w:val="clear" w:color="auto" w:fill="FFFFFF"/>
        </w:rPr>
        <w:t xml:space="preserve">, M. K., &amp; </w:t>
      </w:r>
      <w:proofErr w:type="spellStart"/>
      <w:r w:rsidRPr="00CA17DC">
        <w:rPr>
          <w:rFonts w:ascii="Arial Rounded MT Bold" w:hAnsi="Arial Rounded MT Bold" w:cstheme="minorHAnsi"/>
          <w:color w:val="222222"/>
          <w:sz w:val="20"/>
          <w:szCs w:val="20"/>
          <w:shd w:val="clear" w:color="auto" w:fill="FFFFFF"/>
        </w:rPr>
        <w:t>Zarotney</w:t>
      </w:r>
      <w:proofErr w:type="spellEnd"/>
      <w:r w:rsidRPr="00CA17DC">
        <w:rPr>
          <w:rFonts w:ascii="Arial Rounded MT Bold" w:hAnsi="Arial Rounded MT Bold" w:cstheme="minorHAnsi"/>
          <w:color w:val="222222"/>
          <w:sz w:val="20"/>
          <w:szCs w:val="20"/>
          <w:shd w:val="clear" w:color="auto" w:fill="FFFFFF"/>
        </w:rPr>
        <w:t xml:space="preserve">, J. R. (2013). Depression in the </w:t>
      </w:r>
      <w:proofErr w:type="spellStart"/>
      <w:r w:rsidRPr="00CA17DC">
        <w:rPr>
          <w:rFonts w:ascii="Arial Rounded MT Bold" w:hAnsi="Arial Rounded MT Bold" w:cstheme="minorHAnsi"/>
          <w:color w:val="222222"/>
          <w:sz w:val="20"/>
          <w:szCs w:val="20"/>
          <w:shd w:val="clear" w:color="auto" w:fill="FFFFFF"/>
        </w:rPr>
        <w:t>spousally</w:t>
      </w:r>
      <w:proofErr w:type="spellEnd"/>
      <w:r w:rsidRPr="00CA17DC">
        <w:rPr>
          <w:rFonts w:ascii="Arial Rounded MT Bold" w:hAnsi="Arial Rounded MT Bold" w:cstheme="minorHAnsi"/>
          <w:color w:val="222222"/>
          <w:sz w:val="20"/>
          <w:szCs w:val="20"/>
          <w:shd w:val="clear" w:color="auto" w:fill="FFFFFF"/>
        </w:rPr>
        <w:t xml:space="preserve"> bereaved elderly: correlations with subjective sleep measures. </w:t>
      </w:r>
      <w:r w:rsidRPr="00CA17DC">
        <w:rPr>
          <w:rFonts w:ascii="Arial Rounded MT Bold" w:hAnsi="Arial Rounded MT Bold" w:cstheme="minorHAnsi"/>
          <w:i/>
          <w:iCs/>
          <w:color w:val="222222"/>
          <w:sz w:val="20"/>
          <w:szCs w:val="20"/>
          <w:shd w:val="clear" w:color="auto" w:fill="FFFFFF"/>
        </w:rPr>
        <w:t>Depression research and treatment</w:t>
      </w:r>
      <w:r w:rsidRPr="00CA17DC">
        <w:rPr>
          <w:rFonts w:ascii="Arial Rounded MT Bold" w:hAnsi="Arial Rounded MT Bold" w:cstheme="minorHAnsi"/>
          <w:color w:val="222222"/>
          <w:sz w:val="20"/>
          <w:szCs w:val="20"/>
          <w:shd w:val="clear" w:color="auto" w:fill="FFFFFF"/>
        </w:rPr>
        <w:t>, </w:t>
      </w:r>
      <w:r w:rsidRPr="00CA17DC">
        <w:rPr>
          <w:rFonts w:ascii="Arial Rounded MT Bold" w:hAnsi="Arial Rounded MT Bold" w:cstheme="minorHAnsi"/>
          <w:i/>
          <w:iCs/>
          <w:color w:val="222222"/>
          <w:sz w:val="20"/>
          <w:szCs w:val="20"/>
          <w:shd w:val="clear" w:color="auto" w:fill="FFFFFF"/>
        </w:rPr>
        <w:t>2013</w:t>
      </w:r>
      <w:r w:rsidRPr="00CA17DC">
        <w:rPr>
          <w:rFonts w:ascii="Arial Rounded MT Bold" w:hAnsi="Arial Rounded MT Bold" w:cstheme="minorHAnsi"/>
          <w:color w:val="222222"/>
          <w:sz w:val="20"/>
          <w:szCs w:val="20"/>
          <w:shd w:val="clear" w:color="auto" w:fill="FFFFFF"/>
        </w:rPr>
        <w:t>.</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Arial"/>
          <w:color w:val="222222"/>
          <w:sz w:val="20"/>
          <w:szCs w:val="20"/>
          <w:shd w:val="clear" w:color="auto" w:fill="FFFFFF"/>
        </w:rPr>
        <w:t>Office for National Statistics. (2018). Estimates of the population for the UK, England and Wales, Scotland and Northern Ireland [online].</w:t>
      </w:r>
    </w:p>
    <w:p w:rsidR="00827D98" w:rsidRPr="00CA17DC" w:rsidRDefault="00827D98" w:rsidP="00B14A99">
      <w:pPr>
        <w:spacing w:line="276" w:lineRule="auto"/>
        <w:rPr>
          <w:rFonts w:ascii="Arial Rounded MT Bold" w:hAnsi="Arial Rounded MT Bold" w:cs="Arial"/>
          <w:sz w:val="20"/>
          <w:szCs w:val="20"/>
          <w:shd w:val="clear" w:color="auto" w:fill="FFFFFF"/>
        </w:rPr>
      </w:pPr>
      <w:proofErr w:type="spellStart"/>
      <w:r w:rsidRPr="00CA17DC">
        <w:rPr>
          <w:rFonts w:ascii="Arial Rounded MT Bold" w:hAnsi="Arial Rounded MT Bold" w:cs="Arial"/>
          <w:sz w:val="20"/>
          <w:szCs w:val="20"/>
          <w:shd w:val="clear" w:color="auto" w:fill="FFFFFF"/>
        </w:rPr>
        <w:t>Pruchno</w:t>
      </w:r>
      <w:proofErr w:type="spellEnd"/>
      <w:r w:rsidRPr="00CA17DC">
        <w:rPr>
          <w:rFonts w:ascii="Arial Rounded MT Bold" w:hAnsi="Arial Rounded MT Bold" w:cs="Arial"/>
          <w:sz w:val="20"/>
          <w:szCs w:val="20"/>
          <w:shd w:val="clear" w:color="auto" w:fill="FFFFFF"/>
        </w:rPr>
        <w:t>, R., Wilson-</w:t>
      </w:r>
      <w:proofErr w:type="spellStart"/>
      <w:r w:rsidRPr="00CA17DC">
        <w:rPr>
          <w:rFonts w:ascii="Arial Rounded MT Bold" w:hAnsi="Arial Rounded MT Bold" w:cs="Arial"/>
          <w:sz w:val="20"/>
          <w:szCs w:val="20"/>
          <w:shd w:val="clear" w:color="auto" w:fill="FFFFFF"/>
        </w:rPr>
        <w:t>Genderson</w:t>
      </w:r>
      <w:proofErr w:type="spellEnd"/>
      <w:r w:rsidRPr="00CA17DC">
        <w:rPr>
          <w:rFonts w:ascii="Arial Rounded MT Bold" w:hAnsi="Arial Rounded MT Bold" w:cs="Arial"/>
          <w:sz w:val="20"/>
          <w:szCs w:val="20"/>
          <w:shd w:val="clear" w:color="auto" w:fill="FFFFFF"/>
        </w:rPr>
        <w:t xml:space="preserve">, M., &amp; Cartwright, F. P. (2009). Depressive symptoms and marital satisfaction in the context of chronic disease: A longitudinal dyadic analysis. </w:t>
      </w:r>
      <w:r w:rsidRPr="00CA17DC">
        <w:rPr>
          <w:rFonts w:ascii="Arial Rounded MT Bold" w:hAnsi="Arial Rounded MT Bold" w:cs="Arial"/>
          <w:i/>
          <w:sz w:val="20"/>
          <w:szCs w:val="20"/>
          <w:shd w:val="clear" w:color="auto" w:fill="FFFFFF"/>
        </w:rPr>
        <w:t>Journal of Family Psychology, 23</w:t>
      </w:r>
      <w:r w:rsidRPr="00CA17DC">
        <w:rPr>
          <w:rFonts w:ascii="Arial Rounded MT Bold" w:hAnsi="Arial Rounded MT Bold" w:cs="Arial"/>
          <w:sz w:val="20"/>
          <w:szCs w:val="20"/>
          <w:shd w:val="clear" w:color="auto" w:fill="FFFFFF"/>
        </w:rPr>
        <w:t>(4), 573.</w:t>
      </w:r>
    </w:p>
    <w:p w:rsidR="00827D98" w:rsidRPr="00CA17DC" w:rsidRDefault="00827D98">
      <w:pPr>
        <w:spacing w:line="276" w:lineRule="auto"/>
        <w:rPr>
          <w:rFonts w:ascii="Arial Rounded MT Bold" w:hAnsi="Arial Rounded MT Bold" w:cstheme="minorHAnsi"/>
          <w:sz w:val="20"/>
          <w:szCs w:val="18"/>
        </w:rPr>
      </w:pPr>
      <w:r w:rsidRPr="00827D98">
        <w:rPr>
          <w:rFonts w:ascii="Arial Rounded MT Bold" w:hAnsi="Arial Rounded MT Bold" w:cstheme="minorHAnsi"/>
          <w:sz w:val="20"/>
          <w:szCs w:val="18"/>
        </w:rPr>
        <w:t xml:space="preserve">Richardson, V. E., &amp; </w:t>
      </w:r>
      <w:proofErr w:type="spellStart"/>
      <w:r w:rsidRPr="00827D98">
        <w:rPr>
          <w:rFonts w:ascii="Arial Rounded MT Bold" w:hAnsi="Arial Rounded MT Bold" w:cstheme="minorHAnsi"/>
          <w:sz w:val="20"/>
          <w:szCs w:val="18"/>
        </w:rPr>
        <w:t>Balaswamy</w:t>
      </w:r>
      <w:proofErr w:type="spellEnd"/>
      <w:r w:rsidRPr="00827D98">
        <w:rPr>
          <w:rFonts w:ascii="Arial Rounded MT Bold" w:hAnsi="Arial Rounded MT Bold" w:cstheme="minorHAnsi"/>
          <w:sz w:val="20"/>
          <w:szCs w:val="18"/>
        </w:rPr>
        <w:t xml:space="preserve">, S. (2001). Coping with bereavement among elderly widowers. </w:t>
      </w:r>
      <w:r w:rsidRPr="00827D98">
        <w:rPr>
          <w:rFonts w:ascii="Arial Rounded MT Bold" w:hAnsi="Arial Rounded MT Bold" w:cstheme="minorHAnsi"/>
          <w:i/>
          <w:sz w:val="20"/>
          <w:szCs w:val="18"/>
        </w:rPr>
        <w:t>OMEGA-Journal of Death and Dying, 43</w:t>
      </w:r>
      <w:r w:rsidRPr="00827D98">
        <w:rPr>
          <w:rFonts w:ascii="Arial Rounded MT Bold" w:hAnsi="Arial Rounded MT Bold" w:cstheme="minorHAnsi"/>
          <w:sz w:val="20"/>
          <w:szCs w:val="18"/>
        </w:rPr>
        <w:t>(2), 129-144.</w:t>
      </w:r>
    </w:p>
    <w:p w:rsidR="00827D98" w:rsidRPr="00CA17DC" w:rsidRDefault="00827D98" w:rsidP="00B14A99">
      <w:pPr>
        <w:spacing w:line="276" w:lineRule="auto"/>
        <w:rPr>
          <w:rFonts w:ascii="Arial Rounded MT Bold" w:hAnsi="Arial Rounded MT Bold" w:cstheme="minorHAnsi"/>
          <w:color w:val="222222"/>
          <w:sz w:val="20"/>
          <w:szCs w:val="20"/>
          <w:shd w:val="clear" w:color="auto" w:fill="FFFFFF"/>
        </w:rPr>
      </w:pPr>
      <w:r w:rsidRPr="00CA17DC">
        <w:rPr>
          <w:rFonts w:ascii="Arial Rounded MT Bold" w:hAnsi="Arial Rounded MT Bold" w:cstheme="minorHAnsi"/>
          <w:color w:val="222222"/>
          <w:sz w:val="20"/>
          <w:szCs w:val="20"/>
          <w:shd w:val="clear" w:color="auto" w:fill="FFFFFF"/>
        </w:rPr>
        <w:lastRenderedPageBreak/>
        <w:t xml:space="preserve">Rosenzweig, MD, MPH, A., </w:t>
      </w:r>
      <w:proofErr w:type="spellStart"/>
      <w:r w:rsidRPr="00CA17DC">
        <w:rPr>
          <w:rFonts w:ascii="Arial Rounded MT Bold" w:hAnsi="Arial Rounded MT Bold" w:cstheme="minorHAnsi"/>
          <w:color w:val="222222"/>
          <w:sz w:val="20"/>
          <w:szCs w:val="20"/>
          <w:shd w:val="clear" w:color="auto" w:fill="FFFFFF"/>
        </w:rPr>
        <w:t>Prigerson</w:t>
      </w:r>
      <w:proofErr w:type="spellEnd"/>
      <w:r w:rsidRPr="00CA17DC">
        <w:rPr>
          <w:rFonts w:ascii="Arial Rounded MT Bold" w:hAnsi="Arial Rounded MT Bold" w:cstheme="minorHAnsi"/>
          <w:color w:val="222222"/>
          <w:sz w:val="20"/>
          <w:szCs w:val="20"/>
          <w:shd w:val="clear" w:color="auto" w:fill="FFFFFF"/>
        </w:rPr>
        <w:t>, PhD, H., Miller, MD, M. D., &amp; Reynolds III, MD, C. F. (1997). Bereavement and late-life depression: Grief and its complications in the elderly. </w:t>
      </w:r>
      <w:r w:rsidRPr="00CA17DC">
        <w:rPr>
          <w:rFonts w:ascii="Arial Rounded MT Bold" w:hAnsi="Arial Rounded MT Bold" w:cstheme="minorHAnsi"/>
          <w:i/>
          <w:iCs/>
          <w:color w:val="222222"/>
          <w:sz w:val="20"/>
          <w:szCs w:val="20"/>
          <w:shd w:val="clear" w:color="auto" w:fill="FFFFFF"/>
        </w:rPr>
        <w:t>Annual review of medicine</w:t>
      </w:r>
      <w:r w:rsidRPr="00CA17DC">
        <w:rPr>
          <w:rFonts w:ascii="Arial Rounded MT Bold" w:hAnsi="Arial Rounded MT Bold" w:cstheme="minorHAnsi"/>
          <w:color w:val="222222"/>
          <w:sz w:val="20"/>
          <w:szCs w:val="20"/>
          <w:shd w:val="clear" w:color="auto" w:fill="FFFFFF"/>
        </w:rPr>
        <w:t>, </w:t>
      </w:r>
      <w:r w:rsidRPr="00CA17DC">
        <w:rPr>
          <w:rFonts w:ascii="Arial Rounded MT Bold" w:hAnsi="Arial Rounded MT Bold" w:cstheme="minorHAnsi"/>
          <w:i/>
          <w:iCs/>
          <w:color w:val="222222"/>
          <w:sz w:val="20"/>
          <w:szCs w:val="20"/>
          <w:shd w:val="clear" w:color="auto" w:fill="FFFFFF"/>
        </w:rPr>
        <w:t>48</w:t>
      </w:r>
      <w:r w:rsidRPr="00CA17DC">
        <w:rPr>
          <w:rFonts w:ascii="Arial Rounded MT Bold" w:hAnsi="Arial Rounded MT Bold" w:cstheme="minorHAnsi"/>
          <w:color w:val="222222"/>
          <w:sz w:val="20"/>
          <w:szCs w:val="20"/>
          <w:shd w:val="clear" w:color="auto" w:fill="FFFFFF"/>
        </w:rPr>
        <w:t>(1), 421-428.</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bookmarkStart w:id="1" w:name="_Hlk27683034"/>
      <w:r w:rsidRPr="00CA17DC">
        <w:rPr>
          <w:rFonts w:ascii="Arial Rounded MT Bold" w:hAnsi="Arial Rounded MT Bold" w:cs="Arial"/>
          <w:color w:val="222222"/>
          <w:sz w:val="20"/>
          <w:szCs w:val="20"/>
          <w:shd w:val="clear" w:color="auto" w:fill="FFFFFF"/>
        </w:rPr>
        <w:t xml:space="preserve">Schaefer, C., </w:t>
      </w:r>
      <w:proofErr w:type="spellStart"/>
      <w:r w:rsidRPr="00CA17DC">
        <w:rPr>
          <w:rFonts w:ascii="Arial Rounded MT Bold" w:hAnsi="Arial Rounded MT Bold" w:cs="Arial"/>
          <w:color w:val="222222"/>
          <w:sz w:val="20"/>
          <w:szCs w:val="20"/>
          <w:shd w:val="clear" w:color="auto" w:fill="FFFFFF"/>
        </w:rPr>
        <w:t>Quesenberry</w:t>
      </w:r>
      <w:proofErr w:type="spellEnd"/>
      <w:r w:rsidRPr="00CA17DC">
        <w:rPr>
          <w:rFonts w:ascii="Arial Rounded MT Bold" w:hAnsi="Arial Rounded MT Bold" w:cs="Arial"/>
          <w:color w:val="222222"/>
          <w:sz w:val="20"/>
          <w:szCs w:val="20"/>
          <w:shd w:val="clear" w:color="auto" w:fill="FFFFFF"/>
        </w:rPr>
        <w:t xml:space="preserve"> Jr, C. P., &amp; Wi, S. (1995). </w:t>
      </w:r>
      <w:bookmarkEnd w:id="1"/>
      <w:r w:rsidRPr="00CA17DC">
        <w:rPr>
          <w:rFonts w:ascii="Arial Rounded MT Bold" w:hAnsi="Arial Rounded MT Bold" w:cs="Arial"/>
          <w:color w:val="222222"/>
          <w:sz w:val="20"/>
          <w:szCs w:val="20"/>
          <w:shd w:val="clear" w:color="auto" w:fill="FFFFFF"/>
        </w:rPr>
        <w:t>Mortality following conjugal bereavement and the effects of a shared environment. </w:t>
      </w:r>
      <w:r w:rsidRPr="00CA17DC">
        <w:rPr>
          <w:rFonts w:ascii="Arial Rounded MT Bold" w:hAnsi="Arial Rounded MT Bold" w:cs="Arial"/>
          <w:i/>
          <w:iCs/>
          <w:color w:val="222222"/>
          <w:sz w:val="20"/>
          <w:szCs w:val="20"/>
          <w:shd w:val="clear" w:color="auto" w:fill="FFFFFF"/>
        </w:rPr>
        <w:t>American Journal of Epidemiology</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141</w:t>
      </w:r>
      <w:r w:rsidRPr="00CA17DC">
        <w:rPr>
          <w:rFonts w:ascii="Arial Rounded MT Bold" w:hAnsi="Arial Rounded MT Bold" w:cs="Arial"/>
          <w:color w:val="222222"/>
          <w:sz w:val="20"/>
          <w:szCs w:val="20"/>
          <w:shd w:val="clear" w:color="auto" w:fill="FFFFFF"/>
        </w:rPr>
        <w:t>(12), 1142-1152.</w:t>
      </w:r>
    </w:p>
    <w:p w:rsidR="00827D98" w:rsidRDefault="00827D98" w:rsidP="00B14A99">
      <w:pPr>
        <w:spacing w:line="276" w:lineRule="auto"/>
        <w:rPr>
          <w:rFonts w:ascii="Arial Rounded MT Bold" w:hAnsi="Arial Rounded MT Bold" w:cstheme="minorHAnsi"/>
          <w:sz w:val="20"/>
          <w:szCs w:val="18"/>
        </w:rPr>
      </w:pPr>
      <w:r w:rsidRPr="00D942D7">
        <w:rPr>
          <w:rFonts w:ascii="Arial Rounded MT Bold" w:hAnsi="Arial Rounded MT Bold" w:cstheme="minorHAnsi"/>
          <w:sz w:val="20"/>
          <w:szCs w:val="18"/>
        </w:rPr>
        <w:t xml:space="preserve">Smith, K. R., &amp; </w:t>
      </w:r>
      <w:proofErr w:type="spellStart"/>
      <w:r w:rsidRPr="00D942D7">
        <w:rPr>
          <w:rFonts w:ascii="Arial Rounded MT Bold" w:hAnsi="Arial Rounded MT Bold" w:cstheme="minorHAnsi"/>
          <w:sz w:val="20"/>
          <w:szCs w:val="18"/>
        </w:rPr>
        <w:t>Zick</w:t>
      </w:r>
      <w:proofErr w:type="spellEnd"/>
      <w:r w:rsidRPr="00D942D7">
        <w:rPr>
          <w:rFonts w:ascii="Arial Rounded MT Bold" w:hAnsi="Arial Rounded MT Bold" w:cstheme="minorHAnsi"/>
          <w:sz w:val="20"/>
          <w:szCs w:val="18"/>
        </w:rPr>
        <w:t xml:space="preserve">, C. D. (1996). Risk of mortality following widowhood: Age and sex differences by mode of death. </w:t>
      </w:r>
      <w:r w:rsidRPr="00D942D7">
        <w:rPr>
          <w:rFonts w:ascii="Arial Rounded MT Bold" w:hAnsi="Arial Rounded MT Bold" w:cstheme="minorHAnsi"/>
          <w:i/>
          <w:sz w:val="20"/>
          <w:szCs w:val="18"/>
        </w:rPr>
        <w:t>Social biology, 43</w:t>
      </w:r>
      <w:r w:rsidRPr="00D942D7">
        <w:rPr>
          <w:rFonts w:ascii="Arial Rounded MT Bold" w:hAnsi="Arial Rounded MT Bold" w:cstheme="minorHAnsi"/>
          <w:sz w:val="20"/>
          <w:szCs w:val="18"/>
        </w:rPr>
        <w:t>(1-2), 59-71.</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Sullivan, A. R., &amp; Fenelon, A. (2013). Patterns of widowhood mortality. </w:t>
      </w:r>
      <w:r w:rsidRPr="00CA17DC">
        <w:rPr>
          <w:rFonts w:ascii="Arial Rounded MT Bold" w:hAnsi="Arial Rounded MT Bold" w:cs="Arial"/>
          <w:i/>
          <w:color w:val="222222"/>
          <w:sz w:val="20"/>
          <w:szCs w:val="20"/>
          <w:shd w:val="clear" w:color="auto" w:fill="FFFFFF"/>
        </w:rPr>
        <w:t>Journals of Gerontology Series B: Psychological Sciences and Social Sciences, 69(</w:t>
      </w:r>
      <w:r w:rsidRPr="00CA17DC">
        <w:rPr>
          <w:rFonts w:ascii="Arial Rounded MT Bold" w:hAnsi="Arial Rounded MT Bold" w:cs="Arial"/>
          <w:color w:val="222222"/>
          <w:sz w:val="20"/>
          <w:szCs w:val="20"/>
          <w:shd w:val="clear" w:color="auto" w:fill="FFFFFF"/>
        </w:rPr>
        <w:t>1), 53-62.</w:t>
      </w:r>
    </w:p>
    <w:p w:rsidR="00827D98" w:rsidRPr="00CA17DC" w:rsidRDefault="00827D98" w:rsidP="00CA17DC">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Sullivan, A. R., &amp; Fenelon, A. (2013). Patterns of widowhood mortality. </w:t>
      </w:r>
      <w:r w:rsidRPr="00CA17DC">
        <w:rPr>
          <w:rFonts w:ascii="Arial Rounded MT Bold" w:hAnsi="Arial Rounded MT Bold" w:cs="Arial"/>
          <w:i/>
          <w:color w:val="222222"/>
          <w:sz w:val="20"/>
          <w:szCs w:val="20"/>
          <w:shd w:val="clear" w:color="auto" w:fill="FFFFFF"/>
        </w:rPr>
        <w:t>Journals of Gerontology Series B: Psychological Sciences and Social Sciences, 69(</w:t>
      </w:r>
      <w:r w:rsidRPr="00CA17DC">
        <w:rPr>
          <w:rFonts w:ascii="Arial Rounded MT Bold" w:hAnsi="Arial Rounded MT Bold" w:cs="Arial"/>
          <w:color w:val="222222"/>
          <w:sz w:val="20"/>
          <w:szCs w:val="20"/>
          <w:shd w:val="clear" w:color="auto" w:fill="FFFFFF"/>
        </w:rPr>
        <w:t>1), 53-62.</w:t>
      </w:r>
    </w:p>
    <w:p w:rsidR="00827D98" w:rsidRDefault="00827D98" w:rsidP="00B14A99">
      <w:pPr>
        <w:spacing w:line="276" w:lineRule="auto"/>
        <w:rPr>
          <w:rFonts w:ascii="Arial Rounded MT Bold" w:hAnsi="Arial Rounded MT Bold" w:cstheme="minorHAnsi"/>
          <w:sz w:val="20"/>
          <w:szCs w:val="18"/>
        </w:rPr>
      </w:pPr>
      <w:r w:rsidRPr="00CA17DC">
        <w:rPr>
          <w:rFonts w:ascii="Arial Rounded MT Bold" w:hAnsi="Arial Rounded MT Bold" w:cstheme="minorHAnsi"/>
          <w:sz w:val="20"/>
          <w:szCs w:val="18"/>
        </w:rPr>
        <w:t xml:space="preserve">Sullivan, A. R., &amp; Fenelon, A. (2013). Patterns of widowhood mortality. </w:t>
      </w:r>
      <w:r w:rsidRPr="00CA17DC">
        <w:rPr>
          <w:rFonts w:ascii="Arial Rounded MT Bold" w:hAnsi="Arial Rounded MT Bold" w:cstheme="minorHAnsi"/>
          <w:i/>
          <w:sz w:val="20"/>
          <w:szCs w:val="18"/>
        </w:rPr>
        <w:t>Journals of Gerontology Series B: Psychological Sciences and Social Sciences, 69</w:t>
      </w:r>
      <w:r w:rsidRPr="00CA17DC">
        <w:rPr>
          <w:rFonts w:ascii="Arial Rounded MT Bold" w:hAnsi="Arial Rounded MT Bold" w:cstheme="minorHAnsi"/>
          <w:sz w:val="20"/>
          <w:szCs w:val="18"/>
        </w:rPr>
        <w:t>(1), 53-62.</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 xml:space="preserve">Thierry, X. (2000). Risks of mortality and excess mortality during the first ten years of widowhood. </w:t>
      </w:r>
      <w:r w:rsidRPr="00CA17DC">
        <w:rPr>
          <w:rFonts w:ascii="Arial Rounded MT Bold" w:hAnsi="Arial Rounded MT Bold" w:cs="Arial"/>
          <w:i/>
          <w:color w:val="222222"/>
          <w:sz w:val="20"/>
          <w:szCs w:val="20"/>
          <w:shd w:val="clear" w:color="auto" w:fill="FFFFFF"/>
        </w:rPr>
        <w:t>Population: An English Selection,</w:t>
      </w:r>
      <w:r w:rsidRPr="00CA17DC">
        <w:rPr>
          <w:rFonts w:ascii="Arial Rounded MT Bold" w:hAnsi="Arial Rounded MT Bold" w:cs="Arial"/>
          <w:color w:val="222222"/>
          <w:sz w:val="20"/>
          <w:szCs w:val="20"/>
          <w:shd w:val="clear" w:color="auto" w:fill="FFFFFF"/>
        </w:rPr>
        <w:t xml:space="preserve"> 81-109.</w:t>
      </w:r>
    </w:p>
    <w:p w:rsidR="00827D98" w:rsidRPr="00CA17DC" w:rsidRDefault="00827D98" w:rsidP="00B14A99">
      <w:pPr>
        <w:spacing w:line="276" w:lineRule="auto"/>
        <w:rPr>
          <w:rFonts w:ascii="Arial Rounded MT Bold" w:hAnsi="Arial Rounded MT Bold" w:cs="Arial"/>
          <w:color w:val="222222"/>
          <w:sz w:val="20"/>
          <w:szCs w:val="20"/>
          <w:shd w:val="clear" w:color="auto" w:fill="FFFFFF"/>
        </w:rPr>
      </w:pPr>
      <w:r w:rsidRPr="00CA17DC">
        <w:rPr>
          <w:rFonts w:ascii="Arial Rounded MT Bold" w:hAnsi="Arial Rounded MT Bold" w:cs="Arial"/>
          <w:color w:val="222222"/>
          <w:sz w:val="20"/>
          <w:szCs w:val="20"/>
          <w:shd w:val="clear" w:color="auto" w:fill="FFFFFF"/>
        </w:rPr>
        <w:t>Williams, B. R., Sawyer Baker, P., Allman, R. M., &amp; Roseman, J. M. (2007). Bereavement among African American and White older adults. </w:t>
      </w:r>
      <w:r w:rsidRPr="00CA17DC">
        <w:rPr>
          <w:rFonts w:ascii="Arial Rounded MT Bold" w:hAnsi="Arial Rounded MT Bold" w:cs="Arial"/>
          <w:i/>
          <w:iCs/>
          <w:color w:val="222222"/>
          <w:sz w:val="20"/>
          <w:szCs w:val="20"/>
          <w:shd w:val="clear" w:color="auto" w:fill="FFFFFF"/>
        </w:rPr>
        <w:t>Journal of aging and health</w:t>
      </w:r>
      <w:r w:rsidRPr="00CA17DC">
        <w:rPr>
          <w:rFonts w:ascii="Arial Rounded MT Bold" w:hAnsi="Arial Rounded MT Bold" w:cs="Arial"/>
          <w:color w:val="222222"/>
          <w:sz w:val="20"/>
          <w:szCs w:val="20"/>
          <w:shd w:val="clear" w:color="auto" w:fill="FFFFFF"/>
        </w:rPr>
        <w:t>, </w:t>
      </w:r>
      <w:r w:rsidRPr="00CA17DC">
        <w:rPr>
          <w:rFonts w:ascii="Arial Rounded MT Bold" w:hAnsi="Arial Rounded MT Bold" w:cs="Arial"/>
          <w:i/>
          <w:iCs/>
          <w:color w:val="222222"/>
          <w:sz w:val="20"/>
          <w:szCs w:val="20"/>
          <w:shd w:val="clear" w:color="auto" w:fill="FFFFFF"/>
        </w:rPr>
        <w:t>19</w:t>
      </w:r>
      <w:r w:rsidRPr="00CA17DC">
        <w:rPr>
          <w:rFonts w:ascii="Arial Rounded MT Bold" w:hAnsi="Arial Rounded MT Bold" w:cs="Arial"/>
          <w:color w:val="222222"/>
          <w:sz w:val="20"/>
          <w:szCs w:val="20"/>
          <w:shd w:val="clear" w:color="auto" w:fill="FFFFFF"/>
        </w:rPr>
        <w:t>(2), 313-333.</w:t>
      </w:r>
    </w:p>
    <w:p w:rsidR="00827D98" w:rsidRDefault="00827D98" w:rsidP="00B14A99">
      <w:pPr>
        <w:spacing w:line="276" w:lineRule="auto"/>
        <w:rPr>
          <w:rFonts w:ascii="Arial Rounded MT Bold" w:hAnsi="Arial Rounded MT Bold" w:cstheme="minorHAnsi"/>
          <w:sz w:val="20"/>
          <w:szCs w:val="18"/>
        </w:rPr>
      </w:pPr>
      <w:proofErr w:type="spellStart"/>
      <w:r w:rsidRPr="00D942D7">
        <w:rPr>
          <w:rFonts w:ascii="Arial Rounded MT Bold" w:hAnsi="Arial Rounded MT Bold" w:cstheme="minorHAnsi"/>
          <w:sz w:val="20"/>
          <w:szCs w:val="18"/>
        </w:rPr>
        <w:t>Zisook</w:t>
      </w:r>
      <w:proofErr w:type="spellEnd"/>
      <w:r w:rsidRPr="00D942D7">
        <w:rPr>
          <w:rFonts w:ascii="Arial Rounded MT Bold" w:hAnsi="Arial Rounded MT Bold" w:cstheme="minorHAnsi"/>
          <w:sz w:val="20"/>
          <w:szCs w:val="18"/>
        </w:rPr>
        <w:t xml:space="preserve">, S., </w:t>
      </w:r>
      <w:proofErr w:type="spellStart"/>
      <w:r w:rsidRPr="00D942D7">
        <w:rPr>
          <w:rFonts w:ascii="Arial Rounded MT Bold" w:hAnsi="Arial Rounded MT Bold" w:cstheme="minorHAnsi"/>
          <w:sz w:val="20"/>
          <w:szCs w:val="18"/>
        </w:rPr>
        <w:t>Shuchter</w:t>
      </w:r>
      <w:proofErr w:type="spellEnd"/>
      <w:r w:rsidRPr="00D942D7">
        <w:rPr>
          <w:rFonts w:ascii="Arial Rounded MT Bold" w:hAnsi="Arial Rounded MT Bold" w:cstheme="minorHAnsi"/>
          <w:sz w:val="20"/>
          <w:szCs w:val="18"/>
        </w:rPr>
        <w:t xml:space="preserve">, S. R., &amp; Mulvihill, M. (1990). Alcohol, cigarette, and medication use during the first year of widowhood. </w:t>
      </w:r>
      <w:r w:rsidRPr="00D942D7">
        <w:rPr>
          <w:rFonts w:ascii="Arial Rounded MT Bold" w:hAnsi="Arial Rounded MT Bold" w:cstheme="minorHAnsi"/>
          <w:i/>
          <w:sz w:val="20"/>
          <w:szCs w:val="18"/>
        </w:rPr>
        <w:t>Psychiatric Annals, 20</w:t>
      </w:r>
      <w:r w:rsidRPr="00D942D7">
        <w:rPr>
          <w:rFonts w:ascii="Arial Rounded MT Bold" w:hAnsi="Arial Rounded MT Bold" w:cstheme="minorHAnsi"/>
          <w:sz w:val="20"/>
          <w:szCs w:val="18"/>
        </w:rPr>
        <w:t>(6), 318-326.</w:t>
      </w: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827D98" w:rsidP="00B14A99">
      <w:pPr>
        <w:spacing w:line="276" w:lineRule="auto"/>
        <w:rPr>
          <w:rFonts w:ascii="Arial Rounded MT Bold" w:hAnsi="Arial Rounded MT Bold" w:cstheme="minorHAnsi"/>
          <w:sz w:val="20"/>
          <w:szCs w:val="18"/>
        </w:rPr>
      </w:pPr>
    </w:p>
    <w:p w:rsidR="00827D98" w:rsidRDefault="00560186" w:rsidP="00B14A99">
      <w:pPr>
        <w:spacing w:line="276" w:lineRule="auto"/>
        <w:rPr>
          <w:rFonts w:ascii="Arial Rounded MT Bold" w:hAnsi="Arial Rounded MT Bold" w:cstheme="minorHAnsi"/>
          <w:sz w:val="20"/>
          <w:szCs w:val="18"/>
        </w:rPr>
      </w:pPr>
      <w:r w:rsidRPr="00560186">
        <w:rPr>
          <w:rFonts w:ascii="Arial Rounded MT Bold" w:hAnsi="Arial Rounded MT Bold" w:cstheme="minorHAnsi"/>
          <w:noProof/>
          <w:sz w:val="20"/>
          <w:szCs w:val="18"/>
        </w:rPr>
        <w:lastRenderedPageBreak/>
        <w:drawing>
          <wp:anchor distT="0" distB="0" distL="114300" distR="114300" simplePos="0" relativeHeight="251693056" behindDoc="1" locked="0" layoutInCell="1" allowOverlap="1" wp14:anchorId="2FB0BEB7">
            <wp:simplePos x="0" y="0"/>
            <wp:positionH relativeFrom="column">
              <wp:posOffset>-961697</wp:posOffset>
            </wp:positionH>
            <wp:positionV relativeFrom="paragraph">
              <wp:posOffset>-898635</wp:posOffset>
            </wp:positionV>
            <wp:extent cx="7674610" cy="4840013"/>
            <wp:effectExtent l="0" t="0" r="2540" b="0"/>
            <wp:wrapNone/>
            <wp:docPr id="1034" name="Picture 10" descr="Image result for bereavement">
              <a:extLst xmlns:a="http://schemas.openxmlformats.org/drawingml/2006/main">
                <a:ext uri="{FF2B5EF4-FFF2-40B4-BE49-F238E27FC236}">
                  <a16:creationId xmlns:a16="http://schemas.microsoft.com/office/drawing/2014/main" id="{3BE86A63-7194-446A-BADC-9DB5B61DF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Image result for bereavement">
                      <a:extLst>
                        <a:ext uri="{FF2B5EF4-FFF2-40B4-BE49-F238E27FC236}">
                          <a16:creationId xmlns:a16="http://schemas.microsoft.com/office/drawing/2014/main" id="{3BE86A63-7194-446A-BADC-9DB5B61DF6FD}"/>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42599" r="11138" b="1"/>
                    <a:stretch/>
                  </pic:blipFill>
                  <pic:spPr bwMode="auto">
                    <a:xfrm>
                      <a:off x="0" y="0"/>
                      <a:ext cx="7710702" cy="4862774"/>
                    </a:xfrm>
                    <a:custGeom>
                      <a:avLst/>
                      <a:gdLst>
                        <a:gd name="connsiteX0" fmla="*/ 0 w 12192000"/>
                        <a:gd name="connsiteY0" fmla="*/ 0 h 3692092"/>
                        <a:gd name="connsiteX1" fmla="*/ 12192000 w 12192000"/>
                        <a:gd name="connsiteY1" fmla="*/ 0 h 3692092"/>
                        <a:gd name="connsiteX2" fmla="*/ 12192000 w 12192000"/>
                        <a:gd name="connsiteY2" fmla="*/ 3504824 h 3692092"/>
                        <a:gd name="connsiteX3" fmla="*/ 12024691 w 12192000"/>
                        <a:gd name="connsiteY3" fmla="*/ 3517794 h 3692092"/>
                        <a:gd name="connsiteX4" fmla="*/ 160485 w 12192000"/>
                        <a:gd name="connsiteY4" fmla="*/ 3663863 h 3692092"/>
                        <a:gd name="connsiteX5" fmla="*/ 0 w 12192000"/>
                        <a:gd name="connsiteY5" fmla="*/ 3692092 h 36920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2192000" h="3692092">
                          <a:moveTo>
                            <a:pt x="0" y="0"/>
                          </a:moveTo>
                          <a:lnTo>
                            <a:pt x="12192000" y="0"/>
                          </a:lnTo>
                          <a:lnTo>
                            <a:pt x="12192000" y="3504824"/>
                          </a:lnTo>
                          <a:lnTo>
                            <a:pt x="12024691" y="3517794"/>
                          </a:lnTo>
                          <a:cubicBezTo>
                            <a:pt x="8077523" y="3783195"/>
                            <a:pt x="4094678" y="3026959"/>
                            <a:pt x="160485" y="3663863"/>
                          </a:cubicBezTo>
                          <a:lnTo>
                            <a:pt x="0" y="3692092"/>
                          </a:lnTo>
                          <a:close/>
                        </a:path>
                      </a:pathLst>
                    </a:custGeom>
                    <a:noFill/>
                    <a:extLst/>
                  </pic:spPr>
                </pic:pic>
              </a:graphicData>
            </a:graphic>
            <wp14:sizeRelH relativeFrom="margin">
              <wp14:pctWidth>0</wp14:pctWidth>
            </wp14:sizeRelH>
            <wp14:sizeRelV relativeFrom="margin">
              <wp14:pctHeight>0</wp14:pctHeight>
            </wp14:sizeRelV>
          </wp:anchor>
        </w:drawing>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92032" behindDoc="0" locked="0" layoutInCell="1" allowOverlap="1" wp14:anchorId="69879AC2" wp14:editId="526DCA30">
                <wp:simplePos x="0" y="0"/>
                <wp:positionH relativeFrom="column">
                  <wp:posOffset>2046577</wp:posOffset>
                </wp:positionH>
                <wp:positionV relativeFrom="paragraph">
                  <wp:posOffset>8498755</wp:posOffset>
                </wp:positionV>
                <wp:extent cx="4441209" cy="1190568"/>
                <wp:effectExtent l="0" t="0" r="16510" b="10160"/>
                <wp:wrapNone/>
                <wp:docPr id="26" name="Rectangle: Rounded Corners 25">
                  <a:extLst xmlns:a="http://schemas.openxmlformats.org/drawingml/2006/main">
                    <a:ext uri="{FF2B5EF4-FFF2-40B4-BE49-F238E27FC236}">
                      <a16:creationId xmlns:a16="http://schemas.microsoft.com/office/drawing/2014/main" id="{3B6F44A6-7A8C-4FC8-9ED0-D669EB1CEE27}"/>
                    </a:ext>
                  </a:extLst>
                </wp:docPr>
                <wp:cNvGraphicFramePr/>
                <a:graphic xmlns:a="http://schemas.openxmlformats.org/drawingml/2006/main">
                  <a:graphicData uri="http://schemas.microsoft.com/office/word/2010/wordprocessingShape">
                    <wps:wsp>
                      <wps:cNvSpPr/>
                      <wps:spPr>
                        <a:xfrm>
                          <a:off x="0" y="0"/>
                          <a:ext cx="4441209" cy="1190568"/>
                        </a:xfrm>
                        <a:prstGeom prst="roundRect">
                          <a:avLst/>
                        </a:prstGeom>
                        <a:solidFill>
                          <a:srgbClr val="FF0066"/>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FFFFFF" w:themeColor="light1"/>
                                <w:kern w:val="24"/>
                                <w:sz w:val="23"/>
                                <w:szCs w:val="23"/>
                              </w:rPr>
                              <w:t xml:space="preserve">The connection between social support and health outcomes have always been linked. Elderly people who are more social normally have better physical and mental health than elderly adults who are not social (Barrera, 1986; House, Landis &amp; </w:t>
                            </w:r>
                            <w:proofErr w:type="spellStart"/>
                            <w:r>
                              <w:rPr>
                                <w:rFonts w:hAnsi="Calibri"/>
                                <w:color w:val="FFFFFF" w:themeColor="light1"/>
                                <w:kern w:val="24"/>
                                <w:sz w:val="23"/>
                                <w:szCs w:val="23"/>
                              </w:rPr>
                              <w:t>Umberson</w:t>
                            </w:r>
                            <w:proofErr w:type="spellEnd"/>
                            <w:r>
                              <w:rPr>
                                <w:rFonts w:hAnsi="Calibri"/>
                                <w:color w:val="FFFFFF" w:themeColor="light1"/>
                                <w:kern w:val="24"/>
                                <w:sz w:val="23"/>
                                <w:szCs w:val="23"/>
                              </w:rPr>
                              <w:t xml:space="preserve">, 1988; Uchino, 2009).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9879AC2" id="Rectangle: Rounded Corners 25" o:spid="_x0000_s1031" style="position:absolute;margin-left:161.15pt;margin-top:669.2pt;width:349.7pt;height:9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" fillcolor="#f06" strokecolor="#1f3763 [1604]" strokeweight="1pt">
                <v:stroke joinstyle="miter"/>
                <v:textbox>
                  <w:txbxContent>
                    <w:p w:rsidR="008E47AE" w:rsidRDefault="008E47AE" w:rsidP="008E47AE">
                      <w:pPr>
                        <w:rPr>
                          <w:sz w:val="24"/>
                          <w:szCs w:val="24"/>
                        </w:rPr>
                      </w:pPr>
                      <w:r>
                        <w:rPr>
                          <w:rFonts w:hAnsi="Calibri"/>
                          <w:color w:val="FFFFFF" w:themeColor="light1"/>
                          <w:kern w:val="24"/>
                          <w:sz w:val="23"/>
                          <w:szCs w:val="23"/>
                        </w:rPr>
                        <w:t xml:space="preserve">The connection between social support and health outcomes have always been linked. Elderly people who are more social normally have better physical and mental health than elderly adults who are not social (Barrera, 1986; House, Landis &amp; </w:t>
                      </w:r>
                      <w:proofErr w:type="spellStart"/>
                      <w:r>
                        <w:rPr>
                          <w:rFonts w:hAnsi="Calibri"/>
                          <w:color w:val="FFFFFF" w:themeColor="light1"/>
                          <w:kern w:val="24"/>
                          <w:sz w:val="23"/>
                          <w:szCs w:val="23"/>
                        </w:rPr>
                        <w:t>Umberson</w:t>
                      </w:r>
                      <w:proofErr w:type="spellEnd"/>
                      <w:r>
                        <w:rPr>
                          <w:rFonts w:hAnsi="Calibri"/>
                          <w:color w:val="FFFFFF" w:themeColor="light1"/>
                          <w:kern w:val="24"/>
                          <w:sz w:val="23"/>
                          <w:szCs w:val="23"/>
                        </w:rPr>
                        <w:t xml:space="preserve">, 1988; Uchino, 2009). </w:t>
                      </w:r>
                    </w:p>
                  </w:txbxContent>
                </v:textbox>
              </v:roundrect>
            </w:pict>
          </mc:Fallback>
        </mc:AlternateContent>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89984" behindDoc="0" locked="0" layoutInCell="1" allowOverlap="1" wp14:anchorId="14329361" wp14:editId="0C4FACB5">
                <wp:simplePos x="0" y="0"/>
                <wp:positionH relativeFrom="column">
                  <wp:posOffset>-572837</wp:posOffset>
                </wp:positionH>
                <wp:positionV relativeFrom="paragraph">
                  <wp:posOffset>8747760</wp:posOffset>
                </wp:positionV>
                <wp:extent cx="2388359" cy="941127"/>
                <wp:effectExtent l="0" t="0" r="12065" b="11430"/>
                <wp:wrapNone/>
                <wp:docPr id="25" name="Rectangle: Rounded Corners 24">
                  <a:extLst xmlns:a="http://schemas.openxmlformats.org/drawingml/2006/main">
                    <a:ext uri="{FF2B5EF4-FFF2-40B4-BE49-F238E27FC236}">
                      <a16:creationId xmlns:a16="http://schemas.microsoft.com/office/drawing/2014/main" id="{0DA509AB-4D54-4DCD-B989-885CA1AE8356}"/>
                    </a:ext>
                  </a:extLst>
                </wp:docPr>
                <wp:cNvGraphicFramePr/>
                <a:graphic xmlns:a="http://schemas.openxmlformats.org/drawingml/2006/main">
                  <a:graphicData uri="http://schemas.microsoft.com/office/word/2010/wordprocessingShape">
                    <wps:wsp>
                      <wps:cNvSpPr/>
                      <wps:spPr>
                        <a:xfrm>
                          <a:off x="0" y="0"/>
                          <a:ext cx="2388359" cy="941127"/>
                        </a:xfrm>
                        <a:prstGeom prst="roundRect">
                          <a:avLst/>
                        </a:prstGeom>
                        <a:solidFill>
                          <a:srgbClr val="FFC0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sz w:val="21"/>
                                <w:szCs w:val="21"/>
                              </w:rPr>
                              <w:t>The findings of many studies suggest that social support has a positive effect on well-being (</w:t>
                            </w:r>
                            <w:proofErr w:type="spellStart"/>
                            <w:r>
                              <w:rPr>
                                <w:rFonts w:hAnsi="Calibri"/>
                                <w:color w:val="000000" w:themeColor="text1"/>
                                <w:kern w:val="24"/>
                                <w:sz w:val="21"/>
                                <w:szCs w:val="21"/>
                              </w:rPr>
                              <w:t>Wallston</w:t>
                            </w:r>
                            <w:proofErr w:type="spellEnd"/>
                            <w:r>
                              <w:rPr>
                                <w:rFonts w:hAnsi="Calibri"/>
                                <w:color w:val="000000" w:themeColor="text1"/>
                                <w:kern w:val="24"/>
                                <w:sz w:val="21"/>
                                <w:szCs w:val="21"/>
                              </w:rPr>
                              <w:t xml:space="preserve">, </w:t>
                            </w:r>
                            <w:proofErr w:type="spellStart"/>
                            <w:r>
                              <w:rPr>
                                <w:rFonts w:hAnsi="Calibri"/>
                                <w:color w:val="000000" w:themeColor="text1"/>
                                <w:kern w:val="24"/>
                                <w:sz w:val="21"/>
                                <w:szCs w:val="21"/>
                              </w:rPr>
                              <w:t>Alagna</w:t>
                            </w:r>
                            <w:proofErr w:type="spellEnd"/>
                            <w:r>
                              <w:rPr>
                                <w:rFonts w:hAnsi="Calibri"/>
                                <w:color w:val="000000" w:themeColor="text1"/>
                                <w:kern w:val="24"/>
                                <w:sz w:val="21"/>
                                <w:szCs w:val="21"/>
                              </w:rPr>
                              <w:t xml:space="preserve"> &amp; </w:t>
                            </w:r>
                            <w:proofErr w:type="spellStart"/>
                            <w:r>
                              <w:rPr>
                                <w:rFonts w:hAnsi="Calibri"/>
                                <w:color w:val="000000" w:themeColor="text1"/>
                                <w:kern w:val="24"/>
                                <w:sz w:val="21"/>
                                <w:szCs w:val="21"/>
                              </w:rPr>
                              <w:t>Devellis</w:t>
                            </w:r>
                            <w:proofErr w:type="spellEnd"/>
                            <w:r>
                              <w:rPr>
                                <w:rFonts w:hAnsi="Calibri"/>
                                <w:color w:val="000000" w:themeColor="text1"/>
                                <w:kern w:val="24"/>
                                <w:sz w:val="21"/>
                                <w:szCs w:val="21"/>
                              </w:rPr>
                              <w:t>, 1983)</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4329361" id="Rectangle: Rounded Corners 24" o:spid="_x0000_s1032" style="position:absolute;margin-left:-45.1pt;margin-top:688.8pt;width:188.05pt;height:74.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" fillcolor="#ffc000" strokecolor="#1f3763 [1604]" strokeweight="1pt">
                <v:stroke joinstyle="miter"/>
                <v:textbox>
                  <w:txbxContent>
                    <w:p w:rsidR="008E47AE" w:rsidRDefault="008E47AE" w:rsidP="008E47AE">
                      <w:pPr>
                        <w:rPr>
                          <w:sz w:val="24"/>
                          <w:szCs w:val="24"/>
                        </w:rPr>
                      </w:pPr>
                      <w:r>
                        <w:rPr>
                          <w:rFonts w:hAnsi="Calibri"/>
                          <w:color w:val="000000" w:themeColor="text1"/>
                          <w:kern w:val="24"/>
                          <w:sz w:val="21"/>
                          <w:szCs w:val="21"/>
                        </w:rPr>
                        <w:t>The findings of many studies suggest that social support has a positive effect on well-being (</w:t>
                      </w:r>
                      <w:proofErr w:type="spellStart"/>
                      <w:r>
                        <w:rPr>
                          <w:rFonts w:hAnsi="Calibri"/>
                          <w:color w:val="000000" w:themeColor="text1"/>
                          <w:kern w:val="24"/>
                          <w:sz w:val="21"/>
                          <w:szCs w:val="21"/>
                        </w:rPr>
                        <w:t>Wallston</w:t>
                      </w:r>
                      <w:proofErr w:type="spellEnd"/>
                      <w:r>
                        <w:rPr>
                          <w:rFonts w:hAnsi="Calibri"/>
                          <w:color w:val="000000" w:themeColor="text1"/>
                          <w:kern w:val="24"/>
                          <w:sz w:val="21"/>
                          <w:szCs w:val="21"/>
                        </w:rPr>
                        <w:t xml:space="preserve">, </w:t>
                      </w:r>
                      <w:proofErr w:type="spellStart"/>
                      <w:r>
                        <w:rPr>
                          <w:rFonts w:hAnsi="Calibri"/>
                          <w:color w:val="000000" w:themeColor="text1"/>
                          <w:kern w:val="24"/>
                          <w:sz w:val="21"/>
                          <w:szCs w:val="21"/>
                        </w:rPr>
                        <w:t>Alagna</w:t>
                      </w:r>
                      <w:proofErr w:type="spellEnd"/>
                      <w:r>
                        <w:rPr>
                          <w:rFonts w:hAnsi="Calibri"/>
                          <w:color w:val="000000" w:themeColor="text1"/>
                          <w:kern w:val="24"/>
                          <w:sz w:val="21"/>
                          <w:szCs w:val="21"/>
                        </w:rPr>
                        <w:t xml:space="preserve"> &amp; </w:t>
                      </w:r>
                      <w:proofErr w:type="spellStart"/>
                      <w:r>
                        <w:rPr>
                          <w:rFonts w:hAnsi="Calibri"/>
                          <w:color w:val="000000" w:themeColor="text1"/>
                          <w:kern w:val="24"/>
                          <w:sz w:val="21"/>
                          <w:szCs w:val="21"/>
                        </w:rPr>
                        <w:t>Devellis</w:t>
                      </w:r>
                      <w:proofErr w:type="spellEnd"/>
                      <w:r>
                        <w:rPr>
                          <w:rFonts w:hAnsi="Calibri"/>
                          <w:color w:val="000000" w:themeColor="text1"/>
                          <w:kern w:val="24"/>
                          <w:sz w:val="21"/>
                          <w:szCs w:val="21"/>
                        </w:rPr>
                        <w:t>, 1983)</w:t>
                      </w:r>
                    </w:p>
                  </w:txbxContent>
                </v:textbox>
              </v:roundrect>
            </w:pict>
          </mc:Fallback>
        </mc:AlternateContent>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87936" behindDoc="0" locked="0" layoutInCell="1" allowOverlap="1" wp14:anchorId="7601BB77" wp14:editId="0EA8A19D">
                <wp:simplePos x="0" y="0"/>
                <wp:positionH relativeFrom="column">
                  <wp:posOffset>2115403</wp:posOffset>
                </wp:positionH>
                <wp:positionV relativeFrom="paragraph">
                  <wp:posOffset>7014949</wp:posOffset>
                </wp:positionV>
                <wp:extent cx="4291084" cy="1384802"/>
                <wp:effectExtent l="0" t="0" r="14605" b="25400"/>
                <wp:wrapNone/>
                <wp:docPr id="21" name="Rectangle: Rounded Corners 20">
                  <a:extLst xmlns:a="http://schemas.openxmlformats.org/drawingml/2006/main">
                    <a:ext uri="{FF2B5EF4-FFF2-40B4-BE49-F238E27FC236}">
                      <a16:creationId xmlns:a16="http://schemas.microsoft.com/office/drawing/2014/main" id="{2AA8C732-C05D-4A7B-AEA7-E9836E8B7264}"/>
                    </a:ext>
                  </a:extLst>
                </wp:docPr>
                <wp:cNvGraphicFramePr/>
                <a:graphic xmlns:a="http://schemas.openxmlformats.org/drawingml/2006/main">
                  <a:graphicData uri="http://schemas.microsoft.com/office/word/2010/wordprocessingShape">
                    <wps:wsp>
                      <wps:cNvSpPr/>
                      <wps:spPr>
                        <a:xfrm>
                          <a:off x="0" y="0"/>
                          <a:ext cx="4291084" cy="1384802"/>
                        </a:xfrm>
                        <a:prstGeom prst="roundRect">
                          <a:avLst/>
                        </a:prstGeom>
                        <a:solidFill>
                          <a:srgbClr val="00B0F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lang w:val="en-US"/>
                              </w:rPr>
                              <w:t xml:space="preserve">During a period of crisis, an elderly person who is experiencing bereavement may require social support which may be in the form of material support for example, money or food. Or they may require emotional support (e.g. personal advice, religious advice, time to </w:t>
                            </w:r>
                            <w:proofErr w:type="spellStart"/>
                            <w:r>
                              <w:rPr>
                                <w:rFonts w:hAnsi="Calibri"/>
                                <w:color w:val="000000" w:themeColor="text1"/>
                                <w:kern w:val="24"/>
                                <w:lang w:val="en-US"/>
                              </w:rPr>
                              <w:t>socialise</w:t>
                            </w:r>
                            <w:proofErr w:type="spellEnd"/>
                            <w:r>
                              <w:rPr>
                                <w:rFonts w:hAnsi="Calibri"/>
                                <w:color w:val="000000" w:themeColor="text1"/>
                                <w:kern w:val="24"/>
                                <w:lang w:val="en-US"/>
                              </w:rPr>
                              <w:t xml:space="preserve"> </w:t>
                            </w:r>
                            <w:proofErr w:type="spellStart"/>
                            <w:r>
                              <w:rPr>
                                <w:rFonts w:hAnsi="Calibri"/>
                                <w:color w:val="000000" w:themeColor="text1"/>
                                <w:kern w:val="24"/>
                                <w:lang w:val="en-US"/>
                              </w:rPr>
                              <w:t>etc</w:t>
                            </w:r>
                            <w:proofErr w:type="spellEnd"/>
                            <w:r>
                              <w:rPr>
                                <w:rFonts w:hAnsi="Calibri"/>
                                <w:color w:val="000000" w:themeColor="text1"/>
                                <w:kern w:val="24"/>
                                <w:lang w:val="en-US"/>
                              </w:rPr>
                              <w:t xml:space="preserve">). these types of emotional support can be provided by companions, family, colleagues, </w:t>
                            </w:r>
                            <w:proofErr w:type="spellStart"/>
                            <w:r>
                              <w:rPr>
                                <w:rFonts w:hAnsi="Calibri"/>
                                <w:color w:val="000000" w:themeColor="text1"/>
                                <w:kern w:val="24"/>
                                <w:lang w:val="en-US"/>
                              </w:rPr>
                              <w:t>neighbours</w:t>
                            </w:r>
                            <w:proofErr w:type="spellEnd"/>
                            <w:r>
                              <w:rPr>
                                <w:rFonts w:hAnsi="Calibri"/>
                                <w:color w:val="000000" w:themeColor="text1"/>
                                <w:kern w:val="24"/>
                                <w:lang w:val="en-US"/>
                              </w:rPr>
                              <w:t>, etc.</w:t>
                            </w:r>
                          </w:p>
                        </w:txbxContent>
                      </wps:txbx>
                      <wps:bodyPr wrap="square" rtlCol="0" anchor="ctr"/>
                    </wps:wsp>
                  </a:graphicData>
                </a:graphic>
                <wp14:sizeRelH relativeFrom="margin">
                  <wp14:pctWidth>0</wp14:pctWidth>
                </wp14:sizeRelH>
              </wp:anchor>
            </w:drawing>
          </mc:Choice>
          <mc:Fallback>
            <w:pict>
              <v:roundrect w14:anchorId="7601BB77" id="Rectangle: Rounded Corners 20" o:spid="_x0000_s1033" style="position:absolute;margin-left:166.55pt;margin-top:552.35pt;width:337.9pt;height:109.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" fillcolor="#00b0f0" strokecolor="#1f3763 [1604]" strokeweight="1pt">
                <v:stroke joinstyle="miter"/>
                <v:textbox>
                  <w:txbxContent>
                    <w:p w:rsidR="008E47AE" w:rsidRDefault="008E47AE" w:rsidP="008E47AE">
                      <w:pPr>
                        <w:rPr>
                          <w:sz w:val="24"/>
                          <w:szCs w:val="24"/>
                        </w:rPr>
                      </w:pPr>
                      <w:r>
                        <w:rPr>
                          <w:rFonts w:hAnsi="Calibri"/>
                          <w:color w:val="000000" w:themeColor="text1"/>
                          <w:kern w:val="24"/>
                          <w:lang w:val="en-US"/>
                        </w:rPr>
                        <w:t xml:space="preserve">During a period of crisis, an elderly person who is experiencing bereavement may require social support which may be in the form of material support for example, money or food. Or they may require emotional support (e.g. personal advice, religious advice, time to </w:t>
                      </w:r>
                      <w:proofErr w:type="spellStart"/>
                      <w:r>
                        <w:rPr>
                          <w:rFonts w:hAnsi="Calibri"/>
                          <w:color w:val="000000" w:themeColor="text1"/>
                          <w:kern w:val="24"/>
                          <w:lang w:val="en-US"/>
                        </w:rPr>
                        <w:t>socialise</w:t>
                      </w:r>
                      <w:proofErr w:type="spellEnd"/>
                      <w:r>
                        <w:rPr>
                          <w:rFonts w:hAnsi="Calibri"/>
                          <w:color w:val="000000" w:themeColor="text1"/>
                          <w:kern w:val="24"/>
                          <w:lang w:val="en-US"/>
                        </w:rPr>
                        <w:t xml:space="preserve"> </w:t>
                      </w:r>
                      <w:proofErr w:type="spellStart"/>
                      <w:r>
                        <w:rPr>
                          <w:rFonts w:hAnsi="Calibri"/>
                          <w:color w:val="000000" w:themeColor="text1"/>
                          <w:kern w:val="24"/>
                          <w:lang w:val="en-US"/>
                        </w:rPr>
                        <w:t>etc</w:t>
                      </w:r>
                      <w:proofErr w:type="spellEnd"/>
                      <w:r>
                        <w:rPr>
                          <w:rFonts w:hAnsi="Calibri"/>
                          <w:color w:val="000000" w:themeColor="text1"/>
                          <w:kern w:val="24"/>
                          <w:lang w:val="en-US"/>
                        </w:rPr>
                        <w:t xml:space="preserve">). these types of emotional support can be provided by companions, family, colleagues, </w:t>
                      </w:r>
                      <w:proofErr w:type="spellStart"/>
                      <w:r>
                        <w:rPr>
                          <w:rFonts w:hAnsi="Calibri"/>
                          <w:color w:val="000000" w:themeColor="text1"/>
                          <w:kern w:val="24"/>
                          <w:lang w:val="en-US"/>
                        </w:rPr>
                        <w:t>neighbours</w:t>
                      </w:r>
                      <w:proofErr w:type="spellEnd"/>
                      <w:r>
                        <w:rPr>
                          <w:rFonts w:hAnsi="Calibri"/>
                          <w:color w:val="000000" w:themeColor="text1"/>
                          <w:kern w:val="24"/>
                          <w:lang w:val="en-US"/>
                        </w:rPr>
                        <w:t>, etc.</w:t>
                      </w:r>
                    </w:p>
                  </w:txbxContent>
                </v:textbox>
              </v:roundrect>
            </w:pict>
          </mc:Fallback>
        </mc:AlternateContent>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85888" behindDoc="0" locked="0" layoutInCell="1" allowOverlap="1" wp14:anchorId="4B8B197D" wp14:editId="0DABC5FE">
                <wp:simplePos x="0" y="0"/>
                <wp:positionH relativeFrom="column">
                  <wp:posOffset>-762000</wp:posOffset>
                </wp:positionH>
                <wp:positionV relativeFrom="paragraph">
                  <wp:posOffset>7010400</wp:posOffset>
                </wp:positionV>
                <wp:extent cx="2727098" cy="1650061"/>
                <wp:effectExtent l="0" t="0" r="16510" b="26670"/>
                <wp:wrapNone/>
                <wp:docPr id="23" name="Rectangle: Rounded Corners 22">
                  <a:extLst xmlns:a="http://schemas.openxmlformats.org/drawingml/2006/main">
                    <a:ext uri="{FF2B5EF4-FFF2-40B4-BE49-F238E27FC236}">
                      <a16:creationId xmlns:a16="http://schemas.microsoft.com/office/drawing/2014/main" id="{584E5692-59E7-435F-BBF1-E9CD58F2ADB7}"/>
                    </a:ext>
                  </a:extLst>
                </wp:docPr>
                <wp:cNvGraphicFramePr/>
                <a:graphic xmlns:a="http://schemas.openxmlformats.org/drawingml/2006/main">
                  <a:graphicData uri="http://schemas.microsoft.com/office/word/2010/wordprocessingShape">
                    <wps:wsp>
                      <wps:cNvSpPr/>
                      <wps:spPr>
                        <a:xfrm>
                          <a:off x="0" y="0"/>
                          <a:ext cx="2727098" cy="1650061"/>
                        </a:xfrm>
                        <a:prstGeom prst="roundRect">
                          <a:avLst/>
                        </a:prstGeom>
                        <a:solidFill>
                          <a:srgbClr val="7030A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Pr="008E47AE" w:rsidRDefault="008E47AE" w:rsidP="008E47AE">
                            <w:pPr>
                              <w:rPr>
                                <w:color w:val="FFFFFF" w:themeColor="background1"/>
                                <w:sz w:val="24"/>
                                <w:szCs w:val="24"/>
                              </w:rPr>
                            </w:pPr>
                            <w:r w:rsidRPr="008E47AE">
                              <w:rPr>
                                <w:rFonts w:hAnsi="Calibri"/>
                                <w:color w:val="FFFFFF" w:themeColor="background1"/>
                                <w:kern w:val="24"/>
                                <w:sz w:val="17"/>
                                <w:szCs w:val="17"/>
                                <w:lang w:val="en-US"/>
                              </w:rPr>
                              <w:t xml:space="preserve">A study by Raphael (1997) discovered that widows who were at high-risk of bereavement who had undergone counselling had reported better health and adjustment a year after their grief than those widows who did not undergo counselling. An additional study by </w:t>
                            </w:r>
                            <w:proofErr w:type="spellStart"/>
                            <w:r w:rsidRPr="008E47AE">
                              <w:rPr>
                                <w:rFonts w:hAnsi="Calibri"/>
                                <w:color w:val="FFFFFF" w:themeColor="background1"/>
                                <w:kern w:val="24"/>
                                <w:sz w:val="17"/>
                                <w:szCs w:val="17"/>
                                <w:lang w:val="en-US"/>
                              </w:rPr>
                              <w:t>DeVerber</w:t>
                            </w:r>
                            <w:proofErr w:type="spellEnd"/>
                            <w:r w:rsidRPr="008E47AE">
                              <w:rPr>
                                <w:rFonts w:hAnsi="Calibri"/>
                                <w:color w:val="FFFFFF" w:themeColor="background1"/>
                                <w:kern w:val="24"/>
                                <w:sz w:val="17"/>
                                <w:szCs w:val="17"/>
                                <w:lang w:val="en-US"/>
                              </w:rPr>
                              <w:t xml:space="preserve"> (1996) also discovered similar findings as Raphael (1997) in that the presence of a therapist rapidly decreased the suffering displayed by widows in their primary year of bereavement. </w:t>
                            </w:r>
                          </w:p>
                        </w:txbxContent>
                      </wps:txbx>
                      <wps:bodyPr rtlCol="0" anchor="ctr"/>
                    </wps:wsp>
                  </a:graphicData>
                </a:graphic>
              </wp:anchor>
            </w:drawing>
          </mc:Choice>
          <mc:Fallback>
            <w:pict>
              <v:roundrect w14:anchorId="4B8B197D" id="Rectangle: Rounded Corners 22" o:spid="_x0000_s1034" style="position:absolute;margin-left:-60pt;margin-top:552pt;width:214.75pt;height:129.9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" fillcolor="#7030a0" strokecolor="#1f3763 [1604]" strokeweight="1pt">
                <v:stroke joinstyle="miter"/>
                <v:textbox>
                  <w:txbxContent>
                    <w:p w:rsidR="008E47AE" w:rsidRPr="008E47AE" w:rsidRDefault="008E47AE" w:rsidP="008E47AE">
                      <w:pPr>
                        <w:rPr>
                          <w:color w:val="FFFFFF" w:themeColor="background1"/>
                          <w:sz w:val="24"/>
                          <w:szCs w:val="24"/>
                        </w:rPr>
                      </w:pPr>
                      <w:r w:rsidRPr="008E47AE">
                        <w:rPr>
                          <w:rFonts w:hAnsi="Calibri"/>
                          <w:color w:val="FFFFFF" w:themeColor="background1"/>
                          <w:kern w:val="24"/>
                          <w:sz w:val="17"/>
                          <w:szCs w:val="17"/>
                          <w:lang w:val="en-US"/>
                        </w:rPr>
                        <w:t xml:space="preserve">A study by Raphael (1997) discovered that widows who were at high-risk of bereavement who had undergone counselling had reported better health and adjustment a year after their grief than those widows who did not undergo counselling. An additional study by </w:t>
                      </w:r>
                      <w:proofErr w:type="spellStart"/>
                      <w:r w:rsidRPr="008E47AE">
                        <w:rPr>
                          <w:rFonts w:hAnsi="Calibri"/>
                          <w:color w:val="FFFFFF" w:themeColor="background1"/>
                          <w:kern w:val="24"/>
                          <w:sz w:val="17"/>
                          <w:szCs w:val="17"/>
                          <w:lang w:val="en-US"/>
                        </w:rPr>
                        <w:t>DeVerber</w:t>
                      </w:r>
                      <w:proofErr w:type="spellEnd"/>
                      <w:r w:rsidRPr="008E47AE">
                        <w:rPr>
                          <w:rFonts w:hAnsi="Calibri"/>
                          <w:color w:val="FFFFFF" w:themeColor="background1"/>
                          <w:kern w:val="24"/>
                          <w:sz w:val="17"/>
                          <w:szCs w:val="17"/>
                          <w:lang w:val="en-US"/>
                        </w:rPr>
                        <w:t xml:space="preserve"> (1996) also discovered similar findings as Raphael (1997) in that the presence of a therapist rapidly decreased the suffering displayed by widows in their primary year of bereavement. </w:t>
                      </w:r>
                    </w:p>
                  </w:txbxContent>
                </v:textbox>
              </v:roundrect>
            </w:pict>
          </mc:Fallback>
        </mc:AlternateContent>
      </w:r>
      <w:r w:rsidR="008E47AE" w:rsidRPr="00827D98">
        <w:rPr>
          <w:rFonts w:ascii="Arial Rounded MT Bold" w:hAnsi="Arial Rounded MT Bold" w:cstheme="minorHAnsi"/>
          <w:noProof/>
          <w:sz w:val="20"/>
          <w:szCs w:val="18"/>
        </w:rPr>
        <mc:AlternateContent>
          <mc:Choice Requires="wps">
            <w:drawing>
              <wp:anchor distT="0" distB="0" distL="114300" distR="114300" simplePos="0" relativeHeight="251675648" behindDoc="0" locked="0" layoutInCell="1" allowOverlap="1" wp14:anchorId="1150F1B3" wp14:editId="69550BB5">
                <wp:simplePos x="0" y="0"/>
                <wp:positionH relativeFrom="column">
                  <wp:posOffset>-666750</wp:posOffset>
                </wp:positionH>
                <wp:positionV relativeFrom="paragraph">
                  <wp:posOffset>-666750</wp:posOffset>
                </wp:positionV>
                <wp:extent cx="6972300" cy="1619250"/>
                <wp:effectExtent l="0" t="0" r="0" b="0"/>
                <wp:wrapNone/>
                <wp:docPr id="3"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72300" cy="1619250"/>
                        </a:xfrm>
                        <a:prstGeom prst="rect">
                          <a:avLst/>
                        </a:prstGeom>
                      </wps:spPr>
                      <wps:txbx>
                        <w:txbxContent>
                          <w:p w:rsidR="00827D98" w:rsidRPr="00560186" w:rsidRDefault="00827D98" w:rsidP="00827D98">
                            <w:pPr>
                              <w:spacing w:line="216" w:lineRule="auto"/>
                              <w:jc w:val="center"/>
                              <w:rPr>
                                <w:color w:val="00B0F0"/>
                                <w:sz w:val="20"/>
                                <w:szCs w:val="24"/>
                                <w14:textOutline w14:w="9525" w14:cap="rnd" w14:cmpd="sng" w14:algn="ctr">
                                  <w14:solidFill>
                                    <w14:srgbClr w14:val="000000"/>
                                  </w14:solidFill>
                                  <w14:prstDash w14:val="solid"/>
                                  <w14:bevel/>
                                </w14:textOutline>
                              </w:rPr>
                            </w:pPr>
                            <w:r w:rsidRPr="00560186">
                              <w:rPr>
                                <w:rFonts w:asciiTheme="majorHAnsi" w:eastAsiaTheme="majorEastAsia" w:hAnsi="Calibri Light" w:cstheme="majorBidi"/>
                                <w:b/>
                                <w:bCs/>
                                <w:color w:val="00B0F0"/>
                                <w:kern w:val="24"/>
                                <w:sz w:val="96"/>
                                <w:szCs w:val="160"/>
                                <w:lang w:val="en-US"/>
                                <w14:shadow w14:blurRad="0" w14:dist="38100" w14:dir="2700000" w14:sx="100000" w14:sy="100000" w14:kx="0" w14:ky="0" w14:algn="bl">
                                  <w14:schemeClr w14:val="accent5"/>
                                </w14:shadow>
                                <w14:textOutline w14:w="13462" w14:cap="flat" w14:cmpd="sng" w14:algn="ctr">
                                  <w14:solidFill>
                                    <w14:srgbClr w14:val="000000"/>
                                  </w14:solidFill>
                                  <w14:prstDash w14:val="solid"/>
                                  <w14:round/>
                                </w14:textOutline>
                              </w:rPr>
                              <w:t>Strategies to help cope with elderly bereavement</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1150F1B3" id="Title 1" o:spid="_x0000_s1035" style="position:absolute;margin-left:-52.5pt;margin-top:-52.5pt;width:549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" filled="f" stroked="f">
                <o:lock v:ext="edit" grouping="t"/>
                <v:textbox>
                  <w:txbxContent>
                    <w:p w:rsidR="00827D98" w:rsidRPr="00560186" w:rsidRDefault="00827D98" w:rsidP="00827D98">
                      <w:pPr>
                        <w:spacing w:line="216" w:lineRule="auto"/>
                        <w:jc w:val="center"/>
                        <w:rPr>
                          <w:color w:val="00B0F0"/>
                          <w:sz w:val="20"/>
                          <w:szCs w:val="24"/>
                          <w14:textOutline w14:w="9525" w14:cap="rnd" w14:cmpd="sng" w14:algn="ctr">
                            <w14:solidFill>
                              <w14:srgbClr w14:val="000000"/>
                            </w14:solidFill>
                            <w14:prstDash w14:val="solid"/>
                            <w14:bevel/>
                          </w14:textOutline>
                        </w:rPr>
                      </w:pPr>
                      <w:r w:rsidRPr="00560186">
                        <w:rPr>
                          <w:rFonts w:asciiTheme="majorHAnsi" w:eastAsiaTheme="majorEastAsia" w:hAnsi="Calibri Light" w:cstheme="majorBidi"/>
                          <w:b/>
                          <w:bCs/>
                          <w:color w:val="00B0F0"/>
                          <w:kern w:val="24"/>
                          <w:sz w:val="96"/>
                          <w:szCs w:val="160"/>
                          <w:lang w:val="en-US"/>
                          <w14:shadow w14:blurRad="0" w14:dist="38100" w14:dir="2700000" w14:sx="100000" w14:sy="100000" w14:kx="0" w14:ky="0" w14:algn="bl">
                            <w14:schemeClr w14:val="accent5"/>
                          </w14:shadow>
                          <w14:textOutline w14:w="13462" w14:cap="flat" w14:cmpd="sng" w14:algn="ctr">
                            <w14:solidFill>
                              <w14:srgbClr w14:val="000000"/>
                            </w14:solidFill>
                            <w14:prstDash w14:val="solid"/>
                            <w14:round/>
                          </w14:textOutline>
                        </w:rPr>
                        <w:t>Strategies to help cope with elderly bereavement</w:t>
                      </w:r>
                    </w:p>
                  </w:txbxContent>
                </v:textbox>
              </v:rect>
            </w:pict>
          </mc:Fallback>
        </mc:AlternateContent>
      </w:r>
      <w:r w:rsidR="008E47AE" w:rsidRPr="008E47AE">
        <w:rPr>
          <w:rFonts w:ascii="Arial Rounded MT Bold" w:hAnsi="Arial Rounded MT Bold" w:cstheme="minorHAnsi"/>
          <w:noProof/>
          <w:sz w:val="20"/>
          <w:szCs w:val="18"/>
        </w:rPr>
        <w:drawing>
          <wp:anchor distT="0" distB="0" distL="114300" distR="114300" simplePos="0" relativeHeight="251683840" behindDoc="1" locked="0" layoutInCell="1" allowOverlap="1" wp14:anchorId="32F69EF0">
            <wp:simplePos x="0" y="0"/>
            <wp:positionH relativeFrom="column">
              <wp:posOffset>3733800</wp:posOffset>
            </wp:positionH>
            <wp:positionV relativeFrom="paragraph">
              <wp:posOffset>4990465</wp:posOffset>
            </wp:positionV>
            <wp:extent cx="2667000" cy="1873885"/>
            <wp:effectExtent l="0" t="0" r="0" b="0"/>
            <wp:wrapTight wrapText="bothSides">
              <wp:wrapPolygon edited="0">
                <wp:start x="617" y="0"/>
                <wp:lineTo x="0" y="439"/>
                <wp:lineTo x="0" y="20202"/>
                <wp:lineTo x="154" y="21080"/>
                <wp:lineTo x="617" y="21300"/>
                <wp:lineTo x="20829" y="21300"/>
                <wp:lineTo x="21291" y="21080"/>
                <wp:lineTo x="21446" y="20202"/>
                <wp:lineTo x="21446" y="439"/>
                <wp:lineTo x="20829" y="0"/>
                <wp:lineTo x="617" y="0"/>
              </wp:wrapPolygon>
            </wp:wrapTight>
            <wp:docPr id="1040" name="Picture 16" descr="Image result for bereavement elderly">
              <a:extLst xmlns:a="http://schemas.openxmlformats.org/drawingml/2006/main">
                <a:ext uri="{FF2B5EF4-FFF2-40B4-BE49-F238E27FC236}">
                  <a16:creationId xmlns:a16="http://schemas.microsoft.com/office/drawing/2014/main" id="{EC33AF3F-CAA6-4DBD-B3AB-CF9FB5A267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descr="Image result for bereavement elderly">
                      <a:extLst>
                        <a:ext uri="{FF2B5EF4-FFF2-40B4-BE49-F238E27FC236}">
                          <a16:creationId xmlns:a16="http://schemas.microsoft.com/office/drawing/2014/main" id="{EC33AF3F-CAA6-4DBD-B3AB-CF9FB5A26709}"/>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87388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82816" behindDoc="0" locked="0" layoutInCell="1" allowOverlap="1" wp14:anchorId="647D7435" wp14:editId="5D31373B">
                <wp:simplePos x="0" y="0"/>
                <wp:positionH relativeFrom="column">
                  <wp:posOffset>-762000</wp:posOffset>
                </wp:positionH>
                <wp:positionV relativeFrom="paragraph">
                  <wp:posOffset>4876800</wp:posOffset>
                </wp:positionV>
                <wp:extent cx="4358728" cy="2000250"/>
                <wp:effectExtent l="0" t="0" r="22860" b="19050"/>
                <wp:wrapNone/>
                <wp:docPr id="18" name="Rectangle: Rounded Corners 17">
                  <a:extLst xmlns:a="http://schemas.openxmlformats.org/drawingml/2006/main">
                    <a:ext uri="{FF2B5EF4-FFF2-40B4-BE49-F238E27FC236}">
                      <a16:creationId xmlns:a16="http://schemas.microsoft.com/office/drawing/2014/main" id="{FEC0CA8F-4090-451D-ADA1-97F4798694D6}"/>
                    </a:ext>
                  </a:extLst>
                </wp:docPr>
                <wp:cNvGraphicFramePr/>
                <a:graphic xmlns:a="http://schemas.openxmlformats.org/drawingml/2006/main">
                  <a:graphicData uri="http://schemas.microsoft.com/office/word/2010/wordprocessingShape">
                    <wps:wsp>
                      <wps:cNvSpPr/>
                      <wps:spPr>
                        <a:xfrm>
                          <a:off x="0" y="0"/>
                          <a:ext cx="4358728" cy="2000250"/>
                        </a:xfrm>
                        <a:prstGeom prst="roundRect">
                          <a:avLst/>
                        </a:prstGeom>
                        <a:solidFill>
                          <a:srgbClr val="FF00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Pr="008E47AE" w:rsidRDefault="008E47AE" w:rsidP="008E47AE">
                            <w:pPr>
                              <w:rPr>
                                <w:color w:val="000000" w:themeColor="text1"/>
                                <w:sz w:val="24"/>
                                <w:szCs w:val="24"/>
                              </w:rPr>
                            </w:pPr>
                            <w:r w:rsidRPr="008E47AE">
                              <w:rPr>
                                <w:rFonts w:hAnsi="Calibri"/>
                                <w:color w:val="000000" w:themeColor="text1"/>
                                <w:kern w:val="24"/>
                                <w:sz w:val="21"/>
                                <w:szCs w:val="21"/>
                                <w:lang w:val="en-US"/>
                              </w:rPr>
                              <w:t xml:space="preserve">In addition to these types of support, elderly adults experiencing bereavement require further support to help recuperate from crisis of bereavement. According to </w:t>
                            </w:r>
                            <w:proofErr w:type="spellStart"/>
                            <w:r w:rsidRPr="008E47AE">
                              <w:rPr>
                                <w:rFonts w:hAnsi="Calibri"/>
                                <w:color w:val="000000" w:themeColor="text1"/>
                                <w:kern w:val="24"/>
                                <w:sz w:val="21"/>
                                <w:szCs w:val="21"/>
                                <w:lang w:val="en-US"/>
                              </w:rPr>
                              <w:t>Hobfoll</w:t>
                            </w:r>
                            <w:proofErr w:type="spellEnd"/>
                            <w:r w:rsidRPr="008E47AE">
                              <w:rPr>
                                <w:rFonts w:hAnsi="Calibri"/>
                                <w:color w:val="000000" w:themeColor="text1"/>
                                <w:kern w:val="24"/>
                                <w:sz w:val="21"/>
                                <w:szCs w:val="21"/>
                                <w:lang w:val="en-US"/>
                              </w:rPr>
                              <w:t xml:space="preserve"> et al., (1990), elderly people experiencing bereavement need to be provided with social support which has been described as an apparatus that decreases the sternness of stress by offering a chance for explanation through sources provided by others of the traumatic occasion therefore permitting the person a means of regulating or recuperating from a tough situation (</w:t>
                            </w:r>
                            <w:proofErr w:type="spellStart"/>
                            <w:r w:rsidRPr="008E47AE">
                              <w:rPr>
                                <w:rFonts w:hAnsi="Calibri"/>
                                <w:color w:val="000000" w:themeColor="text1"/>
                                <w:kern w:val="24"/>
                                <w:sz w:val="21"/>
                                <w:szCs w:val="21"/>
                                <w:lang w:val="en-US"/>
                              </w:rPr>
                              <w:t>Mutran</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Reitzes</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Mossey</w:t>
                            </w:r>
                            <w:proofErr w:type="spellEnd"/>
                            <w:r w:rsidRPr="008E47AE">
                              <w:rPr>
                                <w:rFonts w:hAnsi="Calibri"/>
                                <w:color w:val="000000" w:themeColor="text1"/>
                                <w:kern w:val="24"/>
                                <w:sz w:val="21"/>
                                <w:szCs w:val="21"/>
                                <w:lang w:val="en-US"/>
                              </w:rPr>
                              <w:t>, &amp; Fernandez, 1995).</w:t>
                            </w:r>
                          </w:p>
                        </w:txbxContent>
                      </wps:txbx>
                      <wps:bodyPr rtlCol="0" anchor="ctr">
                        <a:noAutofit/>
                      </wps:bodyPr>
                    </wps:wsp>
                  </a:graphicData>
                </a:graphic>
                <wp14:sizeRelV relativeFrom="margin">
                  <wp14:pctHeight>0</wp14:pctHeight>
                </wp14:sizeRelV>
              </wp:anchor>
            </w:drawing>
          </mc:Choice>
          <mc:Fallback>
            <w:pict>
              <v:roundrect w14:anchorId="647D7435" id="Rectangle: Rounded Corners 17" o:spid="_x0000_s1036" style="position:absolute;margin-left:-60pt;margin-top:384pt;width:343.2pt;height:15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" fillcolor="red" strokecolor="#1f3763 [1604]" strokeweight="1pt">
                <v:stroke joinstyle="miter"/>
                <v:textbox>
                  <w:txbxContent>
                    <w:p w:rsidR="008E47AE" w:rsidRPr="008E47AE" w:rsidRDefault="008E47AE" w:rsidP="008E47AE">
                      <w:pPr>
                        <w:rPr>
                          <w:color w:val="000000" w:themeColor="text1"/>
                          <w:sz w:val="24"/>
                          <w:szCs w:val="24"/>
                        </w:rPr>
                      </w:pPr>
                      <w:r w:rsidRPr="008E47AE">
                        <w:rPr>
                          <w:rFonts w:hAnsi="Calibri"/>
                          <w:color w:val="000000" w:themeColor="text1"/>
                          <w:kern w:val="24"/>
                          <w:sz w:val="21"/>
                          <w:szCs w:val="21"/>
                          <w:lang w:val="en-US"/>
                        </w:rPr>
                        <w:t xml:space="preserve">In addition to these types of support, elderly adults experiencing bereavement require further support to help recuperate from crisis of bereavement. According to </w:t>
                      </w:r>
                      <w:proofErr w:type="spellStart"/>
                      <w:r w:rsidRPr="008E47AE">
                        <w:rPr>
                          <w:rFonts w:hAnsi="Calibri"/>
                          <w:color w:val="000000" w:themeColor="text1"/>
                          <w:kern w:val="24"/>
                          <w:sz w:val="21"/>
                          <w:szCs w:val="21"/>
                          <w:lang w:val="en-US"/>
                        </w:rPr>
                        <w:t>Hobfoll</w:t>
                      </w:r>
                      <w:proofErr w:type="spellEnd"/>
                      <w:r w:rsidRPr="008E47AE">
                        <w:rPr>
                          <w:rFonts w:hAnsi="Calibri"/>
                          <w:color w:val="000000" w:themeColor="text1"/>
                          <w:kern w:val="24"/>
                          <w:sz w:val="21"/>
                          <w:szCs w:val="21"/>
                          <w:lang w:val="en-US"/>
                        </w:rPr>
                        <w:t xml:space="preserve"> et al., (1990), elderly people experiencing bereavement need to be provided with social support which has been described as an apparatus that decreases the sternness of stress by offering a chance for explanation through sources provided by others of the traumatic occasion therefore permitting the person a means of regulating or recuperating from a tough situation (</w:t>
                      </w:r>
                      <w:proofErr w:type="spellStart"/>
                      <w:r w:rsidRPr="008E47AE">
                        <w:rPr>
                          <w:rFonts w:hAnsi="Calibri"/>
                          <w:color w:val="000000" w:themeColor="text1"/>
                          <w:kern w:val="24"/>
                          <w:sz w:val="21"/>
                          <w:szCs w:val="21"/>
                          <w:lang w:val="en-US"/>
                        </w:rPr>
                        <w:t>Mutran</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Reitzes</w:t>
                      </w:r>
                      <w:proofErr w:type="spellEnd"/>
                      <w:r w:rsidRPr="008E47AE">
                        <w:rPr>
                          <w:rFonts w:hAnsi="Calibri"/>
                          <w:color w:val="000000" w:themeColor="text1"/>
                          <w:kern w:val="24"/>
                          <w:sz w:val="21"/>
                          <w:szCs w:val="21"/>
                          <w:lang w:val="en-US"/>
                        </w:rPr>
                        <w:t xml:space="preserve">, </w:t>
                      </w:r>
                      <w:proofErr w:type="spellStart"/>
                      <w:r w:rsidRPr="008E47AE">
                        <w:rPr>
                          <w:rFonts w:hAnsi="Calibri"/>
                          <w:color w:val="000000" w:themeColor="text1"/>
                          <w:kern w:val="24"/>
                          <w:sz w:val="21"/>
                          <w:szCs w:val="21"/>
                          <w:lang w:val="en-US"/>
                        </w:rPr>
                        <w:t>Mossey</w:t>
                      </w:r>
                      <w:proofErr w:type="spellEnd"/>
                      <w:r w:rsidRPr="008E47AE">
                        <w:rPr>
                          <w:rFonts w:hAnsi="Calibri"/>
                          <w:color w:val="000000" w:themeColor="text1"/>
                          <w:kern w:val="24"/>
                          <w:sz w:val="21"/>
                          <w:szCs w:val="21"/>
                          <w:lang w:val="en-US"/>
                        </w:rPr>
                        <w:t>, &amp; Fernandez, 1995).</w:t>
                      </w:r>
                    </w:p>
                  </w:txbxContent>
                </v:textbox>
              </v:roundrect>
            </w:pict>
          </mc:Fallback>
        </mc:AlternateContent>
      </w:r>
      <w:r w:rsidR="008E47AE" w:rsidRPr="008E47AE">
        <w:rPr>
          <w:rFonts w:ascii="Arial Rounded MT Bold" w:hAnsi="Arial Rounded MT Bold" w:cstheme="minorHAnsi"/>
          <w:noProof/>
          <w:sz w:val="20"/>
          <w:szCs w:val="18"/>
        </w:rPr>
        <mc:AlternateContent>
          <mc:Choice Requires="wps">
            <w:drawing>
              <wp:anchor distT="0" distB="0" distL="114300" distR="114300" simplePos="0" relativeHeight="251680768" behindDoc="0" locked="0" layoutInCell="1" allowOverlap="1" wp14:anchorId="30DB06E2" wp14:editId="77895C71">
                <wp:simplePos x="0" y="0"/>
                <wp:positionH relativeFrom="column">
                  <wp:posOffset>1390650</wp:posOffset>
                </wp:positionH>
                <wp:positionV relativeFrom="paragraph">
                  <wp:posOffset>3238500</wp:posOffset>
                </wp:positionV>
                <wp:extent cx="5010150" cy="1471253"/>
                <wp:effectExtent l="0" t="0" r="19050" b="15240"/>
                <wp:wrapNone/>
                <wp:docPr id="17" name="Rectangle: Rounded Corners 16">
                  <a:extLst xmlns:a="http://schemas.openxmlformats.org/drawingml/2006/main">
                    <a:ext uri="{FF2B5EF4-FFF2-40B4-BE49-F238E27FC236}">
                      <a16:creationId xmlns:a16="http://schemas.microsoft.com/office/drawing/2014/main" id="{1BB39214-6640-4461-9204-B374EC72032E}"/>
                    </a:ext>
                  </a:extLst>
                </wp:docPr>
                <wp:cNvGraphicFramePr/>
                <a:graphic xmlns:a="http://schemas.openxmlformats.org/drawingml/2006/main">
                  <a:graphicData uri="http://schemas.microsoft.com/office/word/2010/wordprocessingShape">
                    <wps:wsp>
                      <wps:cNvSpPr/>
                      <wps:spPr>
                        <a:xfrm>
                          <a:off x="0" y="0"/>
                          <a:ext cx="5010150" cy="1471253"/>
                        </a:xfrm>
                        <a:prstGeom prst="roundRect">
                          <a:avLst/>
                        </a:prstGeom>
                        <a:solidFill>
                          <a:srgbClr val="00B05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E47AE" w:rsidRDefault="008E47AE" w:rsidP="008E47AE">
                            <w:pPr>
                              <w:rPr>
                                <w:sz w:val="24"/>
                                <w:szCs w:val="24"/>
                              </w:rPr>
                            </w:pPr>
                            <w:r>
                              <w:rPr>
                                <w:rFonts w:hAnsi="Calibri"/>
                                <w:color w:val="000000" w:themeColor="text1"/>
                                <w:kern w:val="24"/>
                                <w:sz w:val="23"/>
                                <w:szCs w:val="23"/>
                                <w:lang w:val="en-US"/>
                              </w:rPr>
                              <w:t xml:space="preserve">During a phase where a person is experiencing bereavement, the person needs adequate support from people who can provide re-assurance regarding the normality of the grief, to explain the symptoms of bereavement, to provide reassurance that they are not going to die or to provide them with additional reassurance that the symptoms they may be experiencing such as anxiety and tension does not indicate death. </w:t>
                            </w:r>
                          </w:p>
                        </w:txbxContent>
                      </wps:txbx>
                      <wps:bodyPr wrap="square" rtlCol="0" anchor="ctr"/>
                    </wps:wsp>
                  </a:graphicData>
                </a:graphic>
                <wp14:sizeRelH relativeFrom="margin">
                  <wp14:pctWidth>0</wp14:pctWidth>
                </wp14:sizeRelH>
              </wp:anchor>
            </w:drawing>
          </mc:Choice>
          <mc:Fallback>
            <w:pict>
              <v:roundrect w14:anchorId="30DB06E2" id="Rectangle: Rounded Corners 16" o:spid="_x0000_s1037" style="position:absolute;margin-left:109.5pt;margin-top:255pt;width:394.5pt;height:115.8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" fillcolor="#00b050" strokecolor="#1f3763 [1604]" strokeweight="1pt">
                <v:stroke joinstyle="miter"/>
                <v:textbox>
                  <w:txbxContent>
                    <w:p w:rsidR="008E47AE" w:rsidRDefault="008E47AE" w:rsidP="008E47AE">
                      <w:pPr>
                        <w:rPr>
                          <w:sz w:val="24"/>
                          <w:szCs w:val="24"/>
                        </w:rPr>
                      </w:pPr>
                      <w:r>
                        <w:rPr>
                          <w:rFonts w:hAnsi="Calibri"/>
                          <w:color w:val="000000" w:themeColor="text1"/>
                          <w:kern w:val="24"/>
                          <w:sz w:val="23"/>
                          <w:szCs w:val="23"/>
                          <w:lang w:val="en-US"/>
                        </w:rPr>
                        <w:t xml:space="preserve">During a phase where a person is experiencing bereavement, the person needs adequate support from people who can provide re-assurance regarding the normality of the grief, to explain the symptoms of bereavement, to provide reassurance that they are not going to die or to provide them with additional reassurance that the symptoms they may be experiencing such as anxiety and tension does not indicate death. </w:t>
                      </w:r>
                    </w:p>
                  </w:txbxContent>
                </v:textbox>
              </v:roundrect>
            </w:pict>
          </mc:Fallback>
        </mc:AlternateContent>
      </w:r>
      <w:r w:rsidR="008E47AE" w:rsidRPr="00827D98">
        <w:rPr>
          <w:rFonts w:ascii="Arial Rounded MT Bold" w:hAnsi="Arial Rounded MT Bold" w:cstheme="minorHAnsi"/>
          <w:noProof/>
          <w:sz w:val="20"/>
          <w:szCs w:val="18"/>
        </w:rPr>
        <w:drawing>
          <wp:anchor distT="0" distB="0" distL="114300" distR="114300" simplePos="0" relativeHeight="251678720" behindDoc="0" locked="0" layoutInCell="1" allowOverlap="1" wp14:anchorId="71483666">
            <wp:simplePos x="0" y="0"/>
            <wp:positionH relativeFrom="column">
              <wp:posOffset>-756920</wp:posOffset>
            </wp:positionH>
            <wp:positionV relativeFrom="paragraph">
              <wp:posOffset>3326130</wp:posOffset>
            </wp:positionV>
            <wp:extent cx="1866900" cy="1370330"/>
            <wp:effectExtent l="0" t="0" r="0" b="1270"/>
            <wp:wrapNone/>
            <wp:docPr id="1038" name="Picture 14" descr="Image result for bereavement elderly">
              <a:extLst xmlns:a="http://schemas.openxmlformats.org/drawingml/2006/main">
                <a:ext uri="{FF2B5EF4-FFF2-40B4-BE49-F238E27FC236}">
                  <a16:creationId xmlns:a16="http://schemas.microsoft.com/office/drawing/2014/main" id="{6EEC1445-D5E8-40B3-9DE4-00AAD91AC2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Image result for bereavement elderly">
                      <a:extLst>
                        <a:ext uri="{FF2B5EF4-FFF2-40B4-BE49-F238E27FC236}">
                          <a16:creationId xmlns:a16="http://schemas.microsoft.com/office/drawing/2014/main" id="{6EEC1445-D5E8-40B3-9DE4-00AAD91AC28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6900" cy="137033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anchor>
        </w:drawing>
      </w:r>
      <w:r w:rsidR="008E47AE" w:rsidRPr="00827D98">
        <w:rPr>
          <w:rFonts w:ascii="Arial Rounded MT Bold" w:hAnsi="Arial Rounded MT Bold" w:cstheme="minorHAnsi"/>
          <w:noProof/>
          <w:sz w:val="20"/>
          <w:szCs w:val="18"/>
        </w:rPr>
        <mc:AlternateContent>
          <mc:Choice Requires="wps">
            <w:drawing>
              <wp:anchor distT="0" distB="0" distL="114300" distR="114300" simplePos="0" relativeHeight="251677696" behindDoc="0" locked="0" layoutInCell="1" allowOverlap="1" wp14:anchorId="19BDDA27" wp14:editId="39384116">
                <wp:simplePos x="0" y="0"/>
                <wp:positionH relativeFrom="column">
                  <wp:posOffset>-762000</wp:posOffset>
                </wp:positionH>
                <wp:positionV relativeFrom="paragraph">
                  <wp:posOffset>1123950</wp:posOffset>
                </wp:positionV>
                <wp:extent cx="5295900" cy="2000250"/>
                <wp:effectExtent l="0" t="0" r="19050" b="19050"/>
                <wp:wrapNone/>
                <wp:docPr id="6" name="Rectangle: Rounded Corners 5">
                  <a:extLst xmlns:a="http://schemas.openxmlformats.org/drawingml/2006/main">
                    <a:ext uri="{FF2B5EF4-FFF2-40B4-BE49-F238E27FC236}">
                      <a16:creationId xmlns:a16="http://schemas.microsoft.com/office/drawing/2014/main" id="{0CD418BC-EAD2-4637-820A-E905C786D28B}"/>
                    </a:ext>
                  </a:extLst>
                </wp:docPr>
                <wp:cNvGraphicFramePr/>
                <a:graphic xmlns:a="http://schemas.openxmlformats.org/drawingml/2006/main">
                  <a:graphicData uri="http://schemas.microsoft.com/office/word/2010/wordprocessingShape">
                    <wps:wsp>
                      <wps:cNvSpPr/>
                      <wps:spPr>
                        <a:xfrm>
                          <a:off x="0" y="0"/>
                          <a:ext cx="5295900" cy="2000250"/>
                        </a:xfrm>
                        <a:prstGeom prst="roundRect">
                          <a:avLst/>
                        </a:prstGeom>
                        <a:solidFill>
                          <a:srgbClr val="FFFF00"/>
                        </a:solidFill>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rsidR="00827D98" w:rsidRPr="00827D98" w:rsidRDefault="00827D98" w:rsidP="00827D98">
                            <w:pPr>
                              <w:jc w:val="center"/>
                              <w:rPr>
                                <w:color w:val="000000" w:themeColor="text1"/>
                              </w:rPr>
                            </w:pPr>
                            <w:r w:rsidRPr="00827D98">
                              <w:rPr>
                                <w:color w:val="000000" w:themeColor="text1"/>
                                <w:lang w:val="en-US"/>
                              </w:rPr>
                              <w:t>Elderly bereavement is a major concern as it could lead to mental illnesses such as depression. A large majority of people can learn to deal with their grief without the need for intervention, however, some people cannot move forward without any intervention (</w:t>
                            </w:r>
                            <w:proofErr w:type="spellStart"/>
                            <w:r w:rsidRPr="00827D98">
                              <w:rPr>
                                <w:color w:val="000000" w:themeColor="text1"/>
                                <w:lang w:val="en-US"/>
                              </w:rPr>
                              <w:t>Stroebe</w:t>
                            </w:r>
                            <w:proofErr w:type="spellEnd"/>
                            <w:r w:rsidRPr="00827D98">
                              <w:rPr>
                                <w:color w:val="000000" w:themeColor="text1"/>
                                <w:lang w:val="en-US"/>
                              </w:rPr>
                              <w:t xml:space="preserve"> &amp; </w:t>
                            </w:r>
                            <w:proofErr w:type="spellStart"/>
                            <w:r w:rsidRPr="00827D98">
                              <w:rPr>
                                <w:color w:val="000000" w:themeColor="text1"/>
                                <w:lang w:val="en-US"/>
                              </w:rPr>
                              <w:t>Stroebe</w:t>
                            </w:r>
                            <w:proofErr w:type="spellEnd"/>
                            <w:r w:rsidRPr="00827D98">
                              <w:rPr>
                                <w:color w:val="000000" w:themeColor="text1"/>
                                <w:lang w:val="en-US"/>
                              </w:rPr>
                              <w:t xml:space="preserve">, 2007). According to </w:t>
                            </w:r>
                            <w:proofErr w:type="spellStart"/>
                            <w:r w:rsidRPr="00827D98">
                              <w:rPr>
                                <w:color w:val="000000" w:themeColor="text1"/>
                                <w:lang w:val="en-US"/>
                              </w:rPr>
                              <w:t>Ancher</w:t>
                            </w:r>
                            <w:proofErr w:type="spellEnd"/>
                            <w:r w:rsidRPr="00827D98">
                              <w:rPr>
                                <w:color w:val="000000" w:themeColor="text1"/>
                                <w:lang w:val="en-US"/>
                              </w:rPr>
                              <w:t xml:space="preserve"> (1997), bereavement has been described as the passing of somebody with whom they had a close connection to. Therefore, bereavement is a stage after a death during which time grief is experienced and mourning arises. Bereavement is distinguished by detachment, irritation and unhappiness. Bereavement also has biological, emotional, and well-being effects. Hence, it can cause people to experience bodily responses including insomnia, lethargy and decreased appetite (BUPA, 2004). </w:t>
                            </w:r>
                          </w:p>
                          <w:p w:rsidR="00827D98" w:rsidRPr="00827D98" w:rsidRDefault="00827D98" w:rsidP="00827D98">
                            <w:pPr>
                              <w:jc w:val="center"/>
                              <w:rPr>
                                <w:color w:val="000000" w:themeColor="text1"/>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9BDDA27" id="Rectangle: Rounded Corners 5" o:spid="_x0000_s1038" style="position:absolute;margin-left:-60pt;margin-top:88.5pt;width:417pt;height:1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" fillcolor="yellow" strokecolor="#1f3763 [1604]" strokeweight="1pt">
                <v:stroke joinstyle="miter"/>
                <v:textbox>
                  <w:txbxContent>
                    <w:p w:rsidR="00827D98" w:rsidRPr="00827D98" w:rsidRDefault="00827D98" w:rsidP="00827D98">
                      <w:pPr>
                        <w:jc w:val="center"/>
                        <w:rPr>
                          <w:color w:val="000000" w:themeColor="text1"/>
                        </w:rPr>
                      </w:pPr>
                      <w:r w:rsidRPr="00827D98">
                        <w:rPr>
                          <w:color w:val="000000" w:themeColor="text1"/>
                          <w:lang w:val="en-US"/>
                        </w:rPr>
                        <w:t>Elderly bereavement is a major concern as it could lead to mental illnesses such as depression. A large majority of people can learn to deal with their grief without the need for intervention, however, some people cannot move forward without any intervention (</w:t>
                      </w:r>
                      <w:proofErr w:type="spellStart"/>
                      <w:r w:rsidRPr="00827D98">
                        <w:rPr>
                          <w:color w:val="000000" w:themeColor="text1"/>
                          <w:lang w:val="en-US"/>
                        </w:rPr>
                        <w:t>Stroebe</w:t>
                      </w:r>
                      <w:proofErr w:type="spellEnd"/>
                      <w:r w:rsidRPr="00827D98">
                        <w:rPr>
                          <w:color w:val="000000" w:themeColor="text1"/>
                          <w:lang w:val="en-US"/>
                        </w:rPr>
                        <w:t xml:space="preserve"> &amp; </w:t>
                      </w:r>
                      <w:proofErr w:type="spellStart"/>
                      <w:r w:rsidRPr="00827D98">
                        <w:rPr>
                          <w:color w:val="000000" w:themeColor="text1"/>
                          <w:lang w:val="en-US"/>
                        </w:rPr>
                        <w:t>Stroebe</w:t>
                      </w:r>
                      <w:proofErr w:type="spellEnd"/>
                      <w:r w:rsidRPr="00827D98">
                        <w:rPr>
                          <w:color w:val="000000" w:themeColor="text1"/>
                          <w:lang w:val="en-US"/>
                        </w:rPr>
                        <w:t xml:space="preserve">, 2007). According to </w:t>
                      </w:r>
                      <w:proofErr w:type="spellStart"/>
                      <w:r w:rsidRPr="00827D98">
                        <w:rPr>
                          <w:color w:val="000000" w:themeColor="text1"/>
                          <w:lang w:val="en-US"/>
                        </w:rPr>
                        <w:t>Ancher</w:t>
                      </w:r>
                      <w:proofErr w:type="spellEnd"/>
                      <w:r w:rsidRPr="00827D98">
                        <w:rPr>
                          <w:color w:val="000000" w:themeColor="text1"/>
                          <w:lang w:val="en-US"/>
                        </w:rPr>
                        <w:t xml:space="preserve"> (1997), bereavement has been described as the passing of somebody with whom they had a close connection to. Therefore, bereavement is a stage after a death during which time grief is experienced and mourning arises. Bereavement is distinguished by detachment, irritation and unhappiness. Bereavement also has biological, emotional, and well-being effects. Hence, it can cause people to experience bodily responses including insomnia, lethargy and decreased appetite (BUPA, 2004). </w:t>
                      </w:r>
                    </w:p>
                    <w:p w:rsidR="00827D98" w:rsidRPr="00827D98" w:rsidRDefault="00827D98" w:rsidP="00827D98">
                      <w:pPr>
                        <w:jc w:val="center"/>
                        <w:rPr>
                          <w:color w:val="000000" w:themeColor="text1"/>
                        </w:rPr>
                      </w:pPr>
                    </w:p>
                  </w:txbxContent>
                </v:textbox>
              </v:roundrect>
            </w:pict>
          </mc:Fallback>
        </mc:AlternateContent>
      </w: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560186" w:rsidP="00560186">
      <w:pPr>
        <w:tabs>
          <w:tab w:val="left" w:pos="7324"/>
        </w:tabs>
        <w:rPr>
          <w:rFonts w:ascii="Arial Rounded MT Bold" w:hAnsi="Arial Rounded MT Bold" w:cstheme="minorHAnsi"/>
          <w:sz w:val="20"/>
          <w:szCs w:val="18"/>
        </w:rPr>
      </w:pPr>
      <w:r>
        <w:rPr>
          <w:rFonts w:ascii="Arial Rounded MT Bold" w:hAnsi="Arial Rounded MT Bold" w:cstheme="minorHAnsi"/>
          <w:sz w:val="20"/>
          <w:szCs w:val="18"/>
        </w:rPr>
        <w:tab/>
      </w: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P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rPr>
          <w:rFonts w:ascii="Arial Rounded MT Bold" w:hAnsi="Arial Rounded MT Bold" w:cstheme="minorHAnsi"/>
          <w:sz w:val="20"/>
          <w:szCs w:val="18"/>
        </w:rPr>
      </w:pPr>
    </w:p>
    <w:p w:rsidR="008E47AE" w:rsidRDefault="008E47AE" w:rsidP="008E47AE">
      <w:pPr>
        <w:spacing w:line="360" w:lineRule="auto"/>
        <w:rPr>
          <w:rFonts w:ascii="Arial Rounded MT Bold" w:hAnsi="Arial Rounded MT Bold" w:cstheme="minorHAnsi"/>
          <w:sz w:val="20"/>
          <w:szCs w:val="18"/>
        </w:rPr>
      </w:pPr>
      <w:proofErr w:type="spellStart"/>
      <w:r w:rsidRPr="008E47AE">
        <w:rPr>
          <w:rFonts w:ascii="Arial Rounded MT Bold" w:hAnsi="Arial Rounded MT Bold" w:cstheme="minorHAnsi"/>
          <w:sz w:val="20"/>
          <w:szCs w:val="18"/>
        </w:rPr>
        <w:lastRenderedPageBreak/>
        <w:t>Ancher</w:t>
      </w:r>
      <w:proofErr w:type="spellEnd"/>
      <w:r w:rsidRPr="008E47AE">
        <w:rPr>
          <w:rFonts w:ascii="Arial Rounded MT Bold" w:hAnsi="Arial Rounded MT Bold" w:cstheme="minorHAnsi"/>
          <w:sz w:val="20"/>
          <w:szCs w:val="18"/>
        </w:rPr>
        <w:t>, J. (1997). Coping with Bereavement. </w:t>
      </w:r>
      <w:r w:rsidRPr="008E47AE">
        <w:rPr>
          <w:rFonts w:ascii="Arial Rounded MT Bold" w:hAnsi="Arial Rounded MT Bold" w:cstheme="minorHAnsi"/>
          <w:i/>
          <w:iCs/>
          <w:sz w:val="20"/>
          <w:szCs w:val="18"/>
        </w:rPr>
        <w:t>Cambridge Handbook of Psychology</w:t>
      </w:r>
      <w:r w:rsidRPr="008E47AE">
        <w:rPr>
          <w:rFonts w:ascii="Arial Rounded MT Bold" w:hAnsi="Arial Rounded MT Bold" w:cstheme="minorHAnsi"/>
          <w:sz w:val="20"/>
          <w:szCs w:val="18"/>
        </w:rPr>
        <w:t>.</w:t>
      </w:r>
      <w:r w:rsidRPr="008E47AE">
        <w:rPr>
          <w:rFonts w:ascii="Arial Rounded MT Bold" w:hAnsi="Arial Rounded MT Bold" w:cstheme="minorHAnsi"/>
          <w:sz w:val="20"/>
          <w:szCs w:val="18"/>
        </w:rPr>
        <w:br/>
        <w:t>Barrera Jr, M. (1986). Distinctions between social support concepts, measures, and models. </w:t>
      </w:r>
      <w:r w:rsidRPr="008E47AE">
        <w:rPr>
          <w:rFonts w:ascii="Arial Rounded MT Bold" w:hAnsi="Arial Rounded MT Bold" w:cstheme="minorHAnsi"/>
          <w:i/>
          <w:iCs/>
          <w:sz w:val="20"/>
          <w:szCs w:val="18"/>
        </w:rPr>
        <w:t>American journal of community psychology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14</w:t>
      </w:r>
      <w:r w:rsidRPr="008E47AE">
        <w:rPr>
          <w:rFonts w:ascii="Arial Rounded MT Bold" w:hAnsi="Arial Rounded MT Bold" w:cstheme="minorHAnsi"/>
          <w:sz w:val="20"/>
          <w:szCs w:val="18"/>
        </w:rPr>
        <w:t>(4), 413-445.</w:t>
      </w:r>
      <w:r w:rsidRPr="00FF5C65">
        <w:rPr>
          <w:rFonts w:ascii="Arial Rounded MT Bold" w:hAnsi="Arial Rounded MT Bold" w:cstheme="minorHAnsi"/>
          <w:sz w:val="20"/>
          <w:szCs w:val="18"/>
        </w:rPr>
        <w:t xml:space="preserve"> </w:t>
      </w:r>
      <w:r w:rsidRPr="008E47AE">
        <w:rPr>
          <w:rFonts w:ascii="Arial Rounded MT Bold" w:hAnsi="Arial Rounded MT Bold" w:cstheme="minorHAnsi"/>
          <w:sz w:val="20"/>
          <w:szCs w:val="18"/>
        </w:rPr>
        <w:br/>
        <w:t xml:space="preserve">BUPA Health Information Services (2004). Bereavement: </w:t>
      </w:r>
      <w:r w:rsidRPr="008E47AE">
        <w:rPr>
          <w:rFonts w:ascii="Arial Rounded MT Bold" w:hAnsi="Arial Rounded MT Bold" w:cstheme="minorHAnsi"/>
          <w:i/>
          <w:iCs/>
          <w:sz w:val="20"/>
          <w:szCs w:val="18"/>
        </w:rPr>
        <w:t>The process of grieving a loss</w:t>
      </w:r>
      <w:r w:rsidRPr="008E47AE">
        <w:rPr>
          <w:rFonts w:ascii="Arial Rounded MT Bold" w:hAnsi="Arial Rounded MT Bold" w:cstheme="minorHAnsi"/>
          <w:sz w:val="20"/>
          <w:szCs w:val="18"/>
        </w:rPr>
        <w:t xml:space="preserve">. Retrieved on 18/12/2019 from http:www.repsych.ac.uk </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DeVerber</w:t>
      </w:r>
      <w:proofErr w:type="spellEnd"/>
      <w:r w:rsidRPr="008E47AE">
        <w:rPr>
          <w:rFonts w:ascii="Arial Rounded MT Bold" w:hAnsi="Arial Rounded MT Bold" w:cstheme="minorHAnsi"/>
          <w:sz w:val="20"/>
          <w:szCs w:val="18"/>
        </w:rPr>
        <w:t xml:space="preserve">, A., </w:t>
      </w:r>
      <w:proofErr w:type="spellStart"/>
      <w:r w:rsidRPr="008E47AE">
        <w:rPr>
          <w:rFonts w:ascii="Arial Rounded MT Bold" w:hAnsi="Arial Rounded MT Bold" w:cstheme="minorHAnsi"/>
          <w:sz w:val="20"/>
          <w:szCs w:val="18"/>
        </w:rPr>
        <w:t>Deut</w:t>
      </w:r>
      <w:proofErr w:type="spellEnd"/>
      <w:r w:rsidRPr="008E47AE">
        <w:rPr>
          <w:rFonts w:ascii="Arial Rounded MT Bold" w:hAnsi="Arial Rounded MT Bold" w:cstheme="minorHAnsi"/>
          <w:sz w:val="20"/>
          <w:szCs w:val="18"/>
        </w:rPr>
        <w:t xml:space="preserve">, A. and Condon, L. (1996). Bereaved children, who cares? </w:t>
      </w:r>
      <w:r w:rsidRPr="008E47AE">
        <w:rPr>
          <w:rFonts w:ascii="Arial Rounded MT Bold" w:hAnsi="Arial Rounded MT Bold" w:cstheme="minorHAnsi"/>
          <w:i/>
          <w:iCs/>
          <w:sz w:val="20"/>
          <w:szCs w:val="18"/>
        </w:rPr>
        <w:t>Journal of Psychology, 69</w:t>
      </w:r>
      <w:r w:rsidRPr="008E47AE">
        <w:rPr>
          <w:rFonts w:ascii="Arial Rounded MT Bold" w:hAnsi="Arial Rounded MT Bold" w:cstheme="minorHAnsi"/>
          <w:sz w:val="20"/>
          <w:szCs w:val="18"/>
        </w:rPr>
        <w:t>, 7, 270-271.</w:t>
      </w:r>
      <w:r>
        <w:rPr>
          <w:rFonts w:ascii="Arial Rounded MT Bold" w:hAnsi="Arial Rounded MT Bold" w:cstheme="minorHAnsi"/>
          <w:sz w:val="20"/>
          <w:szCs w:val="18"/>
        </w:rPr>
        <w:t xml:space="preserve"> </w:t>
      </w:r>
    </w:p>
    <w:p w:rsidR="008E47AE" w:rsidRP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Gonzalez, V. M., </w:t>
      </w:r>
      <w:proofErr w:type="spellStart"/>
      <w:r w:rsidRPr="008E47AE">
        <w:rPr>
          <w:rFonts w:ascii="Arial Rounded MT Bold" w:hAnsi="Arial Rounded MT Bold" w:cstheme="minorHAnsi"/>
          <w:sz w:val="20"/>
          <w:szCs w:val="18"/>
        </w:rPr>
        <w:t>Goeppinger</w:t>
      </w:r>
      <w:proofErr w:type="spellEnd"/>
      <w:r w:rsidRPr="008E47AE">
        <w:rPr>
          <w:rFonts w:ascii="Arial Rounded MT Bold" w:hAnsi="Arial Rounded MT Bold" w:cstheme="minorHAnsi"/>
          <w:sz w:val="20"/>
          <w:szCs w:val="18"/>
        </w:rPr>
        <w:t xml:space="preserve">, J., &amp; </w:t>
      </w:r>
      <w:proofErr w:type="spellStart"/>
      <w:r w:rsidRPr="008E47AE">
        <w:rPr>
          <w:rFonts w:ascii="Arial Rounded MT Bold" w:hAnsi="Arial Rounded MT Bold" w:cstheme="minorHAnsi"/>
          <w:sz w:val="20"/>
          <w:szCs w:val="18"/>
        </w:rPr>
        <w:t>Lorig</w:t>
      </w:r>
      <w:proofErr w:type="spellEnd"/>
      <w:r w:rsidRPr="008E47AE">
        <w:rPr>
          <w:rFonts w:ascii="Arial Rounded MT Bold" w:hAnsi="Arial Rounded MT Bold" w:cstheme="minorHAnsi"/>
          <w:sz w:val="20"/>
          <w:szCs w:val="18"/>
        </w:rPr>
        <w:t>, K. (1990). Four psychosocial theories and their application to patient education and clinical practice. </w:t>
      </w:r>
      <w:r w:rsidRPr="008E47AE">
        <w:rPr>
          <w:rFonts w:ascii="Arial Rounded MT Bold" w:hAnsi="Arial Rounded MT Bold" w:cstheme="minorHAnsi"/>
          <w:i/>
          <w:iCs/>
          <w:sz w:val="20"/>
          <w:szCs w:val="18"/>
        </w:rPr>
        <w:t>Arthritis &amp; Rheumatism: Official Journal of the American College of Rheumatology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3</w:t>
      </w:r>
      <w:r w:rsidRPr="008E47AE">
        <w:rPr>
          <w:rFonts w:ascii="Arial Rounded MT Bold" w:hAnsi="Arial Rounded MT Bold" w:cstheme="minorHAnsi"/>
          <w:sz w:val="20"/>
          <w:szCs w:val="18"/>
        </w:rPr>
        <w:t>(3), 132-143.</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Hobfoll</w:t>
      </w:r>
      <w:proofErr w:type="spellEnd"/>
      <w:r w:rsidRPr="008E47AE">
        <w:rPr>
          <w:rFonts w:ascii="Arial Rounded MT Bold" w:hAnsi="Arial Rounded MT Bold" w:cstheme="minorHAnsi"/>
          <w:sz w:val="20"/>
          <w:szCs w:val="18"/>
        </w:rPr>
        <w:t xml:space="preserve">, S. E., </w:t>
      </w:r>
      <w:proofErr w:type="spellStart"/>
      <w:r w:rsidRPr="008E47AE">
        <w:rPr>
          <w:rFonts w:ascii="Arial Rounded MT Bold" w:hAnsi="Arial Rounded MT Bold" w:cstheme="minorHAnsi"/>
          <w:sz w:val="20"/>
          <w:szCs w:val="18"/>
        </w:rPr>
        <w:t>Freedy</w:t>
      </w:r>
      <w:proofErr w:type="spellEnd"/>
      <w:r w:rsidRPr="008E47AE">
        <w:rPr>
          <w:rFonts w:ascii="Arial Rounded MT Bold" w:hAnsi="Arial Rounded MT Bold" w:cstheme="minorHAnsi"/>
          <w:sz w:val="20"/>
          <w:szCs w:val="18"/>
        </w:rPr>
        <w:t>, J., Lane, C., &amp; Geller, P. (1990). Conservation of social resources: Social support resource theory. </w:t>
      </w:r>
      <w:r w:rsidRPr="008E47AE">
        <w:rPr>
          <w:rFonts w:ascii="Arial Rounded MT Bold" w:hAnsi="Arial Rounded MT Bold" w:cstheme="minorHAnsi"/>
          <w:i/>
          <w:iCs/>
          <w:sz w:val="20"/>
          <w:szCs w:val="18"/>
        </w:rPr>
        <w:t>Journal of Social and Personal Relationships</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7</w:t>
      </w:r>
      <w:r w:rsidRPr="008E47AE">
        <w:rPr>
          <w:rFonts w:ascii="Arial Rounded MT Bold" w:hAnsi="Arial Rounded MT Bold" w:cstheme="minorHAnsi"/>
          <w:sz w:val="20"/>
          <w:szCs w:val="18"/>
        </w:rPr>
        <w:t>(4), 465-478.</w:t>
      </w:r>
    </w:p>
    <w:p w:rsidR="008E47AE" w:rsidRPr="008E47AE" w:rsidRDefault="008E47AE" w:rsidP="008E47AE">
      <w:pPr>
        <w:spacing w:line="360" w:lineRule="auto"/>
        <w:rPr>
          <w:rFonts w:ascii="Arial Rounded MT Bold" w:hAnsi="Arial Rounded MT Bold" w:cstheme="minorHAnsi"/>
          <w:sz w:val="20"/>
          <w:szCs w:val="18"/>
        </w:rPr>
      </w:pPr>
      <w:proofErr w:type="spellStart"/>
      <w:r w:rsidRPr="008E47AE">
        <w:rPr>
          <w:rFonts w:ascii="Arial Rounded MT Bold" w:hAnsi="Arial Rounded MT Bold" w:cstheme="minorHAnsi"/>
          <w:sz w:val="20"/>
          <w:szCs w:val="18"/>
        </w:rPr>
        <w:t>Mutran</w:t>
      </w:r>
      <w:proofErr w:type="spellEnd"/>
      <w:r w:rsidRPr="008E47AE">
        <w:rPr>
          <w:rFonts w:ascii="Arial Rounded MT Bold" w:hAnsi="Arial Rounded MT Bold" w:cstheme="minorHAnsi"/>
          <w:sz w:val="20"/>
          <w:szCs w:val="18"/>
        </w:rPr>
        <w:t xml:space="preserve">, E. J., </w:t>
      </w:r>
      <w:proofErr w:type="spellStart"/>
      <w:r w:rsidRPr="008E47AE">
        <w:rPr>
          <w:rFonts w:ascii="Arial Rounded MT Bold" w:hAnsi="Arial Rounded MT Bold" w:cstheme="minorHAnsi"/>
          <w:sz w:val="20"/>
          <w:szCs w:val="18"/>
        </w:rPr>
        <w:t>Reitzes</w:t>
      </w:r>
      <w:proofErr w:type="spellEnd"/>
      <w:r w:rsidRPr="008E47AE">
        <w:rPr>
          <w:rFonts w:ascii="Arial Rounded MT Bold" w:hAnsi="Arial Rounded MT Bold" w:cstheme="minorHAnsi"/>
          <w:sz w:val="20"/>
          <w:szCs w:val="18"/>
        </w:rPr>
        <w:t xml:space="preserve">, D. C., </w:t>
      </w:r>
      <w:proofErr w:type="spellStart"/>
      <w:r w:rsidRPr="008E47AE">
        <w:rPr>
          <w:rFonts w:ascii="Arial Rounded MT Bold" w:hAnsi="Arial Rounded MT Bold" w:cstheme="minorHAnsi"/>
          <w:sz w:val="20"/>
          <w:szCs w:val="18"/>
        </w:rPr>
        <w:t>Mossey</w:t>
      </w:r>
      <w:proofErr w:type="spellEnd"/>
      <w:r w:rsidRPr="008E47AE">
        <w:rPr>
          <w:rFonts w:ascii="Arial Rounded MT Bold" w:hAnsi="Arial Rounded MT Bold" w:cstheme="minorHAnsi"/>
          <w:sz w:val="20"/>
          <w:szCs w:val="18"/>
        </w:rPr>
        <w:t>, J., &amp; Fernandez, M. E. (1995). Social support, depression, and recovery of walking ability following hip fracture surgery. </w:t>
      </w:r>
      <w:r w:rsidRPr="008E47AE">
        <w:rPr>
          <w:rFonts w:ascii="Arial Rounded MT Bold" w:hAnsi="Arial Rounded MT Bold" w:cstheme="minorHAnsi"/>
          <w:i/>
          <w:iCs/>
          <w:sz w:val="20"/>
          <w:szCs w:val="18"/>
        </w:rPr>
        <w:t>The Journals of Gerontology Series B: Psychological Sciences and Social Sciences</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50</w:t>
      </w:r>
      <w:r w:rsidRPr="008E47AE">
        <w:rPr>
          <w:rFonts w:ascii="Arial Rounded MT Bold" w:hAnsi="Arial Rounded MT Bold" w:cstheme="minorHAnsi"/>
          <w:sz w:val="20"/>
          <w:szCs w:val="18"/>
        </w:rPr>
        <w:t>(6), S354-S361.</w:t>
      </w:r>
    </w:p>
    <w:p w:rsid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Parkes, C. M. (1980). Bereavement counselling: does it </w:t>
      </w:r>
      <w:proofErr w:type="gramStart"/>
      <w:r w:rsidRPr="008E47AE">
        <w:rPr>
          <w:rFonts w:ascii="Arial Rounded MT Bold" w:hAnsi="Arial Rounded MT Bold" w:cstheme="minorHAnsi"/>
          <w:sz w:val="20"/>
          <w:szCs w:val="18"/>
        </w:rPr>
        <w:t>work?.</w:t>
      </w:r>
      <w:proofErr w:type="gramEnd"/>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British Medical Journal</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281</w:t>
      </w:r>
      <w:r w:rsidRPr="008E47AE">
        <w:rPr>
          <w:rFonts w:ascii="Arial Rounded MT Bold" w:hAnsi="Arial Rounded MT Bold" w:cstheme="minorHAnsi"/>
          <w:sz w:val="20"/>
          <w:szCs w:val="18"/>
        </w:rPr>
        <w:t>(6232), 3.</w:t>
      </w:r>
    </w:p>
    <w:p w:rsidR="008E47AE" w:rsidRPr="008E47AE" w:rsidRDefault="008E47AE" w:rsidP="008E47AE">
      <w:pPr>
        <w:spacing w:line="360" w:lineRule="auto"/>
        <w:rPr>
          <w:rFonts w:ascii="Arial Rounded MT Bold" w:hAnsi="Arial Rounded MT Bold" w:cstheme="minorHAnsi"/>
          <w:sz w:val="20"/>
          <w:szCs w:val="18"/>
        </w:rPr>
      </w:pPr>
      <w:r w:rsidRPr="008E47AE">
        <w:rPr>
          <w:rFonts w:ascii="Arial Rounded MT Bold" w:hAnsi="Arial Rounded MT Bold" w:cstheme="minorHAnsi"/>
          <w:sz w:val="20"/>
          <w:szCs w:val="18"/>
        </w:rPr>
        <w:t xml:space="preserve">Raphael, B., &amp; </w:t>
      </w:r>
      <w:proofErr w:type="spellStart"/>
      <w:r w:rsidRPr="008E47AE">
        <w:rPr>
          <w:rFonts w:ascii="Arial Rounded MT Bold" w:hAnsi="Arial Rounded MT Bold" w:cstheme="minorHAnsi"/>
          <w:sz w:val="20"/>
          <w:szCs w:val="18"/>
        </w:rPr>
        <w:t>Minkov</w:t>
      </w:r>
      <w:proofErr w:type="spellEnd"/>
      <w:r w:rsidRPr="008E47AE">
        <w:rPr>
          <w:rFonts w:ascii="Arial Rounded MT Bold" w:hAnsi="Arial Rounded MT Bold" w:cstheme="minorHAnsi"/>
          <w:sz w:val="20"/>
          <w:szCs w:val="18"/>
        </w:rPr>
        <w:t>, C. (1999). Abnormal grief. </w:t>
      </w:r>
      <w:r w:rsidRPr="008E47AE">
        <w:rPr>
          <w:rFonts w:ascii="Arial Rounded MT Bold" w:hAnsi="Arial Rounded MT Bold" w:cstheme="minorHAnsi"/>
          <w:i/>
          <w:iCs/>
          <w:sz w:val="20"/>
          <w:szCs w:val="18"/>
        </w:rPr>
        <w:t>Current Opinion in Psychiatry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12</w:t>
      </w:r>
      <w:r w:rsidRPr="008E47AE">
        <w:rPr>
          <w:rFonts w:ascii="Arial Rounded MT Bold" w:hAnsi="Arial Rounded MT Bold" w:cstheme="minorHAnsi"/>
          <w:sz w:val="20"/>
          <w:szCs w:val="18"/>
        </w:rPr>
        <w:t>(1), 99-102.</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Stroebe</w:t>
      </w:r>
      <w:proofErr w:type="spellEnd"/>
      <w:r w:rsidRPr="008E47AE">
        <w:rPr>
          <w:rFonts w:ascii="Arial Rounded MT Bold" w:hAnsi="Arial Rounded MT Bold" w:cstheme="minorHAnsi"/>
          <w:sz w:val="20"/>
          <w:szCs w:val="18"/>
        </w:rPr>
        <w:t xml:space="preserve">, M., </w:t>
      </w:r>
      <w:proofErr w:type="spellStart"/>
      <w:r w:rsidRPr="008E47AE">
        <w:rPr>
          <w:rFonts w:ascii="Arial Rounded MT Bold" w:hAnsi="Arial Rounded MT Bold" w:cstheme="minorHAnsi"/>
          <w:sz w:val="20"/>
          <w:szCs w:val="18"/>
        </w:rPr>
        <w:t>Schut</w:t>
      </w:r>
      <w:proofErr w:type="spellEnd"/>
      <w:r w:rsidRPr="008E47AE">
        <w:rPr>
          <w:rFonts w:ascii="Arial Rounded MT Bold" w:hAnsi="Arial Rounded MT Bold" w:cstheme="minorHAnsi"/>
          <w:sz w:val="20"/>
          <w:szCs w:val="18"/>
        </w:rPr>
        <w:t xml:space="preserve">, H., &amp; </w:t>
      </w:r>
      <w:proofErr w:type="spellStart"/>
      <w:r w:rsidRPr="008E47AE">
        <w:rPr>
          <w:rFonts w:ascii="Arial Rounded MT Bold" w:hAnsi="Arial Rounded MT Bold" w:cstheme="minorHAnsi"/>
          <w:sz w:val="20"/>
          <w:szCs w:val="18"/>
        </w:rPr>
        <w:t>Stroebe</w:t>
      </w:r>
      <w:proofErr w:type="spellEnd"/>
      <w:r w:rsidRPr="008E47AE">
        <w:rPr>
          <w:rFonts w:ascii="Arial Rounded MT Bold" w:hAnsi="Arial Rounded MT Bold" w:cstheme="minorHAnsi"/>
          <w:sz w:val="20"/>
          <w:szCs w:val="18"/>
        </w:rPr>
        <w:t>, W. (2007). Health outcomes of bereavement. </w:t>
      </w:r>
      <w:r w:rsidRPr="008E47AE">
        <w:rPr>
          <w:rFonts w:ascii="Arial Rounded MT Bold" w:hAnsi="Arial Rounded MT Bold" w:cstheme="minorHAnsi"/>
          <w:i/>
          <w:iCs/>
          <w:sz w:val="20"/>
          <w:szCs w:val="18"/>
        </w:rPr>
        <w:t>The Lancet</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370</w:t>
      </w:r>
      <w:r w:rsidRPr="008E47AE">
        <w:rPr>
          <w:rFonts w:ascii="Arial Rounded MT Bold" w:hAnsi="Arial Rounded MT Bold" w:cstheme="minorHAnsi"/>
          <w:sz w:val="20"/>
          <w:szCs w:val="18"/>
        </w:rPr>
        <w:t>(9603), 1960-1973.</w:t>
      </w:r>
      <w:r w:rsidRPr="008E47AE">
        <w:rPr>
          <w:rFonts w:ascii="Arial Rounded MT Bold" w:hAnsi="Arial Rounded MT Bold" w:cstheme="minorHAnsi"/>
          <w:sz w:val="20"/>
          <w:szCs w:val="18"/>
        </w:rPr>
        <w:br/>
      </w:r>
      <w:proofErr w:type="spellStart"/>
      <w:r w:rsidRPr="008E47AE">
        <w:rPr>
          <w:rFonts w:ascii="Arial Rounded MT Bold" w:hAnsi="Arial Rounded MT Bold" w:cstheme="minorHAnsi"/>
          <w:sz w:val="20"/>
          <w:szCs w:val="18"/>
        </w:rPr>
        <w:t>Wallston</w:t>
      </w:r>
      <w:proofErr w:type="spellEnd"/>
      <w:r w:rsidRPr="008E47AE">
        <w:rPr>
          <w:rFonts w:ascii="Arial Rounded MT Bold" w:hAnsi="Arial Rounded MT Bold" w:cstheme="minorHAnsi"/>
          <w:sz w:val="20"/>
          <w:szCs w:val="18"/>
        </w:rPr>
        <w:t xml:space="preserve">, B. S., </w:t>
      </w:r>
      <w:proofErr w:type="spellStart"/>
      <w:r w:rsidRPr="008E47AE">
        <w:rPr>
          <w:rFonts w:ascii="Arial Rounded MT Bold" w:hAnsi="Arial Rounded MT Bold" w:cstheme="minorHAnsi"/>
          <w:sz w:val="20"/>
          <w:szCs w:val="18"/>
        </w:rPr>
        <w:t>Alagna</w:t>
      </w:r>
      <w:proofErr w:type="spellEnd"/>
      <w:r w:rsidRPr="008E47AE">
        <w:rPr>
          <w:rFonts w:ascii="Arial Rounded MT Bold" w:hAnsi="Arial Rounded MT Bold" w:cstheme="minorHAnsi"/>
          <w:sz w:val="20"/>
          <w:szCs w:val="18"/>
        </w:rPr>
        <w:t xml:space="preserve">, S. W., </w:t>
      </w:r>
      <w:proofErr w:type="spellStart"/>
      <w:r w:rsidRPr="008E47AE">
        <w:rPr>
          <w:rFonts w:ascii="Arial Rounded MT Bold" w:hAnsi="Arial Rounded MT Bold" w:cstheme="minorHAnsi"/>
          <w:sz w:val="20"/>
          <w:szCs w:val="18"/>
        </w:rPr>
        <w:t>DeVellis</w:t>
      </w:r>
      <w:proofErr w:type="spellEnd"/>
      <w:r w:rsidRPr="008E47AE">
        <w:rPr>
          <w:rFonts w:ascii="Arial Rounded MT Bold" w:hAnsi="Arial Rounded MT Bold" w:cstheme="minorHAnsi"/>
          <w:sz w:val="20"/>
          <w:szCs w:val="18"/>
        </w:rPr>
        <w:t xml:space="preserve">, B. M., &amp; </w:t>
      </w:r>
      <w:proofErr w:type="spellStart"/>
      <w:r w:rsidRPr="008E47AE">
        <w:rPr>
          <w:rFonts w:ascii="Arial Rounded MT Bold" w:hAnsi="Arial Rounded MT Bold" w:cstheme="minorHAnsi"/>
          <w:sz w:val="20"/>
          <w:szCs w:val="18"/>
        </w:rPr>
        <w:t>DeVellis</w:t>
      </w:r>
      <w:proofErr w:type="spellEnd"/>
      <w:r w:rsidRPr="008E47AE">
        <w:rPr>
          <w:rFonts w:ascii="Arial Rounded MT Bold" w:hAnsi="Arial Rounded MT Bold" w:cstheme="minorHAnsi"/>
          <w:sz w:val="20"/>
          <w:szCs w:val="18"/>
        </w:rPr>
        <w:t>, R. F. (1983). Social support and physical health. </w:t>
      </w:r>
      <w:r w:rsidRPr="008E47AE">
        <w:rPr>
          <w:rFonts w:ascii="Arial Rounded MT Bold" w:hAnsi="Arial Rounded MT Bold" w:cstheme="minorHAnsi"/>
          <w:i/>
          <w:iCs/>
          <w:sz w:val="20"/>
          <w:szCs w:val="18"/>
        </w:rPr>
        <w:t>Health psychology</w:t>
      </w:r>
      <w:r w:rsidRPr="008E47AE">
        <w:rPr>
          <w:rFonts w:ascii="Arial Rounded MT Bold" w:hAnsi="Arial Rounded MT Bold" w:cstheme="minorHAnsi"/>
          <w:sz w:val="20"/>
          <w:szCs w:val="18"/>
        </w:rPr>
        <w:t>, </w:t>
      </w:r>
      <w:r w:rsidRPr="008E47AE">
        <w:rPr>
          <w:rFonts w:ascii="Arial Rounded MT Bold" w:hAnsi="Arial Rounded MT Bold" w:cstheme="minorHAnsi"/>
          <w:i/>
          <w:iCs/>
          <w:sz w:val="20"/>
          <w:szCs w:val="18"/>
        </w:rPr>
        <w:t>2</w:t>
      </w:r>
      <w:r w:rsidRPr="008E47AE">
        <w:rPr>
          <w:rFonts w:ascii="Arial Rounded MT Bold" w:hAnsi="Arial Rounded MT Bold" w:cstheme="minorHAnsi"/>
          <w:sz w:val="20"/>
          <w:szCs w:val="18"/>
        </w:rPr>
        <w:t>(4), 367.</w:t>
      </w:r>
      <w:r w:rsidRPr="008E47AE">
        <w:rPr>
          <w:rFonts w:ascii="Arial Rounded MT Bold" w:hAnsi="Arial Rounded MT Bold" w:cstheme="minorHAnsi"/>
          <w:sz w:val="20"/>
          <w:szCs w:val="18"/>
        </w:rPr>
        <w:br/>
      </w:r>
    </w:p>
    <w:p w:rsidR="008E47AE" w:rsidRPr="008E47AE" w:rsidRDefault="008E47AE" w:rsidP="008E47AE">
      <w:pPr>
        <w:spacing w:line="360" w:lineRule="auto"/>
        <w:rPr>
          <w:rFonts w:ascii="Arial Rounded MT Bold" w:hAnsi="Arial Rounded MT Bold" w:cstheme="minorHAnsi"/>
          <w:sz w:val="20"/>
          <w:szCs w:val="18"/>
        </w:rPr>
      </w:pPr>
    </w:p>
    <w:sectPr w:rsidR="008E47AE" w:rsidRPr="008E47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9BA" w:rsidRDefault="009679BA" w:rsidP="004260B9">
      <w:pPr>
        <w:spacing w:after="0" w:line="240" w:lineRule="auto"/>
      </w:pPr>
      <w:r>
        <w:separator/>
      </w:r>
    </w:p>
  </w:endnote>
  <w:endnote w:type="continuationSeparator" w:id="0">
    <w:p w:rsidR="009679BA" w:rsidRDefault="009679BA" w:rsidP="0042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9BA" w:rsidRDefault="009679BA" w:rsidP="004260B9">
      <w:pPr>
        <w:spacing w:after="0" w:line="240" w:lineRule="auto"/>
      </w:pPr>
      <w:r>
        <w:separator/>
      </w:r>
    </w:p>
  </w:footnote>
  <w:footnote w:type="continuationSeparator" w:id="0">
    <w:p w:rsidR="009679BA" w:rsidRDefault="009679BA" w:rsidP="00426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F83"/>
    <w:rsid w:val="000015B3"/>
    <w:rsid w:val="0001397A"/>
    <w:rsid w:val="00013C76"/>
    <w:rsid w:val="00024959"/>
    <w:rsid w:val="0004361F"/>
    <w:rsid w:val="00061590"/>
    <w:rsid w:val="00073D11"/>
    <w:rsid w:val="000856A0"/>
    <w:rsid w:val="000A1BDF"/>
    <w:rsid w:val="000B2871"/>
    <w:rsid w:val="0011113B"/>
    <w:rsid w:val="00113598"/>
    <w:rsid w:val="001302AD"/>
    <w:rsid w:val="0013727F"/>
    <w:rsid w:val="0019740F"/>
    <w:rsid w:val="001B4929"/>
    <w:rsid w:val="001D2CF8"/>
    <w:rsid w:val="001F0853"/>
    <w:rsid w:val="0020150B"/>
    <w:rsid w:val="00261B95"/>
    <w:rsid w:val="00282BAE"/>
    <w:rsid w:val="002C6F4F"/>
    <w:rsid w:val="002F7181"/>
    <w:rsid w:val="00307949"/>
    <w:rsid w:val="003578F0"/>
    <w:rsid w:val="003644F2"/>
    <w:rsid w:val="00365FC6"/>
    <w:rsid w:val="0037686E"/>
    <w:rsid w:val="003D0186"/>
    <w:rsid w:val="003E4966"/>
    <w:rsid w:val="003F3BBA"/>
    <w:rsid w:val="0041155E"/>
    <w:rsid w:val="00420098"/>
    <w:rsid w:val="004260B9"/>
    <w:rsid w:val="004900FC"/>
    <w:rsid w:val="005321F3"/>
    <w:rsid w:val="0055306A"/>
    <w:rsid w:val="00560186"/>
    <w:rsid w:val="005614E4"/>
    <w:rsid w:val="00580FCA"/>
    <w:rsid w:val="005876BD"/>
    <w:rsid w:val="00594B92"/>
    <w:rsid w:val="005A377F"/>
    <w:rsid w:val="005A727C"/>
    <w:rsid w:val="005C1100"/>
    <w:rsid w:val="005E3FF2"/>
    <w:rsid w:val="005F2115"/>
    <w:rsid w:val="005F27EC"/>
    <w:rsid w:val="005F419F"/>
    <w:rsid w:val="00610C65"/>
    <w:rsid w:val="00687E08"/>
    <w:rsid w:val="006921F0"/>
    <w:rsid w:val="0069290F"/>
    <w:rsid w:val="006A2699"/>
    <w:rsid w:val="006A5630"/>
    <w:rsid w:val="006B0C1F"/>
    <w:rsid w:val="006B6EA1"/>
    <w:rsid w:val="006D52A9"/>
    <w:rsid w:val="006E6FFD"/>
    <w:rsid w:val="0072761F"/>
    <w:rsid w:val="007276D1"/>
    <w:rsid w:val="00731E4F"/>
    <w:rsid w:val="00751DE6"/>
    <w:rsid w:val="00752EAE"/>
    <w:rsid w:val="00760E17"/>
    <w:rsid w:val="00777575"/>
    <w:rsid w:val="007A0CCD"/>
    <w:rsid w:val="007A5490"/>
    <w:rsid w:val="00827D98"/>
    <w:rsid w:val="0083677A"/>
    <w:rsid w:val="008373A5"/>
    <w:rsid w:val="008574AC"/>
    <w:rsid w:val="008D3803"/>
    <w:rsid w:val="008E1F86"/>
    <w:rsid w:val="008E47AE"/>
    <w:rsid w:val="0091349C"/>
    <w:rsid w:val="0094006D"/>
    <w:rsid w:val="00942716"/>
    <w:rsid w:val="009679BA"/>
    <w:rsid w:val="009744F0"/>
    <w:rsid w:val="009C4ED1"/>
    <w:rsid w:val="009C7F83"/>
    <w:rsid w:val="009D4B26"/>
    <w:rsid w:val="00A21C30"/>
    <w:rsid w:val="00A300E9"/>
    <w:rsid w:val="00A7730C"/>
    <w:rsid w:val="00AA4294"/>
    <w:rsid w:val="00AB269E"/>
    <w:rsid w:val="00AE0F7F"/>
    <w:rsid w:val="00AF0C9F"/>
    <w:rsid w:val="00AF24AE"/>
    <w:rsid w:val="00B14A99"/>
    <w:rsid w:val="00B416A6"/>
    <w:rsid w:val="00B61458"/>
    <w:rsid w:val="00B671FB"/>
    <w:rsid w:val="00B7408F"/>
    <w:rsid w:val="00B93C58"/>
    <w:rsid w:val="00BB0CCB"/>
    <w:rsid w:val="00BE6E2A"/>
    <w:rsid w:val="00BE6FE2"/>
    <w:rsid w:val="00C410E7"/>
    <w:rsid w:val="00C46A25"/>
    <w:rsid w:val="00C64AB9"/>
    <w:rsid w:val="00CA17DC"/>
    <w:rsid w:val="00CA2AA6"/>
    <w:rsid w:val="00CC7127"/>
    <w:rsid w:val="00CE6583"/>
    <w:rsid w:val="00CE66B8"/>
    <w:rsid w:val="00D23928"/>
    <w:rsid w:val="00D521B5"/>
    <w:rsid w:val="00D80F52"/>
    <w:rsid w:val="00D942D7"/>
    <w:rsid w:val="00DB242F"/>
    <w:rsid w:val="00DD6A5F"/>
    <w:rsid w:val="00DE228D"/>
    <w:rsid w:val="00DF7DE1"/>
    <w:rsid w:val="00E1443A"/>
    <w:rsid w:val="00E60407"/>
    <w:rsid w:val="00E9200C"/>
    <w:rsid w:val="00EA6FA7"/>
    <w:rsid w:val="00EB4A87"/>
    <w:rsid w:val="00FB4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164E"/>
  <w15:chartTrackingRefBased/>
  <w15:docId w15:val="{7FC0C4B2-79AE-4C47-AC88-1318E9545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5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FC6"/>
    <w:rPr>
      <w:rFonts w:ascii="Segoe UI" w:hAnsi="Segoe UI" w:cs="Segoe UI"/>
      <w:sz w:val="18"/>
      <w:szCs w:val="18"/>
    </w:rPr>
  </w:style>
  <w:style w:type="paragraph" w:styleId="Header">
    <w:name w:val="header"/>
    <w:basedOn w:val="Normal"/>
    <w:link w:val="HeaderChar"/>
    <w:uiPriority w:val="99"/>
    <w:unhideWhenUsed/>
    <w:rsid w:val="00426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B9"/>
  </w:style>
  <w:style w:type="paragraph" w:styleId="Footer">
    <w:name w:val="footer"/>
    <w:basedOn w:val="Normal"/>
    <w:link w:val="FooterChar"/>
    <w:uiPriority w:val="99"/>
    <w:unhideWhenUsed/>
    <w:rsid w:val="00426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B9"/>
  </w:style>
  <w:style w:type="character" w:styleId="Hyperlink">
    <w:name w:val="Hyperlink"/>
    <w:basedOn w:val="DefaultParagraphFont"/>
    <w:uiPriority w:val="99"/>
    <w:unhideWhenUsed/>
    <w:rsid w:val="0019740F"/>
    <w:rPr>
      <w:color w:val="0563C1" w:themeColor="hyperlink"/>
      <w:u w:val="single"/>
    </w:rPr>
  </w:style>
  <w:style w:type="character" w:styleId="UnresolvedMention">
    <w:name w:val="Unresolved Mention"/>
    <w:basedOn w:val="DefaultParagraphFont"/>
    <w:uiPriority w:val="99"/>
    <w:semiHidden/>
    <w:unhideWhenUsed/>
    <w:rsid w:val="00197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66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419A6-9D15-4FB6-9A24-C81CCB559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2771</TotalTime>
  <Pages>9</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Jo Jay</dc:creator>
  <cp:keywords/>
  <dc:description/>
  <cp:lastModifiedBy>Billie Jo Jay</cp:lastModifiedBy>
  <cp:revision>20</cp:revision>
  <dcterms:created xsi:type="dcterms:W3CDTF">2019-12-07T19:31:00Z</dcterms:created>
  <dcterms:modified xsi:type="dcterms:W3CDTF">2019-12-20T22:58:00Z</dcterms:modified>
</cp:coreProperties>
</file>