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93225" w14:textId="4A340189" w:rsidR="00194968" w:rsidRPr="00B0199E" w:rsidRDefault="00194968" w:rsidP="00B0199E">
      <w:pPr>
        <w:spacing w:line="360" w:lineRule="auto"/>
        <w:jc w:val="center"/>
        <w:rPr>
          <w:rFonts w:ascii="Arial" w:eastAsiaTheme="majorEastAsia" w:hAnsi="Arial" w:cs="Arial"/>
          <w:color w:val="000000" w:themeColor="text1"/>
          <w:kern w:val="24"/>
          <w:sz w:val="22"/>
          <w:szCs w:val="22"/>
        </w:rPr>
      </w:pPr>
      <w:r w:rsidRPr="00B0199E">
        <w:rPr>
          <w:rFonts w:ascii="Arial" w:eastAsiaTheme="majorEastAsia" w:hAnsi="Arial" w:cs="Arial"/>
          <w:color w:val="000000" w:themeColor="text1"/>
          <w:kern w:val="24"/>
          <w:sz w:val="22"/>
          <w:szCs w:val="22"/>
        </w:rPr>
        <w:t>Adele McCann – 2416685</w:t>
      </w:r>
      <w:r w:rsidRPr="00B0199E">
        <w:rPr>
          <w:rFonts w:ascii="Arial" w:eastAsiaTheme="majorEastAsia" w:hAnsi="Arial" w:cs="Arial"/>
          <w:color w:val="000000" w:themeColor="text1"/>
          <w:kern w:val="24"/>
          <w:sz w:val="22"/>
          <w:szCs w:val="22"/>
        </w:rPr>
        <w:br/>
      </w:r>
      <w:r w:rsidRPr="00B0199E">
        <w:rPr>
          <w:rFonts w:ascii="Arial" w:hAnsi="Arial" w:cs="Arial"/>
          <w:bCs/>
          <w:sz w:val="22"/>
          <w:szCs w:val="22"/>
        </w:rPr>
        <w:t>Principles of Health and Social Care Practice</w:t>
      </w:r>
      <w:r w:rsidRPr="00B0199E">
        <w:rPr>
          <w:rFonts w:ascii="Arial" w:eastAsiaTheme="majorEastAsia" w:hAnsi="Arial" w:cs="Arial"/>
          <w:color w:val="000000" w:themeColor="text1"/>
          <w:kern w:val="24"/>
          <w:sz w:val="22"/>
          <w:szCs w:val="22"/>
        </w:rPr>
        <w:br/>
        <w:t>(BMHP5016</w:t>
      </w:r>
      <w:r w:rsidRPr="00B0199E">
        <w:rPr>
          <w:rFonts w:ascii="Arial" w:eastAsiaTheme="majorEastAsia" w:hAnsi="Arial" w:cs="Arial"/>
          <w:b/>
          <w:bCs/>
          <w:color w:val="000000" w:themeColor="text1"/>
          <w:kern w:val="24"/>
          <w:sz w:val="22"/>
          <w:szCs w:val="22"/>
        </w:rPr>
        <w:t>_</w:t>
      </w:r>
      <w:r w:rsidRPr="00B0199E">
        <w:rPr>
          <w:rFonts w:ascii="Arial" w:eastAsiaTheme="majorEastAsia" w:hAnsi="Arial" w:cs="Arial"/>
          <w:color w:val="000000" w:themeColor="text1"/>
          <w:kern w:val="24"/>
          <w:sz w:val="22"/>
          <w:szCs w:val="22"/>
        </w:rPr>
        <w:t>BIRM)</w:t>
      </w:r>
      <w:r w:rsidRPr="00B0199E">
        <w:rPr>
          <w:rFonts w:ascii="Arial" w:eastAsiaTheme="majorEastAsia" w:hAnsi="Arial" w:cs="Arial"/>
          <w:color w:val="000000" w:themeColor="text1"/>
          <w:kern w:val="24"/>
          <w:sz w:val="22"/>
          <w:szCs w:val="22"/>
        </w:rPr>
        <w:br/>
        <w:t>Category: Birmingham Campus</w:t>
      </w:r>
      <w:r w:rsidRPr="00B0199E">
        <w:rPr>
          <w:rFonts w:ascii="Arial" w:eastAsiaTheme="majorEastAsia" w:hAnsi="Arial" w:cs="Arial"/>
          <w:color w:val="000000" w:themeColor="text1"/>
          <w:kern w:val="24"/>
          <w:sz w:val="22"/>
          <w:szCs w:val="22"/>
        </w:rPr>
        <w:br/>
        <w:t>Lecturer – Tsiwani Khumalo</w:t>
      </w:r>
      <w:r w:rsidRPr="00B0199E">
        <w:rPr>
          <w:rFonts w:ascii="Arial" w:eastAsiaTheme="majorEastAsia" w:hAnsi="Arial" w:cs="Arial"/>
          <w:color w:val="000000" w:themeColor="text1"/>
          <w:kern w:val="24"/>
          <w:sz w:val="22"/>
          <w:szCs w:val="22"/>
        </w:rPr>
        <w:br/>
        <w:t>Component 2</w:t>
      </w:r>
    </w:p>
    <w:p w14:paraId="6EE08051"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77BF3161" w14:textId="7D95A373" w:rsidR="00504090" w:rsidRPr="00B0199E" w:rsidRDefault="00504090" w:rsidP="00B0199E">
      <w:pPr>
        <w:spacing w:line="360" w:lineRule="auto"/>
        <w:jc w:val="center"/>
        <w:rPr>
          <w:rFonts w:ascii="Arial" w:hAnsi="Arial" w:cs="Arial"/>
          <w:sz w:val="22"/>
          <w:szCs w:val="22"/>
        </w:rPr>
      </w:pPr>
      <w:r w:rsidRPr="00B0199E">
        <w:rPr>
          <w:rFonts w:ascii="Arial" w:hAnsi="Arial" w:cs="Arial"/>
          <w:sz w:val="22"/>
          <w:szCs w:val="22"/>
        </w:rPr>
        <w:t>Report on Person</w:t>
      </w:r>
      <w:r w:rsidRPr="00B0199E">
        <w:rPr>
          <w:rFonts w:ascii="Arial" w:hAnsi="Arial" w:cs="Arial"/>
          <w:sz w:val="22"/>
          <w:szCs w:val="22"/>
        </w:rPr>
        <w:noBreakHyphen/>
        <w:t>Centred Care and Partnership Working in UK Health and Social Care</w:t>
      </w:r>
    </w:p>
    <w:p w14:paraId="6CA2C736" w14:textId="77777777" w:rsidR="00504090" w:rsidRPr="00B0199E" w:rsidRDefault="00504090" w:rsidP="00B0199E">
      <w:pPr>
        <w:spacing w:line="360" w:lineRule="auto"/>
        <w:jc w:val="center"/>
        <w:rPr>
          <w:rFonts w:ascii="Arial" w:hAnsi="Arial" w:cs="Arial"/>
          <w:sz w:val="22"/>
          <w:szCs w:val="22"/>
        </w:rPr>
      </w:pPr>
    </w:p>
    <w:p w14:paraId="028BFFF9"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0720F7CD"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247D854C"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13AB1DA6"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7648E099"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18A7ADA6"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4744CC55"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35A27422"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3323628F"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70C0DA42"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67742AA0"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47E3D3CD"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0157D9B9"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4A7C97B1"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74059228"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62F6082F"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3760FBA2" w14:textId="77777777" w:rsidR="00504090" w:rsidRPr="00B0199E" w:rsidRDefault="00504090" w:rsidP="00B0199E">
      <w:pPr>
        <w:spacing w:line="360" w:lineRule="auto"/>
        <w:jc w:val="center"/>
        <w:rPr>
          <w:rFonts w:ascii="Arial" w:eastAsiaTheme="majorEastAsia" w:hAnsi="Arial" w:cs="Arial"/>
          <w:color w:val="000000" w:themeColor="text1"/>
          <w:kern w:val="24"/>
          <w:sz w:val="22"/>
          <w:szCs w:val="22"/>
        </w:rPr>
      </w:pPr>
    </w:p>
    <w:p w14:paraId="68B65548" w14:textId="77777777" w:rsidR="00504090" w:rsidRPr="00B0199E" w:rsidRDefault="00504090" w:rsidP="00B0199E">
      <w:pPr>
        <w:spacing w:line="360" w:lineRule="auto"/>
        <w:rPr>
          <w:rFonts w:ascii="Arial" w:eastAsiaTheme="majorEastAsia" w:hAnsi="Arial" w:cs="Arial"/>
          <w:color w:val="000000" w:themeColor="text1"/>
          <w:kern w:val="24"/>
          <w:sz w:val="22"/>
          <w:szCs w:val="22"/>
        </w:rPr>
      </w:pPr>
    </w:p>
    <w:p w14:paraId="364C20A2" w14:textId="200D90A3"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lastRenderedPageBreak/>
        <w:t>Introduction</w:t>
      </w:r>
    </w:p>
    <w:p w14:paraId="2091E3B9" w14:textId="45B546FE"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Person</w:t>
      </w:r>
      <w:r w:rsidRPr="00B0199E">
        <w:rPr>
          <w:rFonts w:ascii="Arial" w:hAnsi="Arial" w:cs="Arial"/>
          <w:sz w:val="22"/>
          <w:szCs w:val="22"/>
        </w:rPr>
        <w:noBreakHyphen/>
        <w:t>centred care (PCC) and partnership working (PW) are central principles within UK health and social care practice. Both concepts are embedded in legislation, policy, and professional guidelines, shaping how services are delivered and how professionals collaborate to support individuals. This report evaluates PCC and PW, examines the theories underpinning these approaches, analyses ethical fundamentals, and explores how these components work together in practice. Relevant legislation and policy are discussed throughout, and recommendations for future development are provided.</w:t>
      </w:r>
    </w:p>
    <w:p w14:paraId="021B9406" w14:textId="2F9F1B32"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Defining Person</w:t>
      </w:r>
      <w:r w:rsidRPr="00B0199E">
        <w:rPr>
          <w:rFonts w:ascii="Arial" w:hAnsi="Arial" w:cs="Arial"/>
          <w:b/>
          <w:bCs/>
          <w:sz w:val="22"/>
          <w:szCs w:val="22"/>
        </w:rPr>
        <w:noBreakHyphen/>
        <w:t>Centred Care: Benefits and Limitations</w:t>
      </w:r>
    </w:p>
    <w:p w14:paraId="6970EBB0" w14:textId="4D2DAA8F" w:rsidR="003A4E79" w:rsidRPr="00B0199E" w:rsidRDefault="00504090" w:rsidP="00B0199E">
      <w:pPr>
        <w:spacing w:line="360" w:lineRule="auto"/>
        <w:rPr>
          <w:rFonts w:ascii="Arial" w:hAnsi="Arial" w:cs="Arial"/>
          <w:i/>
          <w:iCs/>
          <w:sz w:val="22"/>
          <w:szCs w:val="22"/>
        </w:rPr>
      </w:pPr>
      <w:r w:rsidRPr="00B0199E">
        <w:rPr>
          <w:rFonts w:ascii="Arial" w:hAnsi="Arial" w:cs="Arial"/>
          <w:sz w:val="22"/>
          <w:szCs w:val="22"/>
        </w:rPr>
        <w:t>Person</w:t>
      </w:r>
      <w:r w:rsidRPr="00B0199E">
        <w:rPr>
          <w:rFonts w:ascii="Arial" w:hAnsi="Arial" w:cs="Arial"/>
          <w:sz w:val="22"/>
          <w:szCs w:val="22"/>
        </w:rPr>
        <w:noBreakHyphen/>
        <w:t xml:space="preserve">centred care refers to an approach that places the individual at the centre of decisions about their care, recognising their preferences, values, and unique circumstances. According to the </w:t>
      </w:r>
      <w:r w:rsidRPr="00B0199E">
        <w:rPr>
          <w:rFonts w:ascii="Arial" w:hAnsi="Arial" w:cs="Arial"/>
          <w:i/>
          <w:iCs/>
          <w:sz w:val="22"/>
          <w:szCs w:val="22"/>
        </w:rPr>
        <w:t>Health Foundation (2016),</w:t>
      </w:r>
      <w:r w:rsidRPr="00B0199E">
        <w:rPr>
          <w:rFonts w:ascii="Arial" w:hAnsi="Arial" w:cs="Arial"/>
          <w:sz w:val="22"/>
          <w:szCs w:val="22"/>
        </w:rPr>
        <w:t xml:space="preserve"> PCC involves “seeing the person as an individual and working collaboratively to tailor care to their needs.” The </w:t>
      </w:r>
      <w:r w:rsidRPr="00B0199E">
        <w:rPr>
          <w:rStyle w:val="Strong"/>
          <w:rFonts w:ascii="Arial" w:hAnsi="Arial" w:cs="Arial"/>
          <w:sz w:val="22"/>
          <w:szCs w:val="22"/>
        </w:rPr>
        <w:t>Care Act 2014</w:t>
      </w:r>
      <w:r w:rsidRPr="00B0199E">
        <w:rPr>
          <w:rFonts w:ascii="Arial" w:hAnsi="Arial" w:cs="Arial"/>
          <w:sz w:val="22"/>
          <w:szCs w:val="22"/>
        </w:rPr>
        <w:t xml:space="preserve"> reinforces this by emphasising wellbeing, choice, and control as core principles </w:t>
      </w:r>
      <w:r w:rsidRPr="00B0199E">
        <w:rPr>
          <w:rFonts w:ascii="Arial" w:hAnsi="Arial" w:cs="Arial"/>
          <w:i/>
          <w:iCs/>
          <w:sz w:val="22"/>
          <w:szCs w:val="22"/>
        </w:rPr>
        <w:t>(Department of Health and Social Care, 2014).</w:t>
      </w:r>
    </w:p>
    <w:p w14:paraId="3223A074" w14:textId="74005E31"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Benefits of PCC</w:t>
      </w:r>
    </w:p>
    <w:p w14:paraId="01C77582" w14:textId="6C320E2D"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PCC offers several advantages. First, it improves service</w:t>
      </w:r>
      <w:r w:rsidRPr="00B0199E">
        <w:rPr>
          <w:rFonts w:ascii="Arial" w:hAnsi="Arial" w:cs="Arial"/>
          <w:sz w:val="22"/>
          <w:szCs w:val="22"/>
        </w:rPr>
        <w:noBreakHyphen/>
        <w:t xml:space="preserve">user satisfaction by promoting autonomy and dignity </w:t>
      </w:r>
      <w:r w:rsidRPr="00B0199E">
        <w:rPr>
          <w:rFonts w:ascii="Arial" w:hAnsi="Arial" w:cs="Arial"/>
          <w:i/>
          <w:iCs/>
          <w:sz w:val="22"/>
          <w:szCs w:val="22"/>
        </w:rPr>
        <w:t xml:space="preserve">(NICE, 2021). </w:t>
      </w:r>
      <w:r w:rsidRPr="00B0199E">
        <w:rPr>
          <w:rFonts w:ascii="Arial" w:hAnsi="Arial" w:cs="Arial"/>
          <w:sz w:val="22"/>
          <w:szCs w:val="22"/>
        </w:rPr>
        <w:t>Second, it enhances health outcomes because individuals are more likely to engage with treatment plans, they have helped design. Third, PCC strengthens trust between professionals and service users, improving communication and reducing anxiety.</w:t>
      </w:r>
    </w:p>
    <w:p w14:paraId="3822429C" w14:textId="77777777" w:rsidR="00504090" w:rsidRPr="00B0199E" w:rsidRDefault="00504090" w:rsidP="00B0199E">
      <w:pPr>
        <w:spacing w:line="360" w:lineRule="auto"/>
        <w:rPr>
          <w:rFonts w:ascii="Arial" w:hAnsi="Arial" w:cs="Arial"/>
          <w:sz w:val="22"/>
          <w:szCs w:val="22"/>
        </w:rPr>
      </w:pPr>
    </w:p>
    <w:p w14:paraId="7296C1FE" w14:textId="68191823"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Limitations of PCC</w:t>
      </w:r>
    </w:p>
    <w:p w14:paraId="30EAB16F" w14:textId="138845AB"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 xml:space="preserve">Despite its benefits, PCC has limitations. Time constraints, staff shortages, and high caseloads can make personalised care difficult to deliver consistently </w:t>
      </w:r>
      <w:r w:rsidRPr="00B0199E">
        <w:rPr>
          <w:rFonts w:ascii="Arial" w:hAnsi="Arial" w:cs="Arial"/>
          <w:i/>
          <w:iCs/>
          <w:sz w:val="22"/>
          <w:szCs w:val="22"/>
        </w:rPr>
        <w:t xml:space="preserve">(Coulter and Oldham, 2016). </w:t>
      </w:r>
      <w:r w:rsidRPr="00B0199E">
        <w:rPr>
          <w:rFonts w:ascii="Arial" w:hAnsi="Arial" w:cs="Arial"/>
          <w:sz w:val="22"/>
          <w:szCs w:val="22"/>
        </w:rPr>
        <w:t>Additionally, individuals with cognitive impairments or communication difficulties may struggle to express preferences, requiring professionals to balance autonomy with safeguarding responsibilities. Organisational pressures, such as targets and limited resources, can also restrict the extent to which PCC is implemented in practice.</w:t>
      </w:r>
    </w:p>
    <w:p w14:paraId="13991B89" w14:textId="19C42A05"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Theory Underpinning Person</w:t>
      </w:r>
      <w:r w:rsidRPr="00B0199E">
        <w:rPr>
          <w:rFonts w:ascii="Arial" w:hAnsi="Arial" w:cs="Arial"/>
          <w:b/>
          <w:bCs/>
          <w:sz w:val="22"/>
          <w:szCs w:val="22"/>
        </w:rPr>
        <w:noBreakHyphen/>
        <w:t>Centred Care</w:t>
      </w:r>
    </w:p>
    <w:p w14:paraId="78CC9BA1" w14:textId="365400B5"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 xml:space="preserve">A relevant theory underpinning PCC is </w:t>
      </w:r>
      <w:r w:rsidRPr="00B0199E">
        <w:rPr>
          <w:rStyle w:val="Strong"/>
          <w:rFonts w:ascii="Arial" w:hAnsi="Arial" w:cs="Arial"/>
          <w:sz w:val="22"/>
          <w:szCs w:val="22"/>
        </w:rPr>
        <w:t>Maslow’s Hierarchy of Needs</w:t>
      </w:r>
      <w:r w:rsidRPr="00B0199E">
        <w:rPr>
          <w:rFonts w:ascii="Arial" w:hAnsi="Arial" w:cs="Arial"/>
          <w:sz w:val="22"/>
          <w:szCs w:val="22"/>
        </w:rPr>
        <w:t xml:space="preserve">. </w:t>
      </w:r>
      <w:r w:rsidRPr="00B0199E">
        <w:rPr>
          <w:rFonts w:ascii="Arial" w:hAnsi="Arial" w:cs="Arial"/>
          <w:i/>
          <w:iCs/>
          <w:sz w:val="22"/>
          <w:szCs w:val="22"/>
        </w:rPr>
        <w:t>Maslow (1943)</w:t>
      </w:r>
      <w:r w:rsidRPr="00B0199E">
        <w:rPr>
          <w:rFonts w:ascii="Arial" w:hAnsi="Arial" w:cs="Arial"/>
          <w:sz w:val="22"/>
          <w:szCs w:val="22"/>
        </w:rPr>
        <w:t xml:space="preserve"> argues that individuals have a series of needs—physiological, safety, love/belonging, </w:t>
      </w:r>
      <w:r w:rsidRPr="00B0199E">
        <w:rPr>
          <w:rFonts w:ascii="Arial" w:hAnsi="Arial" w:cs="Arial"/>
          <w:sz w:val="22"/>
          <w:szCs w:val="22"/>
        </w:rPr>
        <w:lastRenderedPageBreak/>
        <w:t>esteem, and self</w:t>
      </w:r>
      <w:r w:rsidRPr="00B0199E">
        <w:rPr>
          <w:rFonts w:ascii="Arial" w:hAnsi="Arial" w:cs="Arial"/>
          <w:sz w:val="22"/>
          <w:szCs w:val="22"/>
        </w:rPr>
        <w:noBreakHyphen/>
        <w:t>actualisation—that must be met to achieve wellbeing. PCC aligns with this model by recognising that individuals require holistic support, not just clinical intervention.</w:t>
      </w:r>
    </w:p>
    <w:p w14:paraId="37503A1A" w14:textId="77777777" w:rsidR="00504090" w:rsidRPr="00B0199E" w:rsidRDefault="00504090" w:rsidP="00B0199E">
      <w:pPr>
        <w:pStyle w:val="NormalWeb"/>
        <w:spacing w:line="360" w:lineRule="auto"/>
        <w:rPr>
          <w:rFonts w:ascii="Arial" w:hAnsi="Arial" w:cs="Arial"/>
          <w:sz w:val="22"/>
          <w:szCs w:val="22"/>
        </w:rPr>
      </w:pPr>
      <w:r w:rsidRPr="00B0199E">
        <w:rPr>
          <w:rFonts w:ascii="Arial" w:hAnsi="Arial" w:cs="Arial"/>
          <w:sz w:val="22"/>
          <w:szCs w:val="22"/>
        </w:rPr>
        <w:t>For example:</w:t>
      </w:r>
    </w:p>
    <w:p w14:paraId="1BD1C96B" w14:textId="77777777" w:rsidR="00504090" w:rsidRPr="00B0199E" w:rsidRDefault="00504090" w:rsidP="00B0199E">
      <w:pPr>
        <w:pStyle w:val="NormalWeb"/>
        <w:numPr>
          <w:ilvl w:val="0"/>
          <w:numId w:val="1"/>
        </w:numPr>
        <w:spacing w:line="360" w:lineRule="auto"/>
        <w:rPr>
          <w:rFonts w:ascii="Arial" w:hAnsi="Arial" w:cs="Arial"/>
          <w:sz w:val="22"/>
          <w:szCs w:val="22"/>
        </w:rPr>
      </w:pPr>
      <w:r w:rsidRPr="00B0199E">
        <w:rPr>
          <w:rFonts w:ascii="Arial" w:hAnsi="Arial" w:cs="Arial"/>
          <w:sz w:val="22"/>
          <w:szCs w:val="22"/>
        </w:rPr>
        <w:t xml:space="preserve">Meeting </w:t>
      </w:r>
      <w:r w:rsidRPr="00B0199E">
        <w:rPr>
          <w:rStyle w:val="Strong"/>
          <w:rFonts w:ascii="Arial" w:eastAsiaTheme="majorEastAsia" w:hAnsi="Arial" w:cs="Arial"/>
          <w:sz w:val="22"/>
          <w:szCs w:val="22"/>
        </w:rPr>
        <w:t>physiological needs</w:t>
      </w:r>
      <w:r w:rsidRPr="00B0199E">
        <w:rPr>
          <w:rFonts w:ascii="Arial" w:hAnsi="Arial" w:cs="Arial"/>
          <w:sz w:val="22"/>
          <w:szCs w:val="22"/>
        </w:rPr>
        <w:t xml:space="preserve"> involves ensuring access to food, medication, and physical comfort.</w:t>
      </w:r>
    </w:p>
    <w:p w14:paraId="5A28DCC5" w14:textId="77777777" w:rsidR="00504090" w:rsidRPr="00B0199E" w:rsidRDefault="00504090" w:rsidP="00B0199E">
      <w:pPr>
        <w:pStyle w:val="NormalWeb"/>
        <w:numPr>
          <w:ilvl w:val="0"/>
          <w:numId w:val="1"/>
        </w:numPr>
        <w:spacing w:line="360" w:lineRule="auto"/>
        <w:rPr>
          <w:rFonts w:ascii="Arial" w:hAnsi="Arial" w:cs="Arial"/>
          <w:sz w:val="22"/>
          <w:szCs w:val="22"/>
        </w:rPr>
      </w:pPr>
      <w:r w:rsidRPr="00B0199E">
        <w:rPr>
          <w:rFonts w:ascii="Arial" w:hAnsi="Arial" w:cs="Arial"/>
          <w:sz w:val="22"/>
          <w:szCs w:val="22"/>
        </w:rPr>
        <w:t xml:space="preserve">Addressing </w:t>
      </w:r>
      <w:r w:rsidRPr="00B0199E">
        <w:rPr>
          <w:rStyle w:val="Strong"/>
          <w:rFonts w:ascii="Arial" w:eastAsiaTheme="majorEastAsia" w:hAnsi="Arial" w:cs="Arial"/>
          <w:sz w:val="22"/>
          <w:szCs w:val="22"/>
        </w:rPr>
        <w:t>safety needs</w:t>
      </w:r>
      <w:r w:rsidRPr="00B0199E">
        <w:rPr>
          <w:rFonts w:ascii="Arial" w:hAnsi="Arial" w:cs="Arial"/>
          <w:sz w:val="22"/>
          <w:szCs w:val="22"/>
        </w:rPr>
        <w:t xml:space="preserve"> includes safeguarding, emotional security, and stable housing.</w:t>
      </w:r>
    </w:p>
    <w:p w14:paraId="6CAA55AB" w14:textId="77777777" w:rsidR="00504090" w:rsidRPr="00B0199E" w:rsidRDefault="00504090" w:rsidP="00B0199E">
      <w:pPr>
        <w:pStyle w:val="NormalWeb"/>
        <w:numPr>
          <w:ilvl w:val="0"/>
          <w:numId w:val="1"/>
        </w:numPr>
        <w:spacing w:line="360" w:lineRule="auto"/>
        <w:rPr>
          <w:rFonts w:ascii="Arial" w:hAnsi="Arial" w:cs="Arial"/>
          <w:sz w:val="22"/>
          <w:szCs w:val="22"/>
        </w:rPr>
      </w:pPr>
      <w:r w:rsidRPr="00B0199E">
        <w:rPr>
          <w:rFonts w:ascii="Arial" w:hAnsi="Arial" w:cs="Arial"/>
          <w:sz w:val="22"/>
          <w:szCs w:val="22"/>
        </w:rPr>
        <w:t xml:space="preserve">Supporting </w:t>
      </w:r>
      <w:r w:rsidRPr="00B0199E">
        <w:rPr>
          <w:rStyle w:val="Strong"/>
          <w:rFonts w:ascii="Arial" w:eastAsiaTheme="majorEastAsia" w:hAnsi="Arial" w:cs="Arial"/>
          <w:sz w:val="22"/>
          <w:szCs w:val="22"/>
        </w:rPr>
        <w:t>esteem and belonging</w:t>
      </w:r>
      <w:r w:rsidRPr="00B0199E">
        <w:rPr>
          <w:rFonts w:ascii="Arial" w:hAnsi="Arial" w:cs="Arial"/>
          <w:sz w:val="22"/>
          <w:szCs w:val="22"/>
        </w:rPr>
        <w:t xml:space="preserve"> involves respectful communication and valuing the individual’s identity.</w:t>
      </w:r>
    </w:p>
    <w:p w14:paraId="5DA574BC" w14:textId="77777777" w:rsidR="00504090" w:rsidRPr="00B0199E" w:rsidRDefault="00504090" w:rsidP="00B0199E">
      <w:pPr>
        <w:pStyle w:val="NormalWeb"/>
        <w:spacing w:line="360" w:lineRule="auto"/>
        <w:rPr>
          <w:rFonts w:ascii="Arial" w:hAnsi="Arial" w:cs="Arial"/>
          <w:sz w:val="22"/>
          <w:szCs w:val="22"/>
        </w:rPr>
      </w:pPr>
      <w:r w:rsidRPr="00B0199E">
        <w:rPr>
          <w:rFonts w:ascii="Arial" w:hAnsi="Arial" w:cs="Arial"/>
          <w:sz w:val="22"/>
          <w:szCs w:val="22"/>
        </w:rPr>
        <w:t>Maslow’s theory helps professionals understand the broader context of a person’s life, reinforcing the importance of personalised, holistic care.</w:t>
      </w:r>
    </w:p>
    <w:p w14:paraId="1467C453" w14:textId="7A81B844"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Ethical Fundamentals of Health and Social Care</w:t>
      </w:r>
    </w:p>
    <w:p w14:paraId="08ED49B0" w14:textId="7F2FA150"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Ethics underpin all aspects of health and social care practice. Four key ethical principles are widely recognised:</w:t>
      </w:r>
    </w:p>
    <w:p w14:paraId="3AB6CD7B" w14:textId="51B3FE27"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 xml:space="preserve">Respecting an individual’s right to make decisions about their own care </w:t>
      </w:r>
      <w:r w:rsidRPr="00B0199E">
        <w:rPr>
          <w:rFonts w:ascii="Arial" w:hAnsi="Arial" w:cs="Arial"/>
          <w:i/>
          <w:iCs/>
          <w:sz w:val="22"/>
          <w:szCs w:val="22"/>
        </w:rPr>
        <w:t xml:space="preserve">(Beauchamp and Childress, 2019). </w:t>
      </w:r>
      <w:r w:rsidRPr="00B0199E">
        <w:rPr>
          <w:rFonts w:ascii="Arial" w:hAnsi="Arial" w:cs="Arial"/>
          <w:sz w:val="22"/>
          <w:szCs w:val="22"/>
        </w:rPr>
        <w:t>This is central to PCC.</w:t>
      </w:r>
    </w:p>
    <w:p w14:paraId="45ED8A6D" w14:textId="5C3DD2D4"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Beneficence</w:t>
      </w:r>
    </w:p>
    <w:p w14:paraId="6F5BEBFD" w14:textId="14AF3094"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Acting in the best interests of the individual by promoting wellbeing.</w:t>
      </w:r>
    </w:p>
    <w:p w14:paraId="17890598" w14:textId="35AA162B"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Non</w:t>
      </w:r>
      <w:r w:rsidRPr="00B0199E">
        <w:rPr>
          <w:rFonts w:ascii="Arial" w:hAnsi="Arial" w:cs="Arial"/>
          <w:b/>
          <w:bCs/>
          <w:sz w:val="22"/>
          <w:szCs w:val="22"/>
        </w:rPr>
        <w:noBreakHyphen/>
        <w:t>maleficence</w:t>
      </w:r>
    </w:p>
    <w:p w14:paraId="2A4AD45B" w14:textId="342B4EA9"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Avoiding harm, including emotional, physical, or psychological harm.</w:t>
      </w:r>
    </w:p>
    <w:p w14:paraId="6323B4C6" w14:textId="49D5119B" w:rsidR="00504090" w:rsidRPr="00B0199E" w:rsidRDefault="00504090" w:rsidP="00B0199E">
      <w:pPr>
        <w:spacing w:line="360" w:lineRule="auto"/>
        <w:rPr>
          <w:rFonts w:ascii="Arial" w:hAnsi="Arial" w:cs="Arial"/>
          <w:b/>
          <w:bCs/>
          <w:sz w:val="22"/>
          <w:szCs w:val="22"/>
        </w:rPr>
      </w:pPr>
      <w:r w:rsidRPr="00B0199E">
        <w:rPr>
          <w:rFonts w:ascii="Arial" w:hAnsi="Arial" w:cs="Arial"/>
          <w:b/>
          <w:bCs/>
          <w:sz w:val="22"/>
          <w:szCs w:val="22"/>
        </w:rPr>
        <w:t>Justice</w:t>
      </w:r>
    </w:p>
    <w:p w14:paraId="1B7EA241" w14:textId="48401F6D" w:rsidR="00504090" w:rsidRPr="00B0199E" w:rsidRDefault="00504090" w:rsidP="00B0199E">
      <w:pPr>
        <w:spacing w:line="360" w:lineRule="auto"/>
        <w:rPr>
          <w:rFonts w:ascii="Arial" w:hAnsi="Arial" w:cs="Arial"/>
          <w:sz w:val="22"/>
          <w:szCs w:val="22"/>
        </w:rPr>
      </w:pPr>
      <w:r w:rsidRPr="00B0199E">
        <w:rPr>
          <w:rFonts w:ascii="Arial" w:hAnsi="Arial" w:cs="Arial"/>
          <w:sz w:val="22"/>
          <w:szCs w:val="22"/>
        </w:rPr>
        <w:t>Ensuring fairness, equality, and non</w:t>
      </w:r>
      <w:r w:rsidRPr="00B0199E">
        <w:rPr>
          <w:rFonts w:ascii="Arial" w:hAnsi="Arial" w:cs="Arial"/>
          <w:sz w:val="22"/>
          <w:szCs w:val="22"/>
        </w:rPr>
        <w:noBreakHyphen/>
        <w:t>discriminatory practice.</w:t>
      </w:r>
    </w:p>
    <w:p w14:paraId="6C7342D6" w14:textId="29C12937" w:rsidR="00504090" w:rsidRPr="00B0199E" w:rsidRDefault="00B607DD" w:rsidP="00B0199E">
      <w:pPr>
        <w:spacing w:line="360" w:lineRule="auto"/>
        <w:rPr>
          <w:rFonts w:ascii="Arial" w:hAnsi="Arial" w:cs="Arial"/>
          <w:i/>
          <w:iCs/>
          <w:sz w:val="22"/>
          <w:szCs w:val="22"/>
        </w:rPr>
      </w:pPr>
      <w:r w:rsidRPr="00B0199E">
        <w:rPr>
          <w:rFonts w:ascii="Arial" w:hAnsi="Arial" w:cs="Arial"/>
          <w:sz w:val="22"/>
          <w:szCs w:val="22"/>
        </w:rPr>
        <w:t xml:space="preserve">These principles are embedded in professional codes such as the </w:t>
      </w:r>
      <w:r w:rsidRPr="00B0199E">
        <w:rPr>
          <w:rStyle w:val="Strong"/>
          <w:rFonts w:ascii="Arial" w:hAnsi="Arial" w:cs="Arial"/>
          <w:sz w:val="22"/>
          <w:szCs w:val="22"/>
        </w:rPr>
        <w:t>NMC Code</w:t>
      </w:r>
      <w:r w:rsidRPr="00B0199E">
        <w:rPr>
          <w:rFonts w:ascii="Arial" w:hAnsi="Arial" w:cs="Arial"/>
          <w:sz w:val="22"/>
          <w:szCs w:val="22"/>
        </w:rPr>
        <w:t xml:space="preserve"> </w:t>
      </w:r>
      <w:r w:rsidRPr="00B0199E">
        <w:rPr>
          <w:rFonts w:ascii="Arial" w:hAnsi="Arial" w:cs="Arial"/>
          <w:i/>
          <w:iCs/>
          <w:sz w:val="22"/>
          <w:szCs w:val="22"/>
        </w:rPr>
        <w:t xml:space="preserve">(NMC, 2018) </w:t>
      </w:r>
      <w:r w:rsidRPr="00B0199E">
        <w:rPr>
          <w:rFonts w:ascii="Arial" w:hAnsi="Arial" w:cs="Arial"/>
          <w:sz w:val="22"/>
          <w:szCs w:val="22"/>
        </w:rPr>
        <w:t xml:space="preserve">and the </w:t>
      </w:r>
      <w:r w:rsidRPr="00B0199E">
        <w:rPr>
          <w:rStyle w:val="Strong"/>
          <w:rFonts w:ascii="Arial" w:hAnsi="Arial" w:cs="Arial"/>
          <w:sz w:val="22"/>
          <w:szCs w:val="22"/>
        </w:rPr>
        <w:t>HCPC Standards of Conduct</w:t>
      </w:r>
      <w:r w:rsidRPr="00B0199E">
        <w:rPr>
          <w:rFonts w:ascii="Arial" w:hAnsi="Arial" w:cs="Arial"/>
          <w:sz w:val="22"/>
          <w:szCs w:val="22"/>
        </w:rPr>
        <w:t xml:space="preserve"> </w:t>
      </w:r>
      <w:r w:rsidRPr="00B0199E">
        <w:rPr>
          <w:rFonts w:ascii="Arial" w:hAnsi="Arial" w:cs="Arial"/>
          <w:i/>
          <w:iCs/>
          <w:sz w:val="22"/>
          <w:szCs w:val="22"/>
        </w:rPr>
        <w:t>(HCPC, 2016).</w:t>
      </w:r>
      <w:r w:rsidRPr="00B0199E">
        <w:rPr>
          <w:rFonts w:ascii="Arial" w:hAnsi="Arial" w:cs="Arial"/>
          <w:sz w:val="22"/>
          <w:szCs w:val="22"/>
        </w:rPr>
        <w:t xml:space="preserve"> The </w:t>
      </w:r>
      <w:r w:rsidRPr="00B0199E">
        <w:rPr>
          <w:rStyle w:val="Strong"/>
          <w:rFonts w:ascii="Arial" w:hAnsi="Arial" w:cs="Arial"/>
          <w:sz w:val="22"/>
          <w:szCs w:val="22"/>
        </w:rPr>
        <w:t>Mental Capacity Act 2005</w:t>
      </w:r>
      <w:r w:rsidRPr="00B0199E">
        <w:rPr>
          <w:rFonts w:ascii="Arial" w:hAnsi="Arial" w:cs="Arial"/>
          <w:sz w:val="22"/>
          <w:szCs w:val="22"/>
        </w:rPr>
        <w:t xml:space="preserve"> further provides a legal framework for ethical decision</w:t>
      </w:r>
      <w:r w:rsidRPr="00B0199E">
        <w:rPr>
          <w:rFonts w:ascii="Arial" w:hAnsi="Arial" w:cs="Arial"/>
          <w:sz w:val="22"/>
          <w:szCs w:val="22"/>
        </w:rPr>
        <w:noBreakHyphen/>
        <w:t>making, particularly around consent and best</w:t>
      </w:r>
      <w:r w:rsidRPr="00B0199E">
        <w:rPr>
          <w:rFonts w:ascii="Arial" w:hAnsi="Arial" w:cs="Arial"/>
          <w:sz w:val="22"/>
          <w:szCs w:val="22"/>
        </w:rPr>
        <w:noBreakHyphen/>
        <w:t xml:space="preserve">interest decisions </w:t>
      </w:r>
      <w:r w:rsidRPr="00B0199E">
        <w:rPr>
          <w:rFonts w:ascii="Arial" w:hAnsi="Arial" w:cs="Arial"/>
          <w:i/>
          <w:iCs/>
          <w:sz w:val="22"/>
          <w:szCs w:val="22"/>
        </w:rPr>
        <w:t>(Department of Health, 2005).</w:t>
      </w:r>
    </w:p>
    <w:p w14:paraId="2D2AA6F5" w14:textId="76F8006B" w:rsidR="00B607DD" w:rsidRPr="00B0199E" w:rsidRDefault="00B607DD" w:rsidP="00B0199E">
      <w:pPr>
        <w:spacing w:line="360" w:lineRule="auto"/>
        <w:rPr>
          <w:rFonts w:ascii="Arial" w:hAnsi="Arial" w:cs="Arial"/>
          <w:sz w:val="22"/>
          <w:szCs w:val="22"/>
        </w:rPr>
      </w:pPr>
      <w:r w:rsidRPr="00B0199E">
        <w:rPr>
          <w:rFonts w:ascii="Arial" w:hAnsi="Arial" w:cs="Arial"/>
          <w:sz w:val="22"/>
          <w:szCs w:val="22"/>
        </w:rPr>
        <w:t>Ethical practice ensures that PCC and PW are delivered responsibly, transparently, and with respect for human rights.</w:t>
      </w:r>
    </w:p>
    <w:p w14:paraId="65EA7FD9" w14:textId="5CB01572" w:rsidR="00B607DD" w:rsidRPr="00B0199E" w:rsidRDefault="00B607DD" w:rsidP="00B0199E">
      <w:pPr>
        <w:spacing w:line="360" w:lineRule="auto"/>
        <w:rPr>
          <w:rFonts w:ascii="Arial" w:hAnsi="Arial" w:cs="Arial"/>
          <w:b/>
          <w:bCs/>
          <w:sz w:val="22"/>
          <w:szCs w:val="22"/>
        </w:rPr>
      </w:pPr>
      <w:r w:rsidRPr="00B0199E">
        <w:rPr>
          <w:rFonts w:ascii="Arial" w:hAnsi="Arial" w:cs="Arial"/>
          <w:b/>
          <w:bCs/>
          <w:sz w:val="22"/>
          <w:szCs w:val="22"/>
        </w:rPr>
        <w:t>Evaluating Partnership Working in Health and Social Care</w:t>
      </w:r>
    </w:p>
    <w:p w14:paraId="2497CCCC" w14:textId="45EC0A57" w:rsidR="00B607DD" w:rsidRPr="00B0199E" w:rsidRDefault="00B607DD" w:rsidP="00B0199E">
      <w:pPr>
        <w:spacing w:line="360" w:lineRule="auto"/>
        <w:rPr>
          <w:rFonts w:ascii="Arial" w:hAnsi="Arial" w:cs="Arial"/>
          <w:sz w:val="22"/>
          <w:szCs w:val="22"/>
        </w:rPr>
      </w:pPr>
      <w:r w:rsidRPr="00B0199E">
        <w:rPr>
          <w:rFonts w:ascii="Arial" w:hAnsi="Arial" w:cs="Arial"/>
          <w:sz w:val="22"/>
          <w:szCs w:val="22"/>
        </w:rPr>
        <w:lastRenderedPageBreak/>
        <w:t xml:space="preserve">Partnership working involves collaboration between professionals, agencies, service users, and families to provide coordinated and holistic support. According to </w:t>
      </w:r>
      <w:r w:rsidRPr="00B0199E">
        <w:rPr>
          <w:rFonts w:ascii="Arial" w:hAnsi="Arial" w:cs="Arial"/>
          <w:i/>
          <w:iCs/>
          <w:sz w:val="22"/>
          <w:szCs w:val="22"/>
        </w:rPr>
        <w:t>Glasby and Dickinson (2014)</w:t>
      </w:r>
      <w:r w:rsidRPr="00B0199E">
        <w:rPr>
          <w:rFonts w:ascii="Arial" w:hAnsi="Arial" w:cs="Arial"/>
          <w:sz w:val="22"/>
          <w:szCs w:val="22"/>
        </w:rPr>
        <w:t>, PW aims to “bring together different perspectives, skills and resources to achieve better outcomes.”</w:t>
      </w:r>
    </w:p>
    <w:p w14:paraId="31644762" w14:textId="75735241" w:rsidR="00B0199E" w:rsidRPr="00B0199E" w:rsidRDefault="00B0199E" w:rsidP="00B0199E">
      <w:pPr>
        <w:spacing w:line="360" w:lineRule="auto"/>
        <w:rPr>
          <w:rFonts w:ascii="Arial" w:hAnsi="Arial" w:cs="Arial"/>
          <w:b/>
          <w:bCs/>
          <w:sz w:val="22"/>
          <w:szCs w:val="22"/>
        </w:rPr>
      </w:pPr>
      <w:r w:rsidRPr="00B0199E">
        <w:rPr>
          <w:rFonts w:ascii="Arial" w:hAnsi="Arial" w:cs="Arial"/>
          <w:b/>
          <w:bCs/>
          <w:sz w:val="22"/>
          <w:szCs w:val="22"/>
        </w:rPr>
        <w:t>Benefits of Partnership Working</w:t>
      </w:r>
    </w:p>
    <w:p w14:paraId="4ADE3BE1" w14:textId="3C87CD62" w:rsidR="00B0199E" w:rsidRPr="00B0199E" w:rsidRDefault="00B0199E" w:rsidP="00B0199E">
      <w:pPr>
        <w:spacing w:line="360" w:lineRule="auto"/>
        <w:rPr>
          <w:rFonts w:ascii="Arial" w:hAnsi="Arial" w:cs="Arial"/>
          <w:sz w:val="22"/>
          <w:szCs w:val="22"/>
        </w:rPr>
      </w:pPr>
      <w:r w:rsidRPr="00B0199E">
        <w:rPr>
          <w:rFonts w:ascii="Arial" w:hAnsi="Arial" w:cs="Arial"/>
          <w:sz w:val="22"/>
          <w:szCs w:val="22"/>
        </w:rPr>
        <w:t>Partnership working offers several important benefits within health and social care. It improves communication between agencies, which helps reduce duplication, prevent errors, and ensure that everyone involved has accurate and up</w:t>
      </w:r>
      <w:r w:rsidRPr="00B0199E">
        <w:rPr>
          <w:rFonts w:ascii="Arial" w:hAnsi="Arial" w:cs="Arial"/>
          <w:sz w:val="22"/>
          <w:szCs w:val="22"/>
        </w:rPr>
        <w:noBreakHyphen/>
        <w:t>to</w:t>
      </w:r>
      <w:r w:rsidRPr="00B0199E">
        <w:rPr>
          <w:rFonts w:ascii="Arial" w:hAnsi="Arial" w:cs="Arial"/>
          <w:sz w:val="22"/>
          <w:szCs w:val="22"/>
        </w:rPr>
        <w:noBreakHyphen/>
        <w:t>date information. Working collaboratively also enables professionals to provide holistic support, addressing not only physical needs but also the emotional and social aspects of a person’s wellbeing. Safeguarding is strengthened through shared information and joint decision</w:t>
      </w:r>
      <w:r w:rsidRPr="00B0199E">
        <w:rPr>
          <w:rFonts w:ascii="Arial" w:hAnsi="Arial" w:cs="Arial"/>
          <w:sz w:val="22"/>
          <w:szCs w:val="22"/>
        </w:rPr>
        <w:noBreakHyphen/>
        <w:t>making, allowing concerns to be identified and acted upon more effectively. In addition, partnership working promotes more efficient use of resources, helping to reduce delays, streamline processes, and improve continuity of care for individuals who rely on multiple services.</w:t>
      </w:r>
    </w:p>
    <w:p w14:paraId="263AD706" w14:textId="3A57BD7F" w:rsidR="00B0199E" w:rsidRPr="00B0199E" w:rsidRDefault="00B607DD" w:rsidP="00B0199E">
      <w:pPr>
        <w:spacing w:line="360" w:lineRule="auto"/>
        <w:rPr>
          <w:rFonts w:ascii="Arial" w:hAnsi="Arial" w:cs="Arial"/>
          <w:b/>
          <w:bCs/>
          <w:sz w:val="22"/>
          <w:szCs w:val="22"/>
        </w:rPr>
      </w:pPr>
      <w:r w:rsidRPr="00B0199E">
        <w:rPr>
          <w:rFonts w:ascii="Arial" w:hAnsi="Arial" w:cs="Arial"/>
          <w:b/>
          <w:bCs/>
          <w:sz w:val="22"/>
          <w:szCs w:val="22"/>
        </w:rPr>
        <w:t>Challenges of Partnership Working</w:t>
      </w:r>
    </w:p>
    <w:p w14:paraId="29EC6273" w14:textId="7903E79B" w:rsidR="00B0199E" w:rsidRPr="00B0199E" w:rsidRDefault="00B0199E" w:rsidP="00B0199E">
      <w:pPr>
        <w:spacing w:line="360" w:lineRule="auto"/>
        <w:rPr>
          <w:rFonts w:ascii="Arial" w:hAnsi="Arial" w:cs="Arial"/>
          <w:b/>
          <w:bCs/>
          <w:sz w:val="22"/>
          <w:szCs w:val="22"/>
        </w:rPr>
      </w:pPr>
      <w:r w:rsidRPr="00B0199E">
        <w:rPr>
          <w:rFonts w:ascii="Arial" w:hAnsi="Arial" w:cs="Arial"/>
          <w:sz w:val="22"/>
          <w:szCs w:val="22"/>
        </w:rPr>
        <w:t>Challenges of partnership working arise for several reasons. Differences in organisational culture or priorities can create conflict between agencies, making it difficult to agree on shared goals or approaches. Communication breakdowns may also occur, which can lead to inconsistent care and misunderstandings about roles or responsibilities. In addition, confidentiality concerns can limit the extent to which information is shared, even when sharing would support better outcomes. Power imbalances between professionals or organisations may further affect decision</w:t>
      </w:r>
      <w:r w:rsidRPr="00B0199E">
        <w:rPr>
          <w:rFonts w:ascii="Arial" w:hAnsi="Arial" w:cs="Arial"/>
          <w:sz w:val="22"/>
          <w:szCs w:val="22"/>
        </w:rPr>
        <w:noBreakHyphen/>
        <w:t xml:space="preserve">making, with some voices dominating discussions more than others. Although the Health and Care Act 2022 introduced Integrated Care Systems (ICSs) to strengthen collaboration across health and social care </w:t>
      </w:r>
      <w:r w:rsidRPr="00B0199E">
        <w:rPr>
          <w:rFonts w:ascii="Arial" w:hAnsi="Arial" w:cs="Arial"/>
          <w:i/>
          <w:iCs/>
          <w:sz w:val="22"/>
          <w:szCs w:val="22"/>
        </w:rPr>
        <w:t>(NHS England, 2022),</w:t>
      </w:r>
      <w:r w:rsidRPr="00B0199E">
        <w:rPr>
          <w:rFonts w:ascii="Arial" w:hAnsi="Arial" w:cs="Arial"/>
          <w:sz w:val="22"/>
          <w:szCs w:val="22"/>
        </w:rPr>
        <w:t xml:space="preserve"> challenges remain, particularly in relation to funding constraints and ongoing workforce pressures.</w:t>
      </w:r>
    </w:p>
    <w:p w14:paraId="39A6E791" w14:textId="48F8967E" w:rsidR="00B607DD" w:rsidRPr="00B0199E" w:rsidRDefault="00B607DD" w:rsidP="00B0199E">
      <w:pPr>
        <w:spacing w:line="360" w:lineRule="auto"/>
        <w:rPr>
          <w:rFonts w:ascii="Arial" w:hAnsi="Arial" w:cs="Arial"/>
          <w:b/>
          <w:bCs/>
          <w:sz w:val="22"/>
          <w:szCs w:val="22"/>
        </w:rPr>
      </w:pPr>
      <w:r w:rsidRPr="00B0199E">
        <w:rPr>
          <w:rFonts w:ascii="Arial" w:hAnsi="Arial" w:cs="Arial"/>
          <w:b/>
          <w:bCs/>
          <w:sz w:val="22"/>
          <w:szCs w:val="22"/>
        </w:rPr>
        <w:t>Application of Partnership Working in Practice</w:t>
      </w:r>
    </w:p>
    <w:p w14:paraId="4C6B4CEB" w14:textId="4120D780" w:rsidR="00B0199E" w:rsidRPr="00B0199E" w:rsidRDefault="00B0199E" w:rsidP="00B0199E">
      <w:pPr>
        <w:spacing w:line="360" w:lineRule="auto"/>
        <w:rPr>
          <w:rFonts w:ascii="Arial" w:hAnsi="Arial" w:cs="Arial"/>
          <w:b/>
          <w:bCs/>
          <w:sz w:val="22"/>
          <w:szCs w:val="22"/>
        </w:rPr>
      </w:pPr>
      <w:r w:rsidRPr="00B0199E">
        <w:rPr>
          <w:rFonts w:ascii="Arial" w:hAnsi="Arial" w:cs="Arial"/>
          <w:sz w:val="22"/>
          <w:szCs w:val="22"/>
        </w:rPr>
        <w:t xml:space="preserve">A practical example of partnership working can be seen in supporting an adult with chronic asthma and anxiety, where the individual required coordinated input from a GP, a respiratory nurse, a social worker, and family members. In this case, the GP provided medical oversight and monitored the individual’s overall health needs, while the respiratory nurse offered education on correct inhaler use and supported the individual in managing their symptoms. The social worker assessed environmental and social factors that might be contributing to the person’s condition, ensuring that wider wellbeing needs were addressed. Family </w:t>
      </w:r>
      <w:r w:rsidRPr="00B0199E">
        <w:rPr>
          <w:rFonts w:ascii="Arial" w:hAnsi="Arial" w:cs="Arial"/>
          <w:sz w:val="22"/>
          <w:szCs w:val="22"/>
        </w:rPr>
        <w:lastRenderedPageBreak/>
        <w:t xml:space="preserve">members also played an important role by sharing insights into the individual’s daily routines and emotional triggers. Throughout the process, information was shared appropriately in line with GDPR requirements to maintain confidentiality while enabling effective collaboration. This coordinated approach ensured that the individual received holistic and consistent support, reflecting the principles outlined in </w:t>
      </w:r>
      <w:r w:rsidRPr="00B0199E">
        <w:rPr>
          <w:rStyle w:val="Emphasis"/>
          <w:rFonts w:ascii="Arial" w:hAnsi="Arial" w:cs="Arial"/>
          <w:sz w:val="22"/>
          <w:szCs w:val="22"/>
        </w:rPr>
        <w:t>Working Together to Safeguard Children</w:t>
      </w:r>
      <w:r w:rsidRPr="00B0199E">
        <w:rPr>
          <w:rFonts w:ascii="Arial" w:hAnsi="Arial" w:cs="Arial"/>
          <w:sz w:val="22"/>
          <w:szCs w:val="22"/>
        </w:rPr>
        <w:t xml:space="preserve"> (2018) and the </w:t>
      </w:r>
      <w:r w:rsidRPr="00B0199E">
        <w:rPr>
          <w:rStyle w:val="Emphasis"/>
          <w:rFonts w:ascii="Arial" w:hAnsi="Arial" w:cs="Arial"/>
          <w:sz w:val="22"/>
          <w:szCs w:val="22"/>
        </w:rPr>
        <w:t>Care Act 2014</w:t>
      </w:r>
      <w:r w:rsidRPr="00B0199E">
        <w:rPr>
          <w:rFonts w:ascii="Arial" w:hAnsi="Arial" w:cs="Arial"/>
          <w:sz w:val="22"/>
          <w:szCs w:val="22"/>
        </w:rPr>
        <w:t>, both of which emphasise the importance of multi</w:t>
      </w:r>
      <w:r w:rsidRPr="00B0199E">
        <w:rPr>
          <w:rFonts w:ascii="Arial" w:hAnsi="Arial" w:cs="Arial"/>
          <w:sz w:val="22"/>
          <w:szCs w:val="22"/>
        </w:rPr>
        <w:noBreakHyphen/>
        <w:t>agency cooperation in achieving positive outcomes.</w:t>
      </w:r>
    </w:p>
    <w:p w14:paraId="163EDC80" w14:textId="7A2B369F" w:rsidR="00B607DD" w:rsidRPr="00B0199E" w:rsidRDefault="00B607DD" w:rsidP="00B0199E">
      <w:pPr>
        <w:spacing w:line="360" w:lineRule="auto"/>
        <w:rPr>
          <w:rFonts w:ascii="Arial" w:hAnsi="Arial" w:cs="Arial"/>
          <w:b/>
          <w:bCs/>
          <w:sz w:val="22"/>
          <w:szCs w:val="22"/>
        </w:rPr>
      </w:pPr>
      <w:r w:rsidRPr="00B0199E">
        <w:rPr>
          <w:rFonts w:ascii="Arial" w:hAnsi="Arial" w:cs="Arial"/>
          <w:b/>
          <w:bCs/>
          <w:sz w:val="22"/>
          <w:szCs w:val="22"/>
        </w:rPr>
        <w:t>Evaluation of the Example</w:t>
      </w:r>
    </w:p>
    <w:p w14:paraId="7AA4F54B" w14:textId="5DE585C3" w:rsidR="00B0199E" w:rsidRPr="00B0199E" w:rsidRDefault="00B0199E" w:rsidP="00B0199E">
      <w:pPr>
        <w:spacing w:line="360" w:lineRule="auto"/>
        <w:rPr>
          <w:rFonts w:ascii="Arial" w:hAnsi="Arial" w:cs="Arial"/>
          <w:b/>
          <w:bCs/>
          <w:sz w:val="22"/>
          <w:szCs w:val="22"/>
        </w:rPr>
      </w:pPr>
      <w:r w:rsidRPr="00B0199E">
        <w:rPr>
          <w:rFonts w:ascii="Arial" w:hAnsi="Arial" w:cs="Arial"/>
          <w:sz w:val="22"/>
          <w:szCs w:val="22"/>
        </w:rPr>
        <w:t>The evaluation of this example highlights several strengths, including improved communication between professionals, reduced duplication of tasks, and increased confidence for the individual receiving support. However, there were also challenges, such as occasional delays in communication between agencies, which emphasise the need for clearer protocols and more effective shared digital systems to support timely information exchange.</w:t>
      </w:r>
    </w:p>
    <w:p w14:paraId="04CF3A6B" w14:textId="5351BB40" w:rsidR="00B607DD" w:rsidRPr="00B0199E" w:rsidRDefault="00B607DD" w:rsidP="00B0199E">
      <w:pPr>
        <w:spacing w:line="360" w:lineRule="auto"/>
        <w:rPr>
          <w:rFonts w:ascii="Arial" w:hAnsi="Arial" w:cs="Arial"/>
          <w:b/>
          <w:bCs/>
          <w:sz w:val="22"/>
          <w:szCs w:val="22"/>
        </w:rPr>
      </w:pPr>
      <w:r w:rsidRPr="00B0199E">
        <w:rPr>
          <w:rFonts w:ascii="Arial" w:hAnsi="Arial" w:cs="Arial"/>
          <w:b/>
          <w:bCs/>
          <w:sz w:val="22"/>
          <w:szCs w:val="22"/>
        </w:rPr>
        <w:t>Policy and Legislation Relating to PCC and PW</w:t>
      </w:r>
    </w:p>
    <w:p w14:paraId="2596B661" w14:textId="77777777" w:rsidR="00B0199E" w:rsidRPr="00B0199E" w:rsidRDefault="00B0199E" w:rsidP="00B0199E">
      <w:pPr>
        <w:pStyle w:val="NormalWeb"/>
        <w:spacing w:line="360" w:lineRule="auto"/>
        <w:rPr>
          <w:rFonts w:ascii="Arial" w:hAnsi="Arial" w:cs="Arial"/>
          <w:sz w:val="22"/>
          <w:szCs w:val="22"/>
        </w:rPr>
      </w:pPr>
      <w:r w:rsidRPr="00B0199E">
        <w:rPr>
          <w:rFonts w:ascii="Arial" w:hAnsi="Arial" w:cs="Arial"/>
          <w:sz w:val="22"/>
          <w:szCs w:val="22"/>
        </w:rPr>
        <w:t>Several key policies and pieces of legislation shape person</w:t>
      </w:r>
      <w:r w:rsidRPr="00B0199E">
        <w:rPr>
          <w:rFonts w:ascii="Arial" w:hAnsi="Arial" w:cs="Arial"/>
          <w:sz w:val="22"/>
          <w:szCs w:val="22"/>
        </w:rPr>
        <w:noBreakHyphen/>
        <w:t xml:space="preserve">centred care (PCC) and partnership working (PW) within the UK. The </w:t>
      </w:r>
      <w:r w:rsidRPr="00B0199E">
        <w:rPr>
          <w:rStyle w:val="Emphasis"/>
          <w:rFonts w:ascii="Arial" w:eastAsiaTheme="majorEastAsia" w:hAnsi="Arial" w:cs="Arial"/>
          <w:sz w:val="22"/>
          <w:szCs w:val="22"/>
        </w:rPr>
        <w:t>Care Act 2014</w:t>
      </w:r>
      <w:r w:rsidRPr="00B0199E">
        <w:rPr>
          <w:rFonts w:ascii="Arial" w:hAnsi="Arial" w:cs="Arial"/>
          <w:sz w:val="22"/>
          <w:szCs w:val="22"/>
        </w:rPr>
        <w:t xml:space="preserve"> emphasises wellbeing, choice, and control, and places a duty on local authorities to promote personalised care and multi</w:t>
      </w:r>
      <w:r w:rsidRPr="00B0199E">
        <w:rPr>
          <w:rFonts w:ascii="Arial" w:hAnsi="Arial" w:cs="Arial"/>
          <w:sz w:val="22"/>
          <w:szCs w:val="22"/>
        </w:rPr>
        <w:noBreakHyphen/>
        <w:t xml:space="preserve">agency collaboration (DHSC, 2014). The </w:t>
      </w:r>
      <w:r w:rsidRPr="00B0199E">
        <w:rPr>
          <w:rStyle w:val="Emphasis"/>
          <w:rFonts w:ascii="Arial" w:eastAsiaTheme="majorEastAsia" w:hAnsi="Arial" w:cs="Arial"/>
          <w:sz w:val="22"/>
          <w:szCs w:val="22"/>
        </w:rPr>
        <w:t>Health and Social Care Act 2012</w:t>
      </w:r>
      <w:r w:rsidRPr="00B0199E">
        <w:rPr>
          <w:rFonts w:ascii="Arial" w:hAnsi="Arial" w:cs="Arial"/>
          <w:sz w:val="22"/>
          <w:szCs w:val="22"/>
        </w:rPr>
        <w:t xml:space="preserve"> further strengthens this by promoting patient involvement and shared decision</w:t>
      </w:r>
      <w:r w:rsidRPr="00B0199E">
        <w:rPr>
          <w:rFonts w:ascii="Arial" w:hAnsi="Arial" w:cs="Arial"/>
          <w:sz w:val="22"/>
          <w:szCs w:val="22"/>
        </w:rPr>
        <w:noBreakHyphen/>
        <w:t xml:space="preserve">making across services (NHS England, 2012). More recently, the </w:t>
      </w:r>
      <w:r w:rsidRPr="00B0199E">
        <w:rPr>
          <w:rStyle w:val="Emphasis"/>
          <w:rFonts w:ascii="Arial" w:eastAsiaTheme="majorEastAsia" w:hAnsi="Arial" w:cs="Arial"/>
          <w:sz w:val="22"/>
          <w:szCs w:val="22"/>
        </w:rPr>
        <w:t>Health and Care Act 2022</w:t>
      </w:r>
      <w:r w:rsidRPr="00B0199E">
        <w:rPr>
          <w:rFonts w:ascii="Arial" w:hAnsi="Arial" w:cs="Arial"/>
          <w:sz w:val="22"/>
          <w:szCs w:val="22"/>
        </w:rPr>
        <w:t xml:space="preserve"> introduced Integrated Care Systems (ICSs) to enhance collaboration between health and social care providers (NHS England, 2022).</w:t>
      </w:r>
    </w:p>
    <w:p w14:paraId="21DF67FA" w14:textId="77777777" w:rsidR="00B0199E" w:rsidRPr="00B0199E" w:rsidRDefault="00B0199E" w:rsidP="00B0199E">
      <w:pPr>
        <w:pStyle w:val="NormalWeb"/>
        <w:spacing w:line="360" w:lineRule="auto"/>
        <w:rPr>
          <w:rFonts w:ascii="Arial" w:hAnsi="Arial" w:cs="Arial"/>
          <w:sz w:val="22"/>
          <w:szCs w:val="22"/>
        </w:rPr>
      </w:pPr>
      <w:r w:rsidRPr="00B0199E">
        <w:rPr>
          <w:rFonts w:ascii="Arial" w:hAnsi="Arial" w:cs="Arial"/>
          <w:sz w:val="22"/>
          <w:szCs w:val="22"/>
        </w:rPr>
        <w:t xml:space="preserve">The </w:t>
      </w:r>
      <w:r w:rsidRPr="00B0199E">
        <w:rPr>
          <w:rStyle w:val="Emphasis"/>
          <w:rFonts w:ascii="Arial" w:eastAsiaTheme="majorEastAsia" w:hAnsi="Arial" w:cs="Arial"/>
          <w:sz w:val="22"/>
          <w:szCs w:val="22"/>
        </w:rPr>
        <w:t>Mental Capacity Act 2005</w:t>
      </w:r>
      <w:r w:rsidRPr="00B0199E">
        <w:rPr>
          <w:rFonts w:ascii="Arial" w:hAnsi="Arial" w:cs="Arial"/>
          <w:sz w:val="22"/>
          <w:szCs w:val="22"/>
        </w:rPr>
        <w:t xml:space="preserve"> provides a legal framework for consent, capacity assessments, and best</w:t>
      </w:r>
      <w:r w:rsidRPr="00B0199E">
        <w:rPr>
          <w:rFonts w:ascii="Arial" w:hAnsi="Arial" w:cs="Arial"/>
          <w:sz w:val="22"/>
          <w:szCs w:val="22"/>
        </w:rPr>
        <w:noBreakHyphen/>
        <w:t>interest decisions, ensuring that individuals’ rights are upheld even when they are unable to make decisions independently (Department of Health, 2005). NICE guidelines also offer evidence</w:t>
      </w:r>
      <w:r w:rsidRPr="00B0199E">
        <w:rPr>
          <w:rFonts w:ascii="Arial" w:hAnsi="Arial" w:cs="Arial"/>
          <w:sz w:val="22"/>
          <w:szCs w:val="22"/>
        </w:rPr>
        <w:noBreakHyphen/>
        <w:t>based recommendations that support the delivery of person</w:t>
      </w:r>
      <w:r w:rsidRPr="00B0199E">
        <w:rPr>
          <w:rFonts w:ascii="Arial" w:hAnsi="Arial" w:cs="Arial"/>
          <w:sz w:val="22"/>
          <w:szCs w:val="22"/>
        </w:rPr>
        <w:noBreakHyphen/>
        <w:t xml:space="preserve">centred and collaborative practice (NICE, 2021). In addition, </w:t>
      </w:r>
      <w:r w:rsidRPr="00B0199E">
        <w:rPr>
          <w:rStyle w:val="Emphasis"/>
          <w:rFonts w:ascii="Arial" w:eastAsiaTheme="majorEastAsia" w:hAnsi="Arial" w:cs="Arial"/>
          <w:sz w:val="22"/>
          <w:szCs w:val="22"/>
        </w:rPr>
        <w:t>Working Together to Safeguard Children</w:t>
      </w:r>
      <w:r w:rsidRPr="00B0199E">
        <w:rPr>
          <w:rFonts w:ascii="Arial" w:hAnsi="Arial" w:cs="Arial"/>
          <w:sz w:val="22"/>
          <w:szCs w:val="22"/>
        </w:rPr>
        <w:t xml:space="preserve"> (2018) sets out statutory expectations for multi</w:t>
      </w:r>
      <w:r w:rsidRPr="00B0199E">
        <w:rPr>
          <w:rFonts w:ascii="Arial" w:hAnsi="Arial" w:cs="Arial"/>
          <w:sz w:val="22"/>
          <w:szCs w:val="22"/>
        </w:rPr>
        <w:noBreakHyphen/>
        <w:t>agency safeguarding and outlines how professionals should work together to protect children and young people (UK Government, 2018).</w:t>
      </w:r>
    </w:p>
    <w:p w14:paraId="12A4B944" w14:textId="77777777" w:rsidR="00B0199E" w:rsidRPr="00B0199E" w:rsidRDefault="00B0199E" w:rsidP="00B0199E">
      <w:pPr>
        <w:pStyle w:val="NormalWeb"/>
        <w:spacing w:line="360" w:lineRule="auto"/>
        <w:rPr>
          <w:rFonts w:ascii="Arial" w:hAnsi="Arial" w:cs="Arial"/>
          <w:sz w:val="22"/>
          <w:szCs w:val="22"/>
        </w:rPr>
      </w:pPr>
      <w:r w:rsidRPr="00B0199E">
        <w:rPr>
          <w:rFonts w:ascii="Arial" w:hAnsi="Arial" w:cs="Arial"/>
          <w:sz w:val="22"/>
          <w:szCs w:val="22"/>
        </w:rPr>
        <w:t>Collectively, these policies and legislative frameworks reinforce the importance of PCC and PW in ensuring that care is safe, effective, ethical, and responsive to individual needs.</w:t>
      </w:r>
    </w:p>
    <w:p w14:paraId="53306F54" w14:textId="77777777" w:rsidR="00B0199E" w:rsidRPr="00B0199E" w:rsidRDefault="00B0199E" w:rsidP="00B0199E">
      <w:pPr>
        <w:spacing w:line="360" w:lineRule="auto"/>
        <w:rPr>
          <w:rFonts w:ascii="Arial" w:hAnsi="Arial" w:cs="Arial"/>
          <w:b/>
          <w:bCs/>
          <w:sz w:val="22"/>
          <w:szCs w:val="22"/>
        </w:rPr>
      </w:pPr>
    </w:p>
    <w:p w14:paraId="70A529CA" w14:textId="580290A0" w:rsidR="003622E2" w:rsidRPr="00B0199E" w:rsidRDefault="003622E2" w:rsidP="00B0199E">
      <w:pPr>
        <w:spacing w:before="100" w:beforeAutospacing="1" w:after="100" w:afterAutospacing="1" w:line="360" w:lineRule="auto"/>
        <w:rPr>
          <w:rFonts w:ascii="Arial" w:hAnsi="Arial" w:cs="Arial"/>
          <w:b/>
          <w:bCs/>
          <w:sz w:val="22"/>
          <w:szCs w:val="22"/>
        </w:rPr>
      </w:pPr>
      <w:r w:rsidRPr="00B0199E">
        <w:rPr>
          <w:rFonts w:ascii="Arial" w:hAnsi="Arial" w:cs="Arial"/>
          <w:b/>
          <w:bCs/>
          <w:sz w:val="22"/>
          <w:szCs w:val="22"/>
        </w:rPr>
        <w:t>Recommendations for Future Development</w:t>
      </w:r>
    </w:p>
    <w:p w14:paraId="2FF11C80" w14:textId="13D6B834" w:rsidR="00B0199E" w:rsidRPr="00B0199E" w:rsidRDefault="00B0199E" w:rsidP="00B0199E">
      <w:pPr>
        <w:spacing w:before="100" w:beforeAutospacing="1" w:after="100" w:afterAutospacing="1" w:line="360" w:lineRule="auto"/>
        <w:rPr>
          <w:rFonts w:ascii="Arial" w:hAnsi="Arial" w:cs="Arial"/>
          <w:b/>
          <w:bCs/>
          <w:sz w:val="22"/>
          <w:szCs w:val="22"/>
        </w:rPr>
      </w:pPr>
      <w:r w:rsidRPr="00B0199E">
        <w:rPr>
          <w:rFonts w:ascii="Arial" w:hAnsi="Arial" w:cs="Arial"/>
          <w:sz w:val="22"/>
          <w:szCs w:val="22"/>
        </w:rPr>
        <w:t>To strengthen person</w:t>
      </w:r>
      <w:r w:rsidRPr="00B0199E">
        <w:rPr>
          <w:rFonts w:ascii="Arial" w:hAnsi="Arial" w:cs="Arial"/>
          <w:sz w:val="22"/>
          <w:szCs w:val="22"/>
        </w:rPr>
        <w:noBreakHyphen/>
        <w:t>centred care (PCC) and partnership working (PW) in the UK, several key developments are recommended. Increasing workforce capacity is essential, as having more staff and reducing caseloads would enable professionals to deliver PCC more consistently and with greater attention to individual needs. Improving digital integration would also support more effective collaboration, as shared digital systems can enhance communication between agencies, reduce delays, and minimise duplication. Expanding training opportunities in PCC, communication, cultural competence, and ethical decision</w:t>
      </w:r>
      <w:r w:rsidRPr="00B0199E">
        <w:rPr>
          <w:rFonts w:ascii="Arial" w:hAnsi="Arial" w:cs="Arial"/>
          <w:sz w:val="22"/>
          <w:szCs w:val="22"/>
        </w:rPr>
        <w:noBreakHyphen/>
        <w:t>making through regular CPD would help ensure that professionals are equipped with the skills required for high</w:t>
      </w:r>
      <w:r w:rsidRPr="00B0199E">
        <w:rPr>
          <w:rFonts w:ascii="Arial" w:hAnsi="Arial" w:cs="Arial"/>
          <w:sz w:val="22"/>
          <w:szCs w:val="22"/>
        </w:rPr>
        <w:noBreakHyphen/>
        <w:t>quality practice. Strengthening service</w:t>
      </w:r>
      <w:r w:rsidRPr="00B0199E">
        <w:rPr>
          <w:rFonts w:ascii="Arial" w:hAnsi="Arial" w:cs="Arial"/>
          <w:sz w:val="22"/>
          <w:szCs w:val="22"/>
        </w:rPr>
        <w:noBreakHyphen/>
        <w:t>user involvement is another important step, as co</w:t>
      </w:r>
      <w:r w:rsidRPr="00B0199E">
        <w:rPr>
          <w:rFonts w:ascii="Arial" w:hAnsi="Arial" w:cs="Arial"/>
          <w:sz w:val="22"/>
          <w:szCs w:val="22"/>
        </w:rPr>
        <w:noBreakHyphen/>
        <w:t>producing care plans and services with individuals would ensure that PCC remains genuinely personalised and responsive. Finally, enhancing funding for community</w:t>
      </w:r>
      <w:r w:rsidRPr="00B0199E">
        <w:rPr>
          <w:rFonts w:ascii="Arial" w:hAnsi="Arial" w:cs="Arial"/>
          <w:sz w:val="22"/>
          <w:szCs w:val="22"/>
        </w:rPr>
        <w:noBreakHyphen/>
        <w:t>based services and early intervention would reduce pressure on acute services and support more preventative, holistic approaches to care.</w:t>
      </w:r>
    </w:p>
    <w:p w14:paraId="3A5DCAEB" w14:textId="3A211E22" w:rsidR="003622E2" w:rsidRPr="00B0199E" w:rsidRDefault="003622E2" w:rsidP="00B0199E">
      <w:pPr>
        <w:spacing w:before="100" w:beforeAutospacing="1" w:after="100" w:afterAutospacing="1" w:line="360" w:lineRule="auto"/>
        <w:rPr>
          <w:rFonts w:ascii="Arial" w:hAnsi="Arial" w:cs="Arial"/>
          <w:b/>
          <w:bCs/>
          <w:sz w:val="22"/>
          <w:szCs w:val="22"/>
        </w:rPr>
      </w:pPr>
      <w:r w:rsidRPr="00B0199E">
        <w:rPr>
          <w:rFonts w:ascii="Arial" w:hAnsi="Arial" w:cs="Arial"/>
          <w:b/>
          <w:bCs/>
          <w:sz w:val="22"/>
          <w:szCs w:val="22"/>
        </w:rPr>
        <w:t>Conclusion</w:t>
      </w:r>
    </w:p>
    <w:p w14:paraId="75B2F294" w14:textId="687E4126" w:rsidR="003622E2" w:rsidRPr="00B0199E" w:rsidRDefault="003622E2" w:rsidP="00B0199E">
      <w:pPr>
        <w:spacing w:before="100" w:beforeAutospacing="1" w:after="100" w:afterAutospacing="1" w:line="360" w:lineRule="auto"/>
        <w:rPr>
          <w:rFonts w:ascii="Arial" w:hAnsi="Arial" w:cs="Arial"/>
          <w:sz w:val="22"/>
          <w:szCs w:val="22"/>
        </w:rPr>
      </w:pPr>
      <w:r w:rsidRPr="00B0199E">
        <w:rPr>
          <w:rFonts w:ascii="Arial" w:hAnsi="Arial" w:cs="Arial"/>
          <w:sz w:val="22"/>
          <w:szCs w:val="22"/>
        </w:rPr>
        <w:t>Person</w:t>
      </w:r>
      <w:r w:rsidRPr="00B0199E">
        <w:rPr>
          <w:rFonts w:ascii="Arial" w:hAnsi="Arial" w:cs="Arial"/>
          <w:sz w:val="22"/>
          <w:szCs w:val="22"/>
        </w:rPr>
        <w:noBreakHyphen/>
        <w:t>centred care and partnership working are essential components of high</w:t>
      </w:r>
      <w:r w:rsidRPr="00B0199E">
        <w:rPr>
          <w:rFonts w:ascii="Arial" w:hAnsi="Arial" w:cs="Arial"/>
          <w:sz w:val="22"/>
          <w:szCs w:val="22"/>
        </w:rPr>
        <w:noBreakHyphen/>
        <w:t>quality health and social care in the UK. PCC promotes dignity, autonomy, and holistic support, while PW ensures coordinated, efficient, and safe care. Both principles are embedded in legislation, policy, and ethical frameworks that guide professional practice. Although challenges remain—such as resource limitations and communication barriers—ongoing development, training, and investment can strengthen these approaches. By continuing to prioritise PCC and PW, the UK can improve outcomes, enhance service</w:t>
      </w:r>
      <w:r w:rsidRPr="00B0199E">
        <w:rPr>
          <w:rFonts w:ascii="Arial" w:hAnsi="Arial" w:cs="Arial"/>
          <w:sz w:val="22"/>
          <w:szCs w:val="22"/>
        </w:rPr>
        <w:noBreakHyphen/>
        <w:t>user experience, and support a more integrated and compassionate care system.</w:t>
      </w:r>
    </w:p>
    <w:p w14:paraId="74E0CE3C" w14:textId="77777777" w:rsidR="003622E2" w:rsidRPr="00B0199E" w:rsidRDefault="003622E2" w:rsidP="00B0199E">
      <w:pPr>
        <w:spacing w:before="100" w:beforeAutospacing="1" w:after="100" w:afterAutospacing="1" w:line="360" w:lineRule="auto"/>
        <w:rPr>
          <w:rFonts w:ascii="Arial" w:hAnsi="Arial" w:cs="Arial"/>
          <w:sz w:val="22"/>
          <w:szCs w:val="22"/>
        </w:rPr>
      </w:pPr>
    </w:p>
    <w:p w14:paraId="24027993" w14:textId="77777777" w:rsidR="003622E2" w:rsidRPr="00B0199E" w:rsidRDefault="003622E2" w:rsidP="00B0199E">
      <w:pPr>
        <w:spacing w:before="100" w:beforeAutospacing="1" w:after="100" w:afterAutospacing="1" w:line="360" w:lineRule="auto"/>
        <w:rPr>
          <w:rFonts w:ascii="Arial" w:hAnsi="Arial" w:cs="Arial"/>
          <w:sz w:val="22"/>
          <w:szCs w:val="22"/>
        </w:rPr>
      </w:pPr>
    </w:p>
    <w:p w14:paraId="015FFD60" w14:textId="77777777" w:rsidR="003622E2" w:rsidRPr="00B0199E" w:rsidRDefault="003622E2" w:rsidP="00B0199E">
      <w:pPr>
        <w:spacing w:before="100" w:beforeAutospacing="1" w:after="100" w:afterAutospacing="1" w:line="360" w:lineRule="auto"/>
        <w:rPr>
          <w:rFonts w:ascii="Arial" w:hAnsi="Arial" w:cs="Arial"/>
          <w:sz w:val="22"/>
          <w:szCs w:val="22"/>
        </w:rPr>
      </w:pPr>
    </w:p>
    <w:p w14:paraId="065D65DE" w14:textId="77777777" w:rsidR="00B0199E" w:rsidRDefault="00B0199E" w:rsidP="00B0199E">
      <w:pPr>
        <w:spacing w:before="100" w:beforeAutospacing="1" w:after="100" w:afterAutospacing="1" w:line="360" w:lineRule="auto"/>
        <w:rPr>
          <w:rFonts w:ascii="Arial" w:hAnsi="Arial" w:cs="Arial"/>
          <w:sz w:val="22"/>
          <w:szCs w:val="22"/>
        </w:rPr>
      </w:pPr>
    </w:p>
    <w:p w14:paraId="1AC4EA72" w14:textId="77777777" w:rsidR="00B0199E" w:rsidRDefault="00B0199E" w:rsidP="00B0199E">
      <w:pPr>
        <w:spacing w:before="100" w:beforeAutospacing="1" w:after="100" w:afterAutospacing="1" w:line="360" w:lineRule="auto"/>
        <w:rPr>
          <w:rFonts w:ascii="Arial" w:hAnsi="Arial" w:cs="Arial"/>
          <w:sz w:val="22"/>
          <w:szCs w:val="22"/>
        </w:rPr>
      </w:pPr>
    </w:p>
    <w:p w14:paraId="2764BDC4" w14:textId="4819A467" w:rsidR="003622E2" w:rsidRPr="00B0199E" w:rsidRDefault="003622E2" w:rsidP="00B0199E">
      <w:pPr>
        <w:spacing w:before="100" w:beforeAutospacing="1" w:after="100" w:afterAutospacing="1" w:line="360" w:lineRule="auto"/>
        <w:rPr>
          <w:rFonts w:ascii="Arial" w:hAnsi="Arial" w:cs="Arial"/>
          <w:b/>
          <w:bCs/>
          <w:sz w:val="22"/>
          <w:szCs w:val="22"/>
        </w:rPr>
      </w:pPr>
      <w:r w:rsidRPr="00B0199E">
        <w:rPr>
          <w:rFonts w:ascii="Arial" w:hAnsi="Arial" w:cs="Arial"/>
          <w:b/>
          <w:bCs/>
          <w:sz w:val="22"/>
          <w:szCs w:val="22"/>
        </w:rPr>
        <w:lastRenderedPageBreak/>
        <w:t xml:space="preserve">Reference list </w:t>
      </w:r>
    </w:p>
    <w:p w14:paraId="150C9E30" w14:textId="77777777"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Beauchamp, T. and Childress, J. (2019) </w:t>
      </w:r>
      <w:r w:rsidRPr="00B0199E">
        <w:rPr>
          <w:rStyle w:val="Emphasis"/>
          <w:rFonts w:ascii="Arial" w:eastAsiaTheme="majorEastAsia" w:hAnsi="Arial" w:cs="Arial"/>
          <w:sz w:val="22"/>
          <w:szCs w:val="22"/>
        </w:rPr>
        <w:t>Principles of Biomedical Ethics</w:t>
      </w:r>
      <w:r w:rsidRPr="00B0199E">
        <w:rPr>
          <w:rFonts w:ascii="Arial" w:hAnsi="Arial" w:cs="Arial"/>
          <w:sz w:val="22"/>
          <w:szCs w:val="22"/>
        </w:rPr>
        <w:t>. 8th edn. Oxford: Oxford University Press, pp. 101–150.</w:t>
      </w:r>
    </w:p>
    <w:p w14:paraId="201D5209" w14:textId="046FD8A9"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Coulter, A. and Oldham, J. (2016) ‘Person</w:t>
      </w:r>
      <w:r w:rsidRPr="00B0199E">
        <w:rPr>
          <w:rFonts w:ascii="Arial" w:hAnsi="Arial" w:cs="Arial"/>
          <w:sz w:val="22"/>
          <w:szCs w:val="22"/>
        </w:rPr>
        <w:noBreakHyphen/>
        <w:t xml:space="preserve">centred care: what is it and how do we get there?’, </w:t>
      </w:r>
      <w:r w:rsidRPr="00B0199E">
        <w:rPr>
          <w:rStyle w:val="Emphasis"/>
          <w:rFonts w:ascii="Arial" w:eastAsiaTheme="majorEastAsia" w:hAnsi="Arial" w:cs="Arial"/>
          <w:sz w:val="22"/>
          <w:szCs w:val="22"/>
        </w:rPr>
        <w:t>Future Hospital Journal</w:t>
      </w:r>
      <w:r w:rsidRPr="00B0199E">
        <w:rPr>
          <w:rFonts w:ascii="Arial" w:hAnsi="Arial" w:cs="Arial"/>
          <w:sz w:val="22"/>
          <w:szCs w:val="22"/>
        </w:rPr>
        <w:t xml:space="preserve">, 3(2), pp. 114–116. Available at: </w:t>
      </w:r>
      <w:r w:rsidRPr="00B0199E">
        <w:rPr>
          <w:rStyle w:val="HTMLCode"/>
          <w:rFonts w:ascii="Arial" w:eastAsiaTheme="majorEastAsia" w:hAnsi="Arial" w:cs="Arial"/>
          <w:sz w:val="22"/>
          <w:szCs w:val="22"/>
        </w:rPr>
        <w:t>https://www.rcpjournals.org/content/futurehosp/3/2/114</w:t>
      </w:r>
      <w:r w:rsidRPr="00B0199E">
        <w:rPr>
          <w:rFonts w:ascii="Arial" w:hAnsi="Arial" w:cs="Arial"/>
          <w:sz w:val="22"/>
          <w:szCs w:val="22"/>
        </w:rPr>
        <w:t xml:space="preserve"> (rcpjournals.org in Bing) (Accessed: </w:t>
      </w:r>
      <w:r w:rsidR="00343515">
        <w:rPr>
          <w:rFonts w:ascii="Arial" w:hAnsi="Arial" w:cs="Arial"/>
          <w:sz w:val="22"/>
          <w:szCs w:val="22"/>
        </w:rPr>
        <w:t>2</w:t>
      </w:r>
      <w:r w:rsidRPr="00B0199E">
        <w:rPr>
          <w:rFonts w:ascii="Arial" w:hAnsi="Arial" w:cs="Arial"/>
          <w:sz w:val="22"/>
          <w:szCs w:val="22"/>
        </w:rPr>
        <w:t>4 March 2026).</w:t>
      </w:r>
    </w:p>
    <w:p w14:paraId="1FE0D865" w14:textId="7DAEE038"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Department of Health (2005) </w:t>
      </w:r>
      <w:r w:rsidRPr="00B0199E">
        <w:rPr>
          <w:rStyle w:val="Emphasis"/>
          <w:rFonts w:ascii="Arial" w:eastAsiaTheme="majorEastAsia" w:hAnsi="Arial" w:cs="Arial"/>
          <w:sz w:val="22"/>
          <w:szCs w:val="22"/>
        </w:rPr>
        <w:t>Mental Capacity Act 2005 Code of Practice</w:t>
      </w:r>
      <w:r w:rsidRPr="00B0199E">
        <w:rPr>
          <w:rFonts w:ascii="Arial" w:hAnsi="Arial" w:cs="Arial"/>
          <w:sz w:val="22"/>
          <w:szCs w:val="22"/>
        </w:rPr>
        <w:t xml:space="preserve">. London: The Stationery Office. Available at: </w:t>
      </w:r>
      <w:r w:rsidRPr="00B0199E">
        <w:rPr>
          <w:rStyle w:val="HTMLCode"/>
          <w:rFonts w:ascii="Arial" w:eastAsiaTheme="majorEastAsia" w:hAnsi="Arial" w:cs="Arial"/>
          <w:sz w:val="22"/>
          <w:szCs w:val="22"/>
        </w:rPr>
        <w:t>https://www.gov.uk/government/publications/mental-capacity-act-code-of-practice</w:t>
      </w:r>
      <w:r w:rsidRPr="00B0199E">
        <w:rPr>
          <w:rFonts w:ascii="Arial" w:hAnsi="Arial" w:cs="Arial"/>
          <w:sz w:val="22"/>
          <w:szCs w:val="22"/>
        </w:rPr>
        <w:t xml:space="preserve"> (gov.uk in Bing) (Accessed: </w:t>
      </w:r>
      <w:r w:rsidR="00343515">
        <w:rPr>
          <w:rFonts w:ascii="Arial" w:hAnsi="Arial" w:cs="Arial"/>
          <w:sz w:val="22"/>
          <w:szCs w:val="22"/>
        </w:rPr>
        <w:t>24</w:t>
      </w:r>
      <w:r w:rsidR="008C3B9E">
        <w:rPr>
          <w:rFonts w:ascii="Arial" w:hAnsi="Arial" w:cs="Arial"/>
          <w:sz w:val="22"/>
          <w:szCs w:val="22"/>
        </w:rPr>
        <w:t xml:space="preserve"> </w:t>
      </w:r>
      <w:r w:rsidRPr="00B0199E">
        <w:rPr>
          <w:rFonts w:ascii="Arial" w:hAnsi="Arial" w:cs="Arial"/>
          <w:sz w:val="22"/>
          <w:szCs w:val="22"/>
        </w:rPr>
        <w:t>March 2026).</w:t>
      </w:r>
    </w:p>
    <w:p w14:paraId="0FDA6C37" w14:textId="025C3ABC"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Department of Health and Social Care (2014) </w:t>
      </w:r>
      <w:r w:rsidRPr="00B0199E">
        <w:rPr>
          <w:rStyle w:val="Emphasis"/>
          <w:rFonts w:ascii="Arial" w:eastAsiaTheme="majorEastAsia" w:hAnsi="Arial" w:cs="Arial"/>
          <w:sz w:val="22"/>
          <w:szCs w:val="22"/>
        </w:rPr>
        <w:t>Care Act 2014: Statutory Guidance</w:t>
      </w:r>
      <w:r w:rsidRPr="00B0199E">
        <w:rPr>
          <w:rFonts w:ascii="Arial" w:hAnsi="Arial" w:cs="Arial"/>
          <w:sz w:val="22"/>
          <w:szCs w:val="22"/>
        </w:rPr>
        <w:t xml:space="preserve">. London: DHSC. Available at: </w:t>
      </w:r>
      <w:r w:rsidRPr="00B0199E">
        <w:rPr>
          <w:rStyle w:val="HTMLCode"/>
          <w:rFonts w:ascii="Arial" w:eastAsiaTheme="majorEastAsia" w:hAnsi="Arial" w:cs="Arial"/>
          <w:sz w:val="22"/>
          <w:szCs w:val="22"/>
        </w:rPr>
        <w:t>https://www.gov.uk/government/publications/care-act-statutory-guidance</w:t>
      </w:r>
      <w:r w:rsidRPr="00B0199E">
        <w:rPr>
          <w:rFonts w:ascii="Arial" w:hAnsi="Arial" w:cs="Arial"/>
          <w:sz w:val="22"/>
          <w:szCs w:val="22"/>
        </w:rPr>
        <w:t xml:space="preserve"> (gov.uk in Bing) (Accessed: </w:t>
      </w:r>
      <w:r w:rsidR="00343515">
        <w:rPr>
          <w:rFonts w:ascii="Arial" w:hAnsi="Arial" w:cs="Arial"/>
          <w:sz w:val="22"/>
          <w:szCs w:val="22"/>
        </w:rPr>
        <w:t xml:space="preserve">26 </w:t>
      </w:r>
      <w:r w:rsidRPr="00B0199E">
        <w:rPr>
          <w:rFonts w:ascii="Arial" w:hAnsi="Arial" w:cs="Arial"/>
          <w:sz w:val="22"/>
          <w:szCs w:val="22"/>
        </w:rPr>
        <w:t>March2026).</w:t>
      </w:r>
    </w:p>
    <w:p w14:paraId="4976456F" w14:textId="77777777"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Glasby, J. and Dickinson, H. (2014) </w:t>
      </w:r>
      <w:r w:rsidRPr="00B0199E">
        <w:rPr>
          <w:rStyle w:val="Emphasis"/>
          <w:rFonts w:ascii="Arial" w:eastAsiaTheme="majorEastAsia" w:hAnsi="Arial" w:cs="Arial"/>
          <w:sz w:val="22"/>
          <w:szCs w:val="22"/>
        </w:rPr>
        <w:t>Partnership Working in Health and Social Care</w:t>
      </w:r>
      <w:r w:rsidRPr="00B0199E">
        <w:rPr>
          <w:rFonts w:ascii="Arial" w:hAnsi="Arial" w:cs="Arial"/>
          <w:sz w:val="22"/>
          <w:szCs w:val="22"/>
        </w:rPr>
        <w:t>. 2nd edn. Bristol: Policy Press, pp. 20–45.</w:t>
      </w:r>
    </w:p>
    <w:p w14:paraId="595289CA" w14:textId="43EB4CFD"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HCPC (2016) </w:t>
      </w:r>
      <w:r w:rsidRPr="00B0199E">
        <w:rPr>
          <w:rStyle w:val="Emphasis"/>
          <w:rFonts w:ascii="Arial" w:eastAsiaTheme="majorEastAsia" w:hAnsi="Arial" w:cs="Arial"/>
          <w:sz w:val="22"/>
          <w:szCs w:val="22"/>
        </w:rPr>
        <w:t>Standards of Conduct, Performance and Ethics</w:t>
      </w:r>
      <w:r w:rsidRPr="00B0199E">
        <w:rPr>
          <w:rFonts w:ascii="Arial" w:hAnsi="Arial" w:cs="Arial"/>
          <w:sz w:val="22"/>
          <w:szCs w:val="22"/>
        </w:rPr>
        <w:t xml:space="preserve">. London: Health and Care Professions Council. Available at: </w:t>
      </w:r>
      <w:r w:rsidRPr="00B0199E">
        <w:rPr>
          <w:rStyle w:val="HTMLCode"/>
          <w:rFonts w:ascii="Arial" w:eastAsiaTheme="majorEastAsia" w:hAnsi="Arial" w:cs="Arial"/>
          <w:sz w:val="22"/>
          <w:szCs w:val="22"/>
        </w:rPr>
        <w:t>https://www.hcpc-uk.org/standards/standards-of-conduct-performance-and-ethics/</w:t>
      </w:r>
      <w:r w:rsidRPr="00B0199E">
        <w:rPr>
          <w:rFonts w:ascii="Arial" w:hAnsi="Arial" w:cs="Arial"/>
          <w:sz w:val="22"/>
          <w:szCs w:val="22"/>
        </w:rPr>
        <w:t xml:space="preserve"> (hcpc-uk.org in Bing) (Accessed: </w:t>
      </w:r>
      <w:r w:rsidR="00343515">
        <w:rPr>
          <w:rFonts w:ascii="Arial" w:hAnsi="Arial" w:cs="Arial"/>
          <w:sz w:val="22"/>
          <w:szCs w:val="22"/>
        </w:rPr>
        <w:t>2</w:t>
      </w:r>
      <w:r w:rsidRPr="00B0199E">
        <w:rPr>
          <w:rFonts w:ascii="Arial" w:hAnsi="Arial" w:cs="Arial"/>
          <w:sz w:val="22"/>
          <w:szCs w:val="22"/>
        </w:rPr>
        <w:t>4 March 2026).</w:t>
      </w:r>
    </w:p>
    <w:p w14:paraId="4E7CFBC0" w14:textId="693C3922"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Maslow, A. (1943) ‘A theory of human motivation’, </w:t>
      </w:r>
      <w:r w:rsidRPr="00B0199E">
        <w:rPr>
          <w:rStyle w:val="Emphasis"/>
          <w:rFonts w:ascii="Arial" w:eastAsiaTheme="majorEastAsia" w:hAnsi="Arial" w:cs="Arial"/>
          <w:sz w:val="22"/>
          <w:szCs w:val="22"/>
        </w:rPr>
        <w:t>Psychological Review</w:t>
      </w:r>
      <w:r w:rsidRPr="00B0199E">
        <w:rPr>
          <w:rFonts w:ascii="Arial" w:hAnsi="Arial" w:cs="Arial"/>
          <w:sz w:val="22"/>
          <w:szCs w:val="22"/>
        </w:rPr>
        <w:t xml:space="preserve">, 50(4), pp. 370–396. Available at: </w:t>
      </w:r>
      <w:r w:rsidRPr="00B0199E">
        <w:rPr>
          <w:rStyle w:val="HTMLCode"/>
          <w:rFonts w:ascii="Arial" w:eastAsiaTheme="majorEastAsia" w:hAnsi="Arial" w:cs="Arial"/>
          <w:sz w:val="22"/>
          <w:szCs w:val="22"/>
        </w:rPr>
        <w:t>https://psychclassics.yorku.ca/Maslow/motivation.htm</w:t>
      </w:r>
      <w:r w:rsidRPr="00B0199E">
        <w:rPr>
          <w:rFonts w:ascii="Arial" w:hAnsi="Arial" w:cs="Arial"/>
          <w:sz w:val="22"/>
          <w:szCs w:val="22"/>
        </w:rPr>
        <w:t xml:space="preserve"> (psychclassics.yorku.ca in Bing) (Accessed: </w:t>
      </w:r>
      <w:r w:rsidR="00343515">
        <w:rPr>
          <w:rFonts w:ascii="Arial" w:hAnsi="Arial" w:cs="Arial"/>
          <w:sz w:val="22"/>
          <w:szCs w:val="22"/>
        </w:rPr>
        <w:t>24</w:t>
      </w:r>
      <w:r w:rsidRPr="00B0199E">
        <w:rPr>
          <w:rFonts w:ascii="Arial" w:hAnsi="Arial" w:cs="Arial"/>
          <w:sz w:val="22"/>
          <w:szCs w:val="22"/>
        </w:rPr>
        <w:t xml:space="preserve"> March 2026).</w:t>
      </w:r>
    </w:p>
    <w:p w14:paraId="2BD2C7C6" w14:textId="38F10851"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NHS England (2012) </w:t>
      </w:r>
      <w:r w:rsidRPr="00B0199E">
        <w:rPr>
          <w:rStyle w:val="Emphasis"/>
          <w:rFonts w:ascii="Arial" w:eastAsiaTheme="majorEastAsia" w:hAnsi="Arial" w:cs="Arial"/>
          <w:sz w:val="22"/>
          <w:szCs w:val="22"/>
        </w:rPr>
        <w:t>Health and Social Care Act 2012 Overview</w:t>
      </w:r>
      <w:r w:rsidRPr="00B0199E">
        <w:rPr>
          <w:rFonts w:ascii="Arial" w:hAnsi="Arial" w:cs="Arial"/>
          <w:sz w:val="22"/>
          <w:szCs w:val="22"/>
        </w:rPr>
        <w:t xml:space="preserve">. London: NHS England. Available at: </w:t>
      </w:r>
      <w:r w:rsidRPr="00B0199E">
        <w:rPr>
          <w:rStyle w:val="HTMLCode"/>
          <w:rFonts w:ascii="Arial" w:eastAsiaTheme="majorEastAsia" w:hAnsi="Arial" w:cs="Arial"/>
          <w:sz w:val="22"/>
          <w:szCs w:val="22"/>
        </w:rPr>
        <w:t>https://www.legislation.gov.uk/ukpga/2012/7/contents</w:t>
      </w:r>
      <w:r w:rsidRPr="00B0199E">
        <w:rPr>
          <w:rFonts w:ascii="Arial" w:hAnsi="Arial" w:cs="Arial"/>
          <w:sz w:val="22"/>
          <w:szCs w:val="22"/>
        </w:rPr>
        <w:t xml:space="preserve"> (legislation.gov.uk in Bing) (Accessed: </w:t>
      </w:r>
      <w:r w:rsidR="00343515">
        <w:rPr>
          <w:rFonts w:ascii="Arial" w:hAnsi="Arial" w:cs="Arial"/>
          <w:sz w:val="22"/>
          <w:szCs w:val="22"/>
        </w:rPr>
        <w:t>2</w:t>
      </w:r>
      <w:r w:rsidRPr="00B0199E">
        <w:rPr>
          <w:rFonts w:ascii="Arial" w:hAnsi="Arial" w:cs="Arial"/>
          <w:sz w:val="22"/>
          <w:szCs w:val="22"/>
        </w:rPr>
        <w:t>4 March 2026).</w:t>
      </w:r>
    </w:p>
    <w:p w14:paraId="5046B44C" w14:textId="483F3A9E"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NHS England (2022) </w:t>
      </w:r>
      <w:r w:rsidRPr="00B0199E">
        <w:rPr>
          <w:rStyle w:val="Emphasis"/>
          <w:rFonts w:ascii="Arial" w:eastAsiaTheme="majorEastAsia" w:hAnsi="Arial" w:cs="Arial"/>
          <w:sz w:val="22"/>
          <w:szCs w:val="22"/>
        </w:rPr>
        <w:t>Health and Care Act 2022: Integrated Care Systems</w:t>
      </w:r>
      <w:r w:rsidRPr="00B0199E">
        <w:rPr>
          <w:rFonts w:ascii="Arial" w:hAnsi="Arial" w:cs="Arial"/>
          <w:sz w:val="22"/>
          <w:szCs w:val="22"/>
        </w:rPr>
        <w:t xml:space="preserve">. London: NHS England. Available at: </w:t>
      </w:r>
      <w:r w:rsidRPr="00B0199E">
        <w:rPr>
          <w:rStyle w:val="HTMLCode"/>
          <w:rFonts w:ascii="Arial" w:eastAsiaTheme="majorEastAsia" w:hAnsi="Arial" w:cs="Arial"/>
          <w:sz w:val="22"/>
          <w:szCs w:val="22"/>
        </w:rPr>
        <w:t>https://www.england.nhs.uk/integratedcare/what-is-integrated-care/</w:t>
      </w:r>
      <w:r w:rsidRPr="00B0199E">
        <w:rPr>
          <w:rFonts w:ascii="Arial" w:hAnsi="Arial" w:cs="Arial"/>
          <w:sz w:val="22"/>
          <w:szCs w:val="22"/>
        </w:rPr>
        <w:t xml:space="preserve"> (england.nhs.uk in Bing) (Accessed: </w:t>
      </w:r>
      <w:r w:rsidR="00343515">
        <w:rPr>
          <w:rFonts w:ascii="Arial" w:hAnsi="Arial" w:cs="Arial"/>
          <w:sz w:val="22"/>
          <w:szCs w:val="22"/>
        </w:rPr>
        <w:t>2</w:t>
      </w:r>
      <w:r w:rsidRPr="00B0199E">
        <w:rPr>
          <w:rFonts w:ascii="Arial" w:hAnsi="Arial" w:cs="Arial"/>
          <w:sz w:val="22"/>
          <w:szCs w:val="22"/>
        </w:rPr>
        <w:t>4 March 2026).</w:t>
      </w:r>
    </w:p>
    <w:p w14:paraId="437F9862" w14:textId="6D5F8232"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lastRenderedPageBreak/>
        <w:t xml:space="preserve">NICE (2021) </w:t>
      </w:r>
      <w:r w:rsidRPr="00B0199E">
        <w:rPr>
          <w:rStyle w:val="Emphasis"/>
          <w:rFonts w:ascii="Arial" w:eastAsiaTheme="majorEastAsia" w:hAnsi="Arial" w:cs="Arial"/>
          <w:sz w:val="22"/>
          <w:szCs w:val="22"/>
        </w:rPr>
        <w:t>Person</w:t>
      </w:r>
      <w:r w:rsidRPr="00B0199E">
        <w:rPr>
          <w:rStyle w:val="Emphasis"/>
          <w:rFonts w:ascii="Arial" w:eastAsiaTheme="majorEastAsia" w:hAnsi="Arial" w:cs="Arial"/>
          <w:sz w:val="22"/>
          <w:szCs w:val="22"/>
        </w:rPr>
        <w:noBreakHyphen/>
        <w:t>centred Care Overview</w:t>
      </w:r>
      <w:r w:rsidRPr="00B0199E">
        <w:rPr>
          <w:rFonts w:ascii="Arial" w:hAnsi="Arial" w:cs="Arial"/>
          <w:sz w:val="22"/>
          <w:szCs w:val="22"/>
        </w:rPr>
        <w:t xml:space="preserve">. London: National Institute for Health and Care Excellence. Available at: </w:t>
      </w:r>
      <w:r w:rsidRPr="00B0199E">
        <w:rPr>
          <w:rStyle w:val="HTMLCode"/>
          <w:rFonts w:ascii="Arial" w:eastAsiaTheme="majorEastAsia" w:hAnsi="Arial" w:cs="Arial"/>
          <w:sz w:val="22"/>
          <w:szCs w:val="22"/>
        </w:rPr>
        <w:t>https://www.nice.org.uk/about/what-we-do/our-programmes/nice-guidance/person-centred-care</w:t>
      </w:r>
      <w:r w:rsidRPr="00B0199E">
        <w:rPr>
          <w:rFonts w:ascii="Arial" w:hAnsi="Arial" w:cs="Arial"/>
          <w:sz w:val="22"/>
          <w:szCs w:val="22"/>
        </w:rPr>
        <w:t xml:space="preserve"> (nice.org.uk in Bing) (Accessed: </w:t>
      </w:r>
      <w:r w:rsidR="00343515">
        <w:rPr>
          <w:rFonts w:ascii="Arial" w:hAnsi="Arial" w:cs="Arial"/>
          <w:sz w:val="22"/>
          <w:szCs w:val="22"/>
        </w:rPr>
        <w:t>23</w:t>
      </w:r>
      <w:r w:rsidRPr="00B0199E">
        <w:rPr>
          <w:rFonts w:ascii="Arial" w:hAnsi="Arial" w:cs="Arial"/>
          <w:sz w:val="22"/>
          <w:szCs w:val="22"/>
        </w:rPr>
        <w:t xml:space="preserve"> March 2026).</w:t>
      </w:r>
    </w:p>
    <w:p w14:paraId="1105BA1A" w14:textId="39923B2D"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NMC (2018) </w:t>
      </w:r>
      <w:r w:rsidRPr="00B0199E">
        <w:rPr>
          <w:rStyle w:val="Emphasis"/>
          <w:rFonts w:ascii="Arial" w:eastAsiaTheme="majorEastAsia" w:hAnsi="Arial" w:cs="Arial"/>
          <w:sz w:val="22"/>
          <w:szCs w:val="22"/>
        </w:rPr>
        <w:t>The Code: Professional Standards of Practice and Behaviour for Nurses, Midwives and Nursing Associates</w:t>
      </w:r>
      <w:r w:rsidRPr="00B0199E">
        <w:rPr>
          <w:rFonts w:ascii="Arial" w:hAnsi="Arial" w:cs="Arial"/>
          <w:sz w:val="22"/>
          <w:szCs w:val="22"/>
        </w:rPr>
        <w:t xml:space="preserve">. London: Nursing and Midwifery Council. Available at: https://www.nmc.org.uk/standards/code/ (Accessed: </w:t>
      </w:r>
      <w:r w:rsidR="00343515">
        <w:rPr>
          <w:rFonts w:ascii="Arial" w:hAnsi="Arial" w:cs="Arial"/>
          <w:sz w:val="22"/>
          <w:szCs w:val="22"/>
        </w:rPr>
        <w:t>23</w:t>
      </w:r>
      <w:r w:rsidRPr="00B0199E">
        <w:rPr>
          <w:rFonts w:ascii="Arial" w:hAnsi="Arial" w:cs="Arial"/>
          <w:sz w:val="22"/>
          <w:szCs w:val="22"/>
        </w:rPr>
        <w:t xml:space="preserve"> March 2026).</w:t>
      </w:r>
    </w:p>
    <w:p w14:paraId="23C12A66" w14:textId="23D1EE85"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The Health Foundation (2016) </w:t>
      </w:r>
      <w:r w:rsidRPr="00B0199E">
        <w:rPr>
          <w:rStyle w:val="Emphasis"/>
          <w:rFonts w:ascii="Arial" w:eastAsiaTheme="majorEastAsia" w:hAnsi="Arial" w:cs="Arial"/>
          <w:sz w:val="22"/>
          <w:szCs w:val="22"/>
        </w:rPr>
        <w:t>Person</w:t>
      </w:r>
      <w:r w:rsidRPr="00B0199E">
        <w:rPr>
          <w:rStyle w:val="Emphasis"/>
          <w:rFonts w:ascii="Arial" w:eastAsiaTheme="majorEastAsia" w:hAnsi="Arial" w:cs="Arial"/>
          <w:sz w:val="22"/>
          <w:szCs w:val="22"/>
        </w:rPr>
        <w:noBreakHyphen/>
        <w:t>centred Care Made Simple</w:t>
      </w:r>
      <w:r w:rsidRPr="00B0199E">
        <w:rPr>
          <w:rFonts w:ascii="Arial" w:hAnsi="Arial" w:cs="Arial"/>
          <w:sz w:val="22"/>
          <w:szCs w:val="22"/>
        </w:rPr>
        <w:t xml:space="preserve">. London: The Health Foundation, pp. 3–12. Available at: </w:t>
      </w:r>
      <w:hyperlink r:id="rId5" w:history="1">
        <w:r w:rsidR="00343515" w:rsidRPr="00F56583">
          <w:rPr>
            <w:rStyle w:val="Hyperlink"/>
            <w:rFonts w:ascii="Arial" w:eastAsiaTheme="majorEastAsia" w:hAnsi="Arial" w:cs="Arial"/>
            <w:sz w:val="22"/>
            <w:szCs w:val="22"/>
          </w:rPr>
          <w:t>https://www.health.org.uk/publications/person-centred-</w:t>
        </w:r>
      </w:hyperlink>
      <w:r w:rsidR="00343515">
        <w:rPr>
          <w:rStyle w:val="HTMLCode"/>
          <w:rFonts w:ascii="Arial" w:eastAsiaTheme="majorEastAsia" w:hAnsi="Arial" w:cs="Arial"/>
          <w:sz w:val="22"/>
          <w:szCs w:val="22"/>
        </w:rPr>
        <w:t xml:space="preserve"> </w:t>
      </w:r>
      <w:r w:rsidRPr="00B0199E">
        <w:rPr>
          <w:rStyle w:val="HTMLCode"/>
          <w:rFonts w:ascii="Arial" w:eastAsiaTheme="majorEastAsia" w:hAnsi="Arial" w:cs="Arial"/>
          <w:sz w:val="22"/>
          <w:szCs w:val="22"/>
        </w:rPr>
        <w:t>care-made-simple</w:t>
      </w:r>
      <w:r w:rsidRPr="00B0199E">
        <w:rPr>
          <w:rFonts w:ascii="Arial" w:hAnsi="Arial" w:cs="Arial"/>
          <w:sz w:val="22"/>
          <w:szCs w:val="22"/>
        </w:rPr>
        <w:t xml:space="preserve"> (health.org.uk in Bing) (Accessed: </w:t>
      </w:r>
      <w:r w:rsidR="00343515">
        <w:rPr>
          <w:rFonts w:ascii="Arial" w:hAnsi="Arial" w:cs="Arial"/>
          <w:sz w:val="22"/>
          <w:szCs w:val="22"/>
        </w:rPr>
        <w:t xml:space="preserve">23 </w:t>
      </w:r>
      <w:r w:rsidRPr="00B0199E">
        <w:rPr>
          <w:rFonts w:ascii="Arial" w:hAnsi="Arial" w:cs="Arial"/>
          <w:sz w:val="22"/>
          <w:szCs w:val="22"/>
        </w:rPr>
        <w:t>March 2026).</w:t>
      </w:r>
    </w:p>
    <w:p w14:paraId="44845250" w14:textId="52DBFC67" w:rsidR="003622E2" w:rsidRPr="00B0199E" w:rsidRDefault="003622E2" w:rsidP="00B0199E">
      <w:pPr>
        <w:pStyle w:val="NormalWeb"/>
        <w:spacing w:line="360" w:lineRule="auto"/>
        <w:rPr>
          <w:rFonts w:ascii="Arial" w:hAnsi="Arial" w:cs="Arial"/>
          <w:sz w:val="22"/>
          <w:szCs w:val="22"/>
        </w:rPr>
      </w:pPr>
      <w:r w:rsidRPr="00B0199E">
        <w:rPr>
          <w:rFonts w:ascii="Arial" w:hAnsi="Arial" w:cs="Arial"/>
          <w:sz w:val="22"/>
          <w:szCs w:val="22"/>
        </w:rPr>
        <w:t xml:space="preserve">UK Government (2018) </w:t>
      </w:r>
      <w:r w:rsidRPr="00B0199E">
        <w:rPr>
          <w:rStyle w:val="Emphasis"/>
          <w:rFonts w:ascii="Arial" w:eastAsiaTheme="majorEastAsia" w:hAnsi="Arial" w:cs="Arial"/>
          <w:sz w:val="22"/>
          <w:szCs w:val="22"/>
        </w:rPr>
        <w:t>Working Together to Safeguard Children</w:t>
      </w:r>
      <w:r w:rsidRPr="00B0199E">
        <w:rPr>
          <w:rFonts w:ascii="Arial" w:hAnsi="Arial" w:cs="Arial"/>
          <w:sz w:val="22"/>
          <w:szCs w:val="22"/>
        </w:rPr>
        <w:t xml:space="preserve">. London: HM Government. Available at: </w:t>
      </w:r>
      <w:r w:rsidRPr="00B0199E">
        <w:rPr>
          <w:rStyle w:val="HTMLCode"/>
          <w:rFonts w:ascii="Arial" w:eastAsiaTheme="majorEastAsia" w:hAnsi="Arial" w:cs="Arial"/>
          <w:sz w:val="22"/>
          <w:szCs w:val="22"/>
        </w:rPr>
        <w:t>https://www.gov.uk/government/publications/working-together-to-safeguard-children--2</w:t>
      </w:r>
      <w:r w:rsidRPr="00B0199E">
        <w:rPr>
          <w:rFonts w:ascii="Arial" w:hAnsi="Arial" w:cs="Arial"/>
          <w:sz w:val="22"/>
          <w:szCs w:val="22"/>
        </w:rPr>
        <w:t xml:space="preserve"> (gov.uk in Bing) (Accessed: </w:t>
      </w:r>
      <w:r w:rsidR="00343515">
        <w:rPr>
          <w:rFonts w:ascii="Arial" w:hAnsi="Arial" w:cs="Arial"/>
          <w:sz w:val="22"/>
          <w:szCs w:val="22"/>
        </w:rPr>
        <w:t>2</w:t>
      </w:r>
      <w:r w:rsidRPr="00B0199E">
        <w:rPr>
          <w:rFonts w:ascii="Arial" w:hAnsi="Arial" w:cs="Arial"/>
          <w:sz w:val="22"/>
          <w:szCs w:val="22"/>
        </w:rPr>
        <w:t>4 March 2026).</w:t>
      </w:r>
    </w:p>
    <w:p w14:paraId="7D3A733B" w14:textId="77777777" w:rsidR="003622E2" w:rsidRPr="00B607DD" w:rsidRDefault="003622E2" w:rsidP="00B607D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5684FB6" w14:textId="77777777" w:rsidR="00B607DD" w:rsidRPr="00B607DD" w:rsidRDefault="00B607DD" w:rsidP="00B607D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5037A47" w14:textId="77777777" w:rsidR="00B607DD" w:rsidRPr="00B607DD" w:rsidRDefault="00B607DD" w:rsidP="00B607D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619F597" w14:textId="77777777" w:rsidR="00B607DD" w:rsidRPr="00B607DD" w:rsidRDefault="00B607DD">
      <w:pPr>
        <w:rPr>
          <w:b/>
          <w:bCs/>
        </w:rPr>
      </w:pPr>
    </w:p>
    <w:sectPr w:rsidR="00B607DD" w:rsidRPr="00B607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6693E"/>
    <w:multiLevelType w:val="multilevel"/>
    <w:tmpl w:val="7AE2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F44F3"/>
    <w:multiLevelType w:val="multilevel"/>
    <w:tmpl w:val="B9B6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376D3F"/>
    <w:multiLevelType w:val="multilevel"/>
    <w:tmpl w:val="8F7A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F269E5"/>
    <w:multiLevelType w:val="multilevel"/>
    <w:tmpl w:val="6E7C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D73A53"/>
    <w:multiLevelType w:val="multilevel"/>
    <w:tmpl w:val="A720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A04A37"/>
    <w:multiLevelType w:val="multilevel"/>
    <w:tmpl w:val="D31A2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893920">
    <w:abstractNumId w:val="4"/>
  </w:num>
  <w:num w:numId="2" w16cid:durableId="76682670">
    <w:abstractNumId w:val="1"/>
  </w:num>
  <w:num w:numId="3" w16cid:durableId="1645768029">
    <w:abstractNumId w:val="0"/>
  </w:num>
  <w:num w:numId="4" w16cid:durableId="1927379527">
    <w:abstractNumId w:val="2"/>
  </w:num>
  <w:num w:numId="5" w16cid:durableId="722363684">
    <w:abstractNumId w:val="5"/>
  </w:num>
  <w:num w:numId="6" w16cid:durableId="524054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968"/>
    <w:rsid w:val="00194968"/>
    <w:rsid w:val="002E417D"/>
    <w:rsid w:val="003277AD"/>
    <w:rsid w:val="00343515"/>
    <w:rsid w:val="003622E2"/>
    <w:rsid w:val="003A4E79"/>
    <w:rsid w:val="00484929"/>
    <w:rsid w:val="00504090"/>
    <w:rsid w:val="00710083"/>
    <w:rsid w:val="00804950"/>
    <w:rsid w:val="008C3B9E"/>
    <w:rsid w:val="00B0199E"/>
    <w:rsid w:val="00B607DD"/>
    <w:rsid w:val="00BA4DD8"/>
    <w:rsid w:val="00D97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B6430"/>
  <w15:chartTrackingRefBased/>
  <w15:docId w15:val="{1C2FD41C-633E-4084-986A-AED452906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968"/>
  </w:style>
  <w:style w:type="paragraph" w:styleId="Heading1">
    <w:name w:val="heading 1"/>
    <w:basedOn w:val="Normal"/>
    <w:next w:val="Normal"/>
    <w:link w:val="Heading1Char"/>
    <w:uiPriority w:val="9"/>
    <w:qFormat/>
    <w:rsid w:val="001949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49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49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9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9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9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9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9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9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9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49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49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9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9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9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9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9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968"/>
    <w:rPr>
      <w:rFonts w:eastAsiaTheme="majorEastAsia" w:cstheme="majorBidi"/>
      <w:color w:val="272727" w:themeColor="text1" w:themeTint="D8"/>
    </w:rPr>
  </w:style>
  <w:style w:type="paragraph" w:styleId="Title">
    <w:name w:val="Title"/>
    <w:basedOn w:val="Normal"/>
    <w:next w:val="Normal"/>
    <w:link w:val="TitleChar"/>
    <w:uiPriority w:val="10"/>
    <w:qFormat/>
    <w:rsid w:val="001949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9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9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9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968"/>
    <w:pPr>
      <w:spacing w:before="160"/>
      <w:jc w:val="center"/>
    </w:pPr>
    <w:rPr>
      <w:i/>
      <w:iCs/>
      <w:color w:val="404040" w:themeColor="text1" w:themeTint="BF"/>
    </w:rPr>
  </w:style>
  <w:style w:type="character" w:customStyle="1" w:styleId="QuoteChar">
    <w:name w:val="Quote Char"/>
    <w:basedOn w:val="DefaultParagraphFont"/>
    <w:link w:val="Quote"/>
    <w:uiPriority w:val="29"/>
    <w:rsid w:val="00194968"/>
    <w:rPr>
      <w:i/>
      <w:iCs/>
      <w:color w:val="404040" w:themeColor="text1" w:themeTint="BF"/>
    </w:rPr>
  </w:style>
  <w:style w:type="paragraph" w:styleId="ListParagraph">
    <w:name w:val="List Paragraph"/>
    <w:basedOn w:val="Normal"/>
    <w:uiPriority w:val="34"/>
    <w:qFormat/>
    <w:rsid w:val="00194968"/>
    <w:pPr>
      <w:ind w:left="720"/>
      <w:contextualSpacing/>
    </w:pPr>
  </w:style>
  <w:style w:type="character" w:styleId="IntenseEmphasis">
    <w:name w:val="Intense Emphasis"/>
    <w:basedOn w:val="DefaultParagraphFont"/>
    <w:uiPriority w:val="21"/>
    <w:qFormat/>
    <w:rsid w:val="00194968"/>
    <w:rPr>
      <w:i/>
      <w:iCs/>
      <w:color w:val="0F4761" w:themeColor="accent1" w:themeShade="BF"/>
    </w:rPr>
  </w:style>
  <w:style w:type="paragraph" w:styleId="IntenseQuote">
    <w:name w:val="Intense Quote"/>
    <w:basedOn w:val="Normal"/>
    <w:next w:val="Normal"/>
    <w:link w:val="IntenseQuoteChar"/>
    <w:uiPriority w:val="30"/>
    <w:qFormat/>
    <w:rsid w:val="001949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968"/>
    <w:rPr>
      <w:i/>
      <w:iCs/>
      <w:color w:val="0F4761" w:themeColor="accent1" w:themeShade="BF"/>
    </w:rPr>
  </w:style>
  <w:style w:type="character" w:styleId="IntenseReference">
    <w:name w:val="Intense Reference"/>
    <w:basedOn w:val="DefaultParagraphFont"/>
    <w:uiPriority w:val="32"/>
    <w:qFormat/>
    <w:rsid w:val="00194968"/>
    <w:rPr>
      <w:b/>
      <w:bCs/>
      <w:smallCaps/>
      <w:color w:val="0F4761" w:themeColor="accent1" w:themeShade="BF"/>
      <w:spacing w:val="5"/>
    </w:rPr>
  </w:style>
  <w:style w:type="character" w:styleId="Strong">
    <w:name w:val="Strong"/>
    <w:basedOn w:val="DefaultParagraphFont"/>
    <w:uiPriority w:val="22"/>
    <w:qFormat/>
    <w:rsid w:val="00504090"/>
    <w:rPr>
      <w:b/>
      <w:bCs/>
    </w:rPr>
  </w:style>
  <w:style w:type="paragraph" w:styleId="NormalWeb">
    <w:name w:val="Normal (Web)"/>
    <w:basedOn w:val="Normal"/>
    <w:uiPriority w:val="99"/>
    <w:semiHidden/>
    <w:unhideWhenUsed/>
    <w:rsid w:val="005040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622E2"/>
    <w:rPr>
      <w:i/>
      <w:iCs/>
    </w:rPr>
  </w:style>
  <w:style w:type="character" w:styleId="HTMLCode">
    <w:name w:val="HTML Code"/>
    <w:basedOn w:val="DefaultParagraphFont"/>
    <w:uiPriority w:val="99"/>
    <w:semiHidden/>
    <w:unhideWhenUsed/>
    <w:rsid w:val="003622E2"/>
    <w:rPr>
      <w:rFonts w:ascii="Courier New" w:eastAsia="Times New Roman" w:hAnsi="Courier New" w:cs="Courier New"/>
      <w:sz w:val="20"/>
      <w:szCs w:val="20"/>
    </w:rPr>
  </w:style>
  <w:style w:type="character" w:styleId="Hyperlink">
    <w:name w:val="Hyperlink"/>
    <w:basedOn w:val="DefaultParagraphFont"/>
    <w:uiPriority w:val="99"/>
    <w:unhideWhenUsed/>
    <w:rsid w:val="00343515"/>
    <w:rPr>
      <w:color w:val="467886" w:themeColor="hyperlink"/>
      <w:u w:val="single"/>
    </w:rPr>
  </w:style>
  <w:style w:type="character" w:styleId="UnresolvedMention">
    <w:name w:val="Unresolved Mention"/>
    <w:basedOn w:val="DefaultParagraphFont"/>
    <w:uiPriority w:val="99"/>
    <w:semiHidden/>
    <w:unhideWhenUsed/>
    <w:rsid w:val="003435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ealth.org.uk/publications/person-centr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8</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4</cp:revision>
  <dcterms:created xsi:type="dcterms:W3CDTF">2026-01-17T10:23:00Z</dcterms:created>
  <dcterms:modified xsi:type="dcterms:W3CDTF">2026-03-27T18:47:00Z</dcterms:modified>
</cp:coreProperties>
</file>