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49B4924" w14:textId="48FA405D" w:rsidR="00E941F3" w:rsidRPr="00702286" w:rsidRDefault="00E941F3" w:rsidP="00702286">
      <w:pPr>
        <w:rPr>
          <w:rFonts w:cs="Arial"/>
          <w:b/>
          <w:bCs/>
          <w:sz w:val="44"/>
          <w:szCs w:val="40"/>
          <w:lang w:val="bg-BG"/>
        </w:rPr>
      </w:pPr>
      <w:r w:rsidRPr="00BA5587">
        <w:rPr>
          <w:rFonts w:cs="Arial"/>
          <w:b/>
          <w:bCs/>
          <w:sz w:val="44"/>
          <w:szCs w:val="40"/>
        </w:rPr>
        <w:t>Financial analysis on Tesco Plc</w:t>
      </w:r>
      <w:r w:rsidR="00702286">
        <w:rPr>
          <w:rFonts w:cs="Arial"/>
          <w:b/>
          <w:bCs/>
          <w:sz w:val="44"/>
          <w:szCs w:val="40"/>
          <w:lang w:val="bg-BG"/>
        </w:rPr>
        <w:t xml:space="preserve">  VS </w:t>
      </w:r>
      <w:bookmarkStart w:id="0" w:name="_GoBack"/>
      <w:bookmarkEnd w:id="0"/>
      <w:r w:rsidR="00702286">
        <w:rPr>
          <w:rFonts w:cs="Arial"/>
          <w:b/>
          <w:bCs/>
          <w:sz w:val="44"/>
          <w:szCs w:val="40"/>
          <w:lang w:val="bg-BG"/>
        </w:rPr>
        <w:t>Sainsbury‘s</w:t>
      </w:r>
    </w:p>
    <w:p w14:paraId="69D082C6" w14:textId="77777777" w:rsidR="00702286" w:rsidRDefault="00702286" w:rsidP="00702286">
      <w:pPr>
        <w:rPr>
          <w:rFonts w:cs="Arial"/>
          <w:b/>
          <w:bCs/>
          <w:sz w:val="44"/>
          <w:szCs w:val="40"/>
          <w:lang w:val="bg-BG"/>
        </w:rPr>
      </w:pPr>
    </w:p>
    <w:p w14:paraId="7F35D259" w14:textId="77777777" w:rsidR="00702286" w:rsidRDefault="00702286" w:rsidP="00702286">
      <w:pPr>
        <w:rPr>
          <w:rFonts w:cs="Arial"/>
          <w:b/>
          <w:bCs/>
          <w:sz w:val="44"/>
          <w:szCs w:val="40"/>
          <w:lang w:val="bg-BG"/>
        </w:rPr>
      </w:pPr>
    </w:p>
    <w:p w14:paraId="2600C679" w14:textId="06CAD0B3" w:rsidR="00702286" w:rsidRDefault="00702286" w:rsidP="00702286">
      <w:pPr>
        <w:rPr>
          <w:rFonts w:cs="Arial"/>
          <w:b/>
          <w:bCs/>
          <w:sz w:val="44"/>
          <w:szCs w:val="40"/>
          <w:lang w:val="bg-BG"/>
        </w:rPr>
      </w:pPr>
      <w:r>
        <w:rPr>
          <w:rFonts w:cs="Arial"/>
          <w:b/>
          <w:bCs/>
          <w:sz w:val="44"/>
          <w:szCs w:val="40"/>
          <w:lang w:val="bg-BG"/>
        </w:rPr>
        <w:t>Programme:MBA</w:t>
      </w:r>
    </w:p>
    <w:p w14:paraId="4D5894BC" w14:textId="4E4F1FFB" w:rsidR="00702286" w:rsidRDefault="00702286" w:rsidP="00702286">
      <w:pPr>
        <w:rPr>
          <w:rFonts w:cs="Arial"/>
          <w:b/>
          <w:bCs/>
          <w:sz w:val="44"/>
          <w:szCs w:val="40"/>
          <w:lang w:val="bg-BG"/>
        </w:rPr>
      </w:pPr>
      <w:r>
        <w:rPr>
          <w:rFonts w:cs="Arial"/>
          <w:b/>
          <w:bCs/>
          <w:sz w:val="44"/>
          <w:szCs w:val="40"/>
          <w:lang w:val="bg-BG"/>
        </w:rPr>
        <w:t>Financial Management LCMB7002</w:t>
      </w:r>
    </w:p>
    <w:p w14:paraId="5A4EC50A" w14:textId="4C8ACE2E" w:rsidR="00702286" w:rsidRDefault="00702286" w:rsidP="00702286">
      <w:pPr>
        <w:rPr>
          <w:rFonts w:cs="Arial"/>
          <w:b/>
          <w:bCs/>
          <w:sz w:val="44"/>
          <w:szCs w:val="40"/>
          <w:lang w:val="bg-BG"/>
        </w:rPr>
      </w:pPr>
      <w:r>
        <w:rPr>
          <w:rFonts w:cs="Arial"/>
          <w:b/>
          <w:bCs/>
          <w:sz w:val="44"/>
          <w:szCs w:val="40"/>
          <w:lang w:val="bg-BG"/>
        </w:rPr>
        <w:t>Written by :Gyulsine Haytova</w:t>
      </w:r>
    </w:p>
    <w:p w14:paraId="605F05C4" w14:textId="028BF553" w:rsidR="00702286" w:rsidRDefault="00702286" w:rsidP="00702286">
      <w:pPr>
        <w:rPr>
          <w:rFonts w:cs="Arial"/>
          <w:b/>
          <w:bCs/>
          <w:sz w:val="44"/>
          <w:szCs w:val="40"/>
          <w:lang w:val="bg-BG"/>
        </w:rPr>
      </w:pPr>
      <w:r>
        <w:rPr>
          <w:rFonts w:cs="Arial"/>
          <w:b/>
          <w:bCs/>
          <w:sz w:val="44"/>
          <w:szCs w:val="40"/>
          <w:lang w:val="bg-BG"/>
        </w:rPr>
        <w:t>Student ID:1922109</w:t>
      </w:r>
    </w:p>
    <w:p w14:paraId="4F1DA081" w14:textId="77777777" w:rsidR="00702286" w:rsidRDefault="00702286" w:rsidP="00702286">
      <w:pPr>
        <w:rPr>
          <w:rFonts w:cs="Arial"/>
          <w:b/>
          <w:bCs/>
          <w:sz w:val="44"/>
          <w:szCs w:val="40"/>
          <w:lang w:val="bg-BG"/>
        </w:rPr>
      </w:pPr>
    </w:p>
    <w:p w14:paraId="3EA3622F" w14:textId="77777777" w:rsidR="00702286" w:rsidRDefault="00702286" w:rsidP="00702286">
      <w:pPr>
        <w:rPr>
          <w:rFonts w:cs="Arial"/>
          <w:b/>
          <w:bCs/>
          <w:sz w:val="44"/>
          <w:szCs w:val="40"/>
          <w:lang w:val="bg-BG"/>
        </w:rPr>
      </w:pPr>
    </w:p>
    <w:p w14:paraId="1CFA7F71" w14:textId="77777777" w:rsidR="00702286" w:rsidRDefault="00702286" w:rsidP="00702286">
      <w:pPr>
        <w:rPr>
          <w:rFonts w:cs="Arial"/>
          <w:b/>
          <w:bCs/>
          <w:sz w:val="44"/>
          <w:szCs w:val="40"/>
          <w:lang w:val="bg-BG"/>
        </w:rPr>
      </w:pPr>
    </w:p>
    <w:p w14:paraId="50F7C7C6" w14:textId="77777777" w:rsidR="00702286" w:rsidRDefault="00702286" w:rsidP="00702286">
      <w:pPr>
        <w:rPr>
          <w:rFonts w:cs="Arial"/>
          <w:b/>
          <w:bCs/>
          <w:sz w:val="44"/>
          <w:szCs w:val="40"/>
          <w:lang w:val="bg-BG"/>
        </w:rPr>
      </w:pPr>
    </w:p>
    <w:p w14:paraId="4CB7D9D6" w14:textId="442CB797" w:rsidR="00702286" w:rsidRPr="00702286" w:rsidRDefault="00702286" w:rsidP="00702286">
      <w:pPr>
        <w:rPr>
          <w:rFonts w:cs="Arial"/>
          <w:b/>
          <w:bCs/>
          <w:sz w:val="44"/>
          <w:szCs w:val="40"/>
          <w:lang w:val="bg-BG"/>
        </w:rPr>
      </w:pPr>
      <w:r>
        <w:rPr>
          <w:rFonts w:cs="Arial"/>
          <w:b/>
          <w:bCs/>
          <w:sz w:val="44"/>
          <w:szCs w:val="40"/>
          <w:lang w:val="bg-BG"/>
        </w:rPr>
        <w:t>Lecturer:Jia Miao</w:t>
      </w:r>
    </w:p>
    <w:p w14:paraId="6C5AE16B" w14:textId="77777777" w:rsidR="00E941F3" w:rsidRPr="00BA5587" w:rsidRDefault="00E941F3">
      <w:pPr>
        <w:spacing w:line="259" w:lineRule="auto"/>
        <w:jc w:val="left"/>
        <w:rPr>
          <w:rFonts w:cs="Arial"/>
          <w:b/>
          <w:bCs/>
          <w:sz w:val="44"/>
          <w:szCs w:val="40"/>
        </w:rPr>
      </w:pPr>
      <w:r w:rsidRPr="00BA5587">
        <w:rPr>
          <w:rFonts w:cs="Arial"/>
          <w:b/>
          <w:bCs/>
          <w:sz w:val="44"/>
          <w:szCs w:val="40"/>
        </w:rPr>
        <w:br w:type="page"/>
      </w:r>
    </w:p>
    <w:sdt>
      <w:sdtPr>
        <w:rPr>
          <w:rFonts w:ascii="Arial" w:eastAsiaTheme="minorHAnsi" w:hAnsi="Arial" w:cs="Arial"/>
          <w:color w:val="auto"/>
          <w:sz w:val="24"/>
          <w:szCs w:val="22"/>
          <w:lang w:val="en-IN"/>
        </w:rPr>
        <w:id w:val="-760521111"/>
        <w:docPartObj>
          <w:docPartGallery w:val="Table of Contents"/>
          <w:docPartUnique/>
        </w:docPartObj>
      </w:sdtPr>
      <w:sdtEndPr>
        <w:rPr>
          <w:b/>
          <w:bCs/>
          <w:noProof/>
        </w:rPr>
      </w:sdtEndPr>
      <w:sdtContent>
        <w:p w14:paraId="74803457" w14:textId="31496FE4" w:rsidR="00BA5587" w:rsidRPr="00BA5587" w:rsidRDefault="00BA5587" w:rsidP="00BA5587">
          <w:pPr>
            <w:pStyle w:val="TOCHeading"/>
            <w:jc w:val="center"/>
            <w:rPr>
              <w:rFonts w:ascii="Arial" w:hAnsi="Arial" w:cs="Arial"/>
              <w:b/>
              <w:bCs/>
              <w:color w:val="auto"/>
            </w:rPr>
          </w:pPr>
          <w:r w:rsidRPr="00BA5587">
            <w:rPr>
              <w:rFonts w:ascii="Arial" w:hAnsi="Arial" w:cs="Arial"/>
              <w:b/>
              <w:bCs/>
              <w:color w:val="auto"/>
            </w:rPr>
            <w:t>Table of Contents</w:t>
          </w:r>
        </w:p>
        <w:p w14:paraId="7C987887" w14:textId="6A8E8ACC" w:rsidR="00BA5587" w:rsidRPr="00BA5587" w:rsidRDefault="00BA5587">
          <w:pPr>
            <w:pStyle w:val="TOC1"/>
            <w:tabs>
              <w:tab w:val="left" w:pos="660"/>
              <w:tab w:val="right" w:leader="dot" w:pos="9016"/>
            </w:tabs>
            <w:rPr>
              <w:rFonts w:cs="Arial"/>
              <w:noProof/>
            </w:rPr>
          </w:pPr>
          <w:r w:rsidRPr="00BA5587">
            <w:rPr>
              <w:rFonts w:cs="Arial"/>
            </w:rPr>
            <w:fldChar w:fldCharType="begin"/>
          </w:r>
          <w:r w:rsidRPr="00BA5587">
            <w:rPr>
              <w:rFonts w:cs="Arial"/>
            </w:rPr>
            <w:instrText xml:space="preserve"> TOC \o "1-3" \h \z \u </w:instrText>
          </w:r>
          <w:r w:rsidRPr="00BA5587">
            <w:rPr>
              <w:rFonts w:cs="Arial"/>
            </w:rPr>
            <w:fldChar w:fldCharType="separate"/>
          </w:r>
          <w:hyperlink w:anchor="_Toc51356187" w:history="1">
            <w:r w:rsidRPr="00BA5587">
              <w:rPr>
                <w:rStyle w:val="Hyperlink"/>
                <w:rFonts w:cs="Arial"/>
                <w:noProof/>
              </w:rPr>
              <w:t>1.0.</w:t>
            </w:r>
            <w:r w:rsidRPr="00BA5587">
              <w:rPr>
                <w:rFonts w:cs="Arial"/>
                <w:noProof/>
              </w:rPr>
              <w:tab/>
            </w:r>
            <w:r w:rsidRPr="00BA5587">
              <w:rPr>
                <w:rStyle w:val="Hyperlink"/>
                <w:rFonts w:cs="Arial"/>
                <w:noProof/>
              </w:rPr>
              <w:t>Introduction</w:t>
            </w:r>
            <w:r w:rsidRPr="00BA5587">
              <w:rPr>
                <w:rFonts w:cs="Arial"/>
                <w:noProof/>
                <w:webHidden/>
              </w:rPr>
              <w:tab/>
            </w:r>
            <w:r w:rsidRPr="00BA5587">
              <w:rPr>
                <w:rFonts w:cs="Arial"/>
                <w:noProof/>
                <w:webHidden/>
              </w:rPr>
              <w:fldChar w:fldCharType="begin"/>
            </w:r>
            <w:r w:rsidRPr="00BA5587">
              <w:rPr>
                <w:rFonts w:cs="Arial"/>
                <w:noProof/>
                <w:webHidden/>
              </w:rPr>
              <w:instrText xml:space="preserve"> PAGEREF _Toc51356187 \h </w:instrText>
            </w:r>
            <w:r w:rsidRPr="00BA5587">
              <w:rPr>
                <w:rFonts w:cs="Arial"/>
                <w:noProof/>
                <w:webHidden/>
              </w:rPr>
            </w:r>
            <w:r w:rsidRPr="00BA5587">
              <w:rPr>
                <w:rFonts w:cs="Arial"/>
                <w:noProof/>
                <w:webHidden/>
              </w:rPr>
              <w:fldChar w:fldCharType="separate"/>
            </w:r>
            <w:r w:rsidRPr="00BA5587">
              <w:rPr>
                <w:rFonts w:cs="Arial"/>
                <w:noProof/>
                <w:webHidden/>
              </w:rPr>
              <w:t>3</w:t>
            </w:r>
            <w:r w:rsidRPr="00BA5587">
              <w:rPr>
                <w:rFonts w:cs="Arial"/>
                <w:noProof/>
                <w:webHidden/>
              </w:rPr>
              <w:fldChar w:fldCharType="end"/>
            </w:r>
          </w:hyperlink>
        </w:p>
        <w:p w14:paraId="0054C89C" w14:textId="30990CAB" w:rsidR="00BA5587" w:rsidRPr="00BA5587" w:rsidRDefault="009A09EA">
          <w:pPr>
            <w:pStyle w:val="TOC1"/>
            <w:tabs>
              <w:tab w:val="left" w:pos="660"/>
              <w:tab w:val="right" w:leader="dot" w:pos="9016"/>
            </w:tabs>
            <w:rPr>
              <w:rFonts w:cs="Arial"/>
              <w:noProof/>
            </w:rPr>
          </w:pPr>
          <w:hyperlink w:anchor="_Toc51356188" w:history="1">
            <w:r w:rsidR="00BA5587" w:rsidRPr="00BA5587">
              <w:rPr>
                <w:rStyle w:val="Hyperlink"/>
                <w:rFonts w:cs="Arial"/>
                <w:noProof/>
              </w:rPr>
              <w:t>2.0.</w:t>
            </w:r>
            <w:r w:rsidR="00BA5587" w:rsidRPr="00BA5587">
              <w:rPr>
                <w:rFonts w:cs="Arial"/>
                <w:noProof/>
              </w:rPr>
              <w:tab/>
            </w:r>
            <w:r w:rsidR="00BA5587" w:rsidRPr="00BA5587">
              <w:rPr>
                <w:rStyle w:val="Hyperlink"/>
                <w:rFonts w:cs="Arial"/>
                <w:noProof/>
              </w:rPr>
              <w:t>Part A</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_Toc51356188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3</w:t>
            </w:r>
            <w:r w:rsidR="00BA5587" w:rsidRPr="00BA5587">
              <w:rPr>
                <w:rFonts w:cs="Arial"/>
                <w:noProof/>
                <w:webHidden/>
              </w:rPr>
              <w:fldChar w:fldCharType="end"/>
            </w:r>
          </w:hyperlink>
        </w:p>
        <w:p w14:paraId="4FA0BBFF" w14:textId="68AD6F25" w:rsidR="00BA5587" w:rsidRPr="00BA5587" w:rsidRDefault="009A09EA">
          <w:pPr>
            <w:pStyle w:val="TOC2"/>
            <w:tabs>
              <w:tab w:val="left" w:pos="880"/>
              <w:tab w:val="right" w:leader="dot" w:pos="9016"/>
            </w:tabs>
            <w:rPr>
              <w:rFonts w:cs="Arial"/>
              <w:noProof/>
            </w:rPr>
          </w:pPr>
          <w:hyperlink w:anchor="_Toc51356189" w:history="1">
            <w:r w:rsidR="00BA5587" w:rsidRPr="00BA5587">
              <w:rPr>
                <w:rStyle w:val="Hyperlink"/>
                <w:rFonts w:cs="Arial"/>
                <w:noProof/>
              </w:rPr>
              <w:t>2.1.</w:t>
            </w:r>
            <w:r w:rsidR="00BA5587" w:rsidRPr="00BA5587">
              <w:rPr>
                <w:rFonts w:cs="Arial"/>
                <w:noProof/>
              </w:rPr>
              <w:tab/>
            </w:r>
            <w:r w:rsidR="00BA5587" w:rsidRPr="00BA5587">
              <w:rPr>
                <w:rStyle w:val="Hyperlink"/>
                <w:rFonts w:cs="Arial"/>
                <w:noProof/>
              </w:rPr>
              <w:t>Brief history of Tesco Plc</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_Toc51356189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3</w:t>
            </w:r>
            <w:r w:rsidR="00BA5587" w:rsidRPr="00BA5587">
              <w:rPr>
                <w:rFonts w:cs="Arial"/>
                <w:noProof/>
                <w:webHidden/>
              </w:rPr>
              <w:fldChar w:fldCharType="end"/>
            </w:r>
          </w:hyperlink>
        </w:p>
        <w:p w14:paraId="64590FBC" w14:textId="1FE83CD5" w:rsidR="00BA5587" w:rsidRPr="00BA5587" w:rsidRDefault="009A09EA">
          <w:pPr>
            <w:pStyle w:val="TOC1"/>
            <w:tabs>
              <w:tab w:val="left" w:pos="660"/>
              <w:tab w:val="right" w:leader="dot" w:pos="9016"/>
            </w:tabs>
            <w:rPr>
              <w:rFonts w:cs="Arial"/>
              <w:noProof/>
            </w:rPr>
          </w:pPr>
          <w:hyperlink w:anchor="_Toc51356190" w:history="1">
            <w:r w:rsidR="00BA5587" w:rsidRPr="00BA5587">
              <w:rPr>
                <w:rStyle w:val="Hyperlink"/>
                <w:rFonts w:cs="Arial"/>
                <w:noProof/>
              </w:rPr>
              <w:t>3.0.</w:t>
            </w:r>
            <w:r w:rsidR="00BA5587" w:rsidRPr="00BA5587">
              <w:rPr>
                <w:rFonts w:cs="Arial"/>
                <w:noProof/>
              </w:rPr>
              <w:tab/>
            </w:r>
            <w:r w:rsidR="00BA5587" w:rsidRPr="00BA5587">
              <w:rPr>
                <w:rStyle w:val="Hyperlink"/>
                <w:rFonts w:cs="Arial"/>
                <w:noProof/>
              </w:rPr>
              <w:t>Part B</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_Toc51356190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4</w:t>
            </w:r>
            <w:r w:rsidR="00BA5587" w:rsidRPr="00BA5587">
              <w:rPr>
                <w:rFonts w:cs="Arial"/>
                <w:noProof/>
                <w:webHidden/>
              </w:rPr>
              <w:fldChar w:fldCharType="end"/>
            </w:r>
          </w:hyperlink>
        </w:p>
        <w:p w14:paraId="47BD8F51" w14:textId="562C3C0B" w:rsidR="00BA5587" w:rsidRPr="00BA5587" w:rsidRDefault="009A09EA">
          <w:pPr>
            <w:pStyle w:val="TOC2"/>
            <w:tabs>
              <w:tab w:val="left" w:pos="880"/>
              <w:tab w:val="right" w:leader="dot" w:pos="9016"/>
            </w:tabs>
            <w:rPr>
              <w:rFonts w:cs="Arial"/>
              <w:noProof/>
            </w:rPr>
          </w:pPr>
          <w:hyperlink w:anchor="_Toc51356191" w:history="1">
            <w:r w:rsidR="00BA5587" w:rsidRPr="00BA5587">
              <w:rPr>
                <w:rStyle w:val="Hyperlink"/>
                <w:rFonts w:cs="Arial"/>
                <w:noProof/>
              </w:rPr>
              <w:t>3.1.</w:t>
            </w:r>
            <w:r w:rsidR="00BA5587" w:rsidRPr="00BA5587">
              <w:rPr>
                <w:rFonts w:cs="Arial"/>
                <w:noProof/>
              </w:rPr>
              <w:tab/>
            </w:r>
            <w:r w:rsidR="00BA5587" w:rsidRPr="00BA5587">
              <w:rPr>
                <w:rStyle w:val="Hyperlink"/>
                <w:rFonts w:cs="Arial"/>
                <w:noProof/>
              </w:rPr>
              <w:t>Calculation of key financial ratios for last 5 financial years</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_Toc51356191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4</w:t>
            </w:r>
            <w:r w:rsidR="00BA5587" w:rsidRPr="00BA5587">
              <w:rPr>
                <w:rFonts w:cs="Arial"/>
                <w:noProof/>
                <w:webHidden/>
              </w:rPr>
              <w:fldChar w:fldCharType="end"/>
            </w:r>
          </w:hyperlink>
        </w:p>
        <w:p w14:paraId="4E2FDF1B" w14:textId="238CBD89" w:rsidR="00BA5587" w:rsidRPr="00BA5587" w:rsidRDefault="009A09EA">
          <w:pPr>
            <w:pStyle w:val="TOC2"/>
            <w:tabs>
              <w:tab w:val="left" w:pos="880"/>
              <w:tab w:val="right" w:leader="dot" w:pos="9016"/>
            </w:tabs>
            <w:rPr>
              <w:rFonts w:cs="Arial"/>
              <w:noProof/>
            </w:rPr>
          </w:pPr>
          <w:hyperlink w:anchor="_Toc51356192" w:history="1">
            <w:r w:rsidR="00BA5587" w:rsidRPr="00BA5587">
              <w:rPr>
                <w:rStyle w:val="Hyperlink"/>
                <w:rFonts w:cs="Arial"/>
                <w:noProof/>
              </w:rPr>
              <w:t>3.2.</w:t>
            </w:r>
            <w:r w:rsidR="00BA5587" w:rsidRPr="00BA5587">
              <w:rPr>
                <w:rFonts w:cs="Arial"/>
                <w:noProof/>
              </w:rPr>
              <w:tab/>
            </w:r>
            <w:r w:rsidR="00BA5587" w:rsidRPr="00BA5587">
              <w:rPr>
                <w:rStyle w:val="Hyperlink"/>
                <w:rFonts w:cs="Arial"/>
                <w:noProof/>
              </w:rPr>
              <w:t>Critical evaluation of ratio analysis and Comparison with the competitors</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_Toc51356192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7</w:t>
            </w:r>
            <w:r w:rsidR="00BA5587" w:rsidRPr="00BA5587">
              <w:rPr>
                <w:rFonts w:cs="Arial"/>
                <w:noProof/>
                <w:webHidden/>
              </w:rPr>
              <w:fldChar w:fldCharType="end"/>
            </w:r>
          </w:hyperlink>
        </w:p>
        <w:p w14:paraId="1D8EEFFE" w14:textId="6468B2D8" w:rsidR="00BA5587" w:rsidRPr="00BA5587" w:rsidRDefault="009A09EA">
          <w:pPr>
            <w:pStyle w:val="TOC2"/>
            <w:tabs>
              <w:tab w:val="left" w:pos="880"/>
              <w:tab w:val="right" w:leader="dot" w:pos="9016"/>
            </w:tabs>
            <w:rPr>
              <w:rFonts w:cs="Arial"/>
              <w:noProof/>
            </w:rPr>
          </w:pPr>
          <w:hyperlink w:anchor="_Toc51356193" w:history="1">
            <w:r w:rsidR="00BA5587" w:rsidRPr="00BA5587">
              <w:rPr>
                <w:rStyle w:val="Hyperlink"/>
                <w:rFonts w:cs="Arial"/>
                <w:noProof/>
              </w:rPr>
              <w:t>3.3.</w:t>
            </w:r>
            <w:r w:rsidR="00BA5587" w:rsidRPr="00BA5587">
              <w:rPr>
                <w:rFonts w:cs="Arial"/>
                <w:noProof/>
              </w:rPr>
              <w:tab/>
            </w:r>
            <w:r w:rsidR="00BA5587" w:rsidRPr="00BA5587">
              <w:rPr>
                <w:rStyle w:val="Hyperlink"/>
                <w:rFonts w:cs="Arial"/>
                <w:noProof/>
              </w:rPr>
              <w:t>Recommendations on the improvements</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_Toc51356193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12</w:t>
            </w:r>
            <w:r w:rsidR="00BA5587" w:rsidRPr="00BA5587">
              <w:rPr>
                <w:rFonts w:cs="Arial"/>
                <w:noProof/>
                <w:webHidden/>
              </w:rPr>
              <w:fldChar w:fldCharType="end"/>
            </w:r>
          </w:hyperlink>
        </w:p>
        <w:p w14:paraId="0F99AD4E" w14:textId="795FE328" w:rsidR="00BA5587" w:rsidRPr="00BA5587" w:rsidRDefault="009A09EA">
          <w:pPr>
            <w:pStyle w:val="TOC1"/>
            <w:tabs>
              <w:tab w:val="left" w:pos="660"/>
              <w:tab w:val="right" w:leader="dot" w:pos="9016"/>
            </w:tabs>
            <w:rPr>
              <w:rFonts w:cs="Arial"/>
              <w:noProof/>
            </w:rPr>
          </w:pPr>
          <w:hyperlink w:anchor="_Toc51356194" w:history="1">
            <w:r w:rsidR="00BA5587" w:rsidRPr="00BA5587">
              <w:rPr>
                <w:rStyle w:val="Hyperlink"/>
                <w:rFonts w:cs="Arial"/>
                <w:noProof/>
              </w:rPr>
              <w:t>4.0.</w:t>
            </w:r>
            <w:r w:rsidR="00BA5587" w:rsidRPr="00BA5587">
              <w:rPr>
                <w:rFonts w:cs="Arial"/>
                <w:noProof/>
              </w:rPr>
              <w:tab/>
            </w:r>
            <w:r w:rsidR="00BA5587" w:rsidRPr="00BA5587">
              <w:rPr>
                <w:rStyle w:val="Hyperlink"/>
                <w:rFonts w:cs="Arial"/>
                <w:noProof/>
              </w:rPr>
              <w:t>Part C: Investment appraisals techniques</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_Toc51356194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13</w:t>
            </w:r>
            <w:r w:rsidR="00BA5587" w:rsidRPr="00BA5587">
              <w:rPr>
                <w:rFonts w:cs="Arial"/>
                <w:noProof/>
                <w:webHidden/>
              </w:rPr>
              <w:fldChar w:fldCharType="end"/>
            </w:r>
          </w:hyperlink>
        </w:p>
        <w:p w14:paraId="159A4E7F" w14:textId="32311508" w:rsidR="00BA5587" w:rsidRPr="00BA5587" w:rsidRDefault="009A09EA">
          <w:pPr>
            <w:pStyle w:val="TOC2"/>
            <w:tabs>
              <w:tab w:val="left" w:pos="880"/>
              <w:tab w:val="right" w:leader="dot" w:pos="9016"/>
            </w:tabs>
            <w:rPr>
              <w:rFonts w:cs="Arial"/>
              <w:noProof/>
            </w:rPr>
          </w:pPr>
          <w:hyperlink w:anchor="_Toc51356195" w:history="1">
            <w:r w:rsidR="00BA5587" w:rsidRPr="00BA5587">
              <w:rPr>
                <w:rStyle w:val="Hyperlink"/>
                <w:rFonts w:cs="Arial"/>
                <w:noProof/>
              </w:rPr>
              <w:t>4.1.</w:t>
            </w:r>
            <w:r w:rsidR="00BA5587" w:rsidRPr="00BA5587">
              <w:rPr>
                <w:rFonts w:cs="Arial"/>
                <w:noProof/>
              </w:rPr>
              <w:tab/>
            </w:r>
            <w:r w:rsidR="00BA5587" w:rsidRPr="00BA5587">
              <w:rPr>
                <w:rStyle w:val="Hyperlink"/>
                <w:rFonts w:cs="Arial"/>
                <w:noProof/>
              </w:rPr>
              <w:t>Calculation of payback period</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_Toc51356195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13</w:t>
            </w:r>
            <w:r w:rsidR="00BA5587" w:rsidRPr="00BA5587">
              <w:rPr>
                <w:rFonts w:cs="Arial"/>
                <w:noProof/>
                <w:webHidden/>
              </w:rPr>
              <w:fldChar w:fldCharType="end"/>
            </w:r>
          </w:hyperlink>
        </w:p>
        <w:p w14:paraId="5BC22AB6" w14:textId="434CD698" w:rsidR="00BA5587" w:rsidRPr="00BA5587" w:rsidRDefault="009A09EA">
          <w:pPr>
            <w:pStyle w:val="TOC2"/>
            <w:tabs>
              <w:tab w:val="left" w:pos="880"/>
              <w:tab w:val="right" w:leader="dot" w:pos="9016"/>
            </w:tabs>
            <w:rPr>
              <w:rFonts w:cs="Arial"/>
              <w:noProof/>
            </w:rPr>
          </w:pPr>
          <w:hyperlink w:anchor="_Toc51356196" w:history="1">
            <w:r w:rsidR="00BA5587" w:rsidRPr="00BA5587">
              <w:rPr>
                <w:rStyle w:val="Hyperlink"/>
                <w:rFonts w:cs="Arial"/>
                <w:noProof/>
              </w:rPr>
              <w:t>4.2.</w:t>
            </w:r>
            <w:r w:rsidR="00BA5587" w:rsidRPr="00BA5587">
              <w:rPr>
                <w:rFonts w:cs="Arial"/>
                <w:noProof/>
              </w:rPr>
              <w:tab/>
            </w:r>
            <w:r w:rsidR="00BA5587" w:rsidRPr="00BA5587">
              <w:rPr>
                <w:rStyle w:val="Hyperlink"/>
                <w:rFonts w:cs="Arial"/>
                <w:noProof/>
              </w:rPr>
              <w:t>Calculations of ARR</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_Toc51356196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13</w:t>
            </w:r>
            <w:r w:rsidR="00BA5587" w:rsidRPr="00BA5587">
              <w:rPr>
                <w:rFonts w:cs="Arial"/>
                <w:noProof/>
                <w:webHidden/>
              </w:rPr>
              <w:fldChar w:fldCharType="end"/>
            </w:r>
          </w:hyperlink>
        </w:p>
        <w:p w14:paraId="42ED7A62" w14:textId="6B110060" w:rsidR="00BA5587" w:rsidRPr="00BA5587" w:rsidRDefault="009A09EA">
          <w:pPr>
            <w:pStyle w:val="TOC2"/>
            <w:tabs>
              <w:tab w:val="left" w:pos="880"/>
              <w:tab w:val="right" w:leader="dot" w:pos="9016"/>
            </w:tabs>
            <w:rPr>
              <w:rFonts w:cs="Arial"/>
              <w:noProof/>
            </w:rPr>
          </w:pPr>
          <w:hyperlink w:anchor="_Toc51356197" w:history="1">
            <w:r w:rsidR="00BA5587" w:rsidRPr="00BA5587">
              <w:rPr>
                <w:rStyle w:val="Hyperlink"/>
                <w:rFonts w:cs="Arial"/>
                <w:noProof/>
              </w:rPr>
              <w:t>4.3.</w:t>
            </w:r>
            <w:r w:rsidR="00BA5587" w:rsidRPr="00BA5587">
              <w:rPr>
                <w:rFonts w:cs="Arial"/>
                <w:noProof/>
              </w:rPr>
              <w:tab/>
            </w:r>
            <w:r w:rsidR="00BA5587" w:rsidRPr="00BA5587">
              <w:rPr>
                <w:rStyle w:val="Hyperlink"/>
                <w:rFonts w:cs="Arial"/>
                <w:noProof/>
              </w:rPr>
              <w:t>Calculation of IRR</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_Toc51356197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14</w:t>
            </w:r>
            <w:r w:rsidR="00BA5587" w:rsidRPr="00BA5587">
              <w:rPr>
                <w:rFonts w:cs="Arial"/>
                <w:noProof/>
                <w:webHidden/>
              </w:rPr>
              <w:fldChar w:fldCharType="end"/>
            </w:r>
          </w:hyperlink>
        </w:p>
        <w:p w14:paraId="2B7CDB84" w14:textId="4CA463F2" w:rsidR="00BA5587" w:rsidRPr="00BA5587" w:rsidRDefault="009A09EA">
          <w:pPr>
            <w:pStyle w:val="TOC2"/>
            <w:tabs>
              <w:tab w:val="left" w:pos="880"/>
              <w:tab w:val="right" w:leader="dot" w:pos="9016"/>
            </w:tabs>
            <w:rPr>
              <w:rFonts w:cs="Arial"/>
              <w:noProof/>
            </w:rPr>
          </w:pPr>
          <w:hyperlink w:anchor="_Toc51356198" w:history="1">
            <w:r w:rsidR="00BA5587" w:rsidRPr="00BA5587">
              <w:rPr>
                <w:rStyle w:val="Hyperlink"/>
                <w:rFonts w:cs="Arial"/>
                <w:noProof/>
              </w:rPr>
              <w:t>4.4.</w:t>
            </w:r>
            <w:r w:rsidR="00BA5587" w:rsidRPr="00BA5587">
              <w:rPr>
                <w:rFonts w:cs="Arial"/>
                <w:noProof/>
              </w:rPr>
              <w:tab/>
            </w:r>
            <w:r w:rsidR="00BA5587" w:rsidRPr="00BA5587">
              <w:rPr>
                <w:rStyle w:val="Hyperlink"/>
                <w:rFonts w:cs="Arial"/>
                <w:noProof/>
              </w:rPr>
              <w:t>Calculations of NPV</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_Toc51356198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14</w:t>
            </w:r>
            <w:r w:rsidR="00BA5587" w:rsidRPr="00BA5587">
              <w:rPr>
                <w:rFonts w:cs="Arial"/>
                <w:noProof/>
                <w:webHidden/>
              </w:rPr>
              <w:fldChar w:fldCharType="end"/>
            </w:r>
          </w:hyperlink>
        </w:p>
        <w:p w14:paraId="6FFE2F97" w14:textId="7E224D09" w:rsidR="00BA5587" w:rsidRPr="00BA5587" w:rsidRDefault="009A09EA">
          <w:pPr>
            <w:pStyle w:val="TOC2"/>
            <w:tabs>
              <w:tab w:val="left" w:pos="880"/>
              <w:tab w:val="right" w:leader="dot" w:pos="9016"/>
            </w:tabs>
            <w:rPr>
              <w:rFonts w:cs="Arial"/>
              <w:noProof/>
            </w:rPr>
          </w:pPr>
          <w:hyperlink w:anchor="_Toc51356199" w:history="1">
            <w:r w:rsidR="00BA5587" w:rsidRPr="00BA5587">
              <w:rPr>
                <w:rStyle w:val="Hyperlink"/>
                <w:rFonts w:cs="Arial"/>
                <w:noProof/>
              </w:rPr>
              <w:t>4.5.</w:t>
            </w:r>
            <w:r w:rsidR="00BA5587" w:rsidRPr="00BA5587">
              <w:rPr>
                <w:rFonts w:cs="Arial"/>
                <w:noProof/>
              </w:rPr>
              <w:tab/>
            </w:r>
            <w:r w:rsidR="00BA5587" w:rsidRPr="00BA5587">
              <w:rPr>
                <w:rStyle w:val="Hyperlink"/>
                <w:rFonts w:cs="Arial"/>
                <w:noProof/>
              </w:rPr>
              <w:t>Advantages and limitations of investment appraisals techniques</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_Toc51356199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15</w:t>
            </w:r>
            <w:r w:rsidR="00BA5587" w:rsidRPr="00BA5587">
              <w:rPr>
                <w:rFonts w:cs="Arial"/>
                <w:noProof/>
                <w:webHidden/>
              </w:rPr>
              <w:fldChar w:fldCharType="end"/>
            </w:r>
          </w:hyperlink>
        </w:p>
        <w:p w14:paraId="0574AF7E" w14:textId="49817B9B" w:rsidR="00BA5587" w:rsidRPr="00BA5587" w:rsidRDefault="009A09EA">
          <w:pPr>
            <w:pStyle w:val="TOC2"/>
            <w:tabs>
              <w:tab w:val="left" w:pos="880"/>
              <w:tab w:val="right" w:leader="dot" w:pos="9016"/>
            </w:tabs>
            <w:rPr>
              <w:rFonts w:cs="Arial"/>
              <w:noProof/>
            </w:rPr>
          </w:pPr>
          <w:hyperlink w:anchor="_Toc51356200" w:history="1">
            <w:r w:rsidR="00BA5587" w:rsidRPr="00BA5587">
              <w:rPr>
                <w:rStyle w:val="Hyperlink"/>
                <w:rFonts w:cs="Arial"/>
                <w:noProof/>
              </w:rPr>
              <w:t>4.6.</w:t>
            </w:r>
            <w:r w:rsidR="00BA5587" w:rsidRPr="00BA5587">
              <w:rPr>
                <w:rFonts w:cs="Arial"/>
                <w:noProof/>
              </w:rPr>
              <w:tab/>
            </w:r>
            <w:r w:rsidR="00BA5587" w:rsidRPr="00BA5587">
              <w:rPr>
                <w:rStyle w:val="Hyperlink"/>
                <w:rFonts w:cs="Arial"/>
                <w:noProof/>
              </w:rPr>
              <w:t>Non- financial factors</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_Toc51356200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18</w:t>
            </w:r>
            <w:r w:rsidR="00BA5587" w:rsidRPr="00BA5587">
              <w:rPr>
                <w:rFonts w:cs="Arial"/>
                <w:noProof/>
                <w:webHidden/>
              </w:rPr>
              <w:fldChar w:fldCharType="end"/>
            </w:r>
          </w:hyperlink>
        </w:p>
        <w:p w14:paraId="687D1D28" w14:textId="4B4A3835" w:rsidR="00BA5587" w:rsidRPr="00BA5587" w:rsidRDefault="009A09EA">
          <w:pPr>
            <w:pStyle w:val="TOC1"/>
            <w:tabs>
              <w:tab w:val="left" w:pos="660"/>
              <w:tab w:val="right" w:leader="dot" w:pos="9016"/>
            </w:tabs>
            <w:rPr>
              <w:rFonts w:cs="Arial"/>
              <w:noProof/>
            </w:rPr>
          </w:pPr>
          <w:hyperlink w:anchor="_Toc51356201" w:history="1">
            <w:r w:rsidR="00BA5587" w:rsidRPr="00BA5587">
              <w:rPr>
                <w:rStyle w:val="Hyperlink"/>
                <w:rFonts w:cs="Arial"/>
                <w:noProof/>
              </w:rPr>
              <w:t>5.0.</w:t>
            </w:r>
            <w:r w:rsidR="00BA5587" w:rsidRPr="00BA5587">
              <w:rPr>
                <w:rFonts w:cs="Arial"/>
                <w:noProof/>
              </w:rPr>
              <w:tab/>
            </w:r>
            <w:r w:rsidR="00BA5587" w:rsidRPr="00BA5587">
              <w:rPr>
                <w:rStyle w:val="Hyperlink"/>
                <w:rFonts w:cs="Arial"/>
                <w:noProof/>
              </w:rPr>
              <w:t>Conclusion</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_Toc51356201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18</w:t>
            </w:r>
            <w:r w:rsidR="00BA5587" w:rsidRPr="00BA5587">
              <w:rPr>
                <w:rFonts w:cs="Arial"/>
                <w:noProof/>
                <w:webHidden/>
              </w:rPr>
              <w:fldChar w:fldCharType="end"/>
            </w:r>
          </w:hyperlink>
        </w:p>
        <w:p w14:paraId="22D48410" w14:textId="288FD2C9" w:rsidR="00BA5587" w:rsidRPr="00BA5587" w:rsidRDefault="009A09EA">
          <w:pPr>
            <w:pStyle w:val="TOC1"/>
            <w:tabs>
              <w:tab w:val="right" w:leader="dot" w:pos="9016"/>
            </w:tabs>
            <w:rPr>
              <w:rFonts w:cs="Arial"/>
              <w:noProof/>
            </w:rPr>
          </w:pPr>
          <w:hyperlink w:anchor="_Toc51356202" w:history="1">
            <w:r w:rsidR="00BA5587" w:rsidRPr="00BA5587">
              <w:rPr>
                <w:rStyle w:val="Hyperlink"/>
                <w:rFonts w:cs="Arial"/>
                <w:noProof/>
              </w:rPr>
              <w:t>References</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_Toc51356202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19</w:t>
            </w:r>
            <w:r w:rsidR="00BA5587" w:rsidRPr="00BA5587">
              <w:rPr>
                <w:rFonts w:cs="Arial"/>
                <w:noProof/>
                <w:webHidden/>
              </w:rPr>
              <w:fldChar w:fldCharType="end"/>
            </w:r>
          </w:hyperlink>
        </w:p>
        <w:p w14:paraId="4DDB2F4E" w14:textId="07D26824" w:rsidR="00BA5587" w:rsidRPr="00BA5587" w:rsidRDefault="009A09EA">
          <w:pPr>
            <w:pStyle w:val="TOC1"/>
            <w:tabs>
              <w:tab w:val="right" w:leader="dot" w:pos="9016"/>
            </w:tabs>
            <w:rPr>
              <w:rFonts w:cs="Arial"/>
              <w:noProof/>
            </w:rPr>
          </w:pPr>
          <w:hyperlink w:anchor="_Toc51356203" w:history="1">
            <w:r w:rsidR="00BA5587" w:rsidRPr="00BA5587">
              <w:rPr>
                <w:rStyle w:val="Hyperlink"/>
                <w:rFonts w:cs="Arial"/>
                <w:noProof/>
              </w:rPr>
              <w:t>Appendix: showing the Investment appraisals under several methods</w:t>
            </w:r>
            <w:r w:rsidR="00BA5587" w:rsidRPr="00BA5587">
              <w:rPr>
                <w:rFonts w:cs="Arial"/>
                <w:noProof/>
                <w:webHidden/>
              </w:rPr>
              <w:tab/>
            </w:r>
            <w:r w:rsidR="00BA5587" w:rsidRPr="00BA5587">
              <w:rPr>
                <w:rFonts w:cs="Arial"/>
                <w:noProof/>
                <w:webHidden/>
              </w:rPr>
              <w:fldChar w:fldCharType="begin"/>
            </w:r>
            <w:r w:rsidR="00BA5587" w:rsidRPr="00BA5587">
              <w:rPr>
                <w:rFonts w:cs="Arial"/>
                <w:noProof/>
                <w:webHidden/>
              </w:rPr>
              <w:instrText xml:space="preserve"> PAGEREF _Toc51356203 \h </w:instrText>
            </w:r>
            <w:r w:rsidR="00BA5587" w:rsidRPr="00BA5587">
              <w:rPr>
                <w:rFonts w:cs="Arial"/>
                <w:noProof/>
                <w:webHidden/>
              </w:rPr>
            </w:r>
            <w:r w:rsidR="00BA5587" w:rsidRPr="00BA5587">
              <w:rPr>
                <w:rFonts w:cs="Arial"/>
                <w:noProof/>
                <w:webHidden/>
              </w:rPr>
              <w:fldChar w:fldCharType="separate"/>
            </w:r>
            <w:r w:rsidR="00BA5587" w:rsidRPr="00BA5587">
              <w:rPr>
                <w:rFonts w:cs="Arial"/>
                <w:noProof/>
                <w:webHidden/>
              </w:rPr>
              <w:t>22</w:t>
            </w:r>
            <w:r w:rsidR="00BA5587" w:rsidRPr="00BA5587">
              <w:rPr>
                <w:rFonts w:cs="Arial"/>
                <w:noProof/>
                <w:webHidden/>
              </w:rPr>
              <w:fldChar w:fldCharType="end"/>
            </w:r>
          </w:hyperlink>
        </w:p>
        <w:p w14:paraId="7564ED35" w14:textId="2DF1D371" w:rsidR="00BA5587" w:rsidRPr="00BA5587" w:rsidRDefault="00BA5587">
          <w:pPr>
            <w:rPr>
              <w:rFonts w:cs="Arial"/>
            </w:rPr>
          </w:pPr>
          <w:r w:rsidRPr="00BA5587">
            <w:rPr>
              <w:rFonts w:cs="Arial"/>
              <w:b/>
              <w:bCs/>
              <w:noProof/>
            </w:rPr>
            <w:fldChar w:fldCharType="end"/>
          </w:r>
        </w:p>
      </w:sdtContent>
    </w:sdt>
    <w:p w14:paraId="23825A99" w14:textId="77777777" w:rsidR="00BA5587" w:rsidRPr="00BA5587" w:rsidRDefault="00BA5587">
      <w:pPr>
        <w:spacing w:line="259" w:lineRule="auto"/>
        <w:jc w:val="left"/>
        <w:rPr>
          <w:rFonts w:eastAsiaTheme="majorEastAsia" w:cs="Arial"/>
          <w:b/>
          <w:szCs w:val="32"/>
        </w:rPr>
      </w:pPr>
      <w:r w:rsidRPr="00BA5587">
        <w:rPr>
          <w:rFonts w:cs="Arial"/>
        </w:rPr>
        <w:br w:type="page"/>
      </w:r>
    </w:p>
    <w:p w14:paraId="115F849A" w14:textId="70590E31" w:rsidR="00514208" w:rsidRPr="00BA5587" w:rsidRDefault="00E941F3" w:rsidP="00A16144">
      <w:pPr>
        <w:pStyle w:val="Heading1"/>
        <w:numPr>
          <w:ilvl w:val="0"/>
          <w:numId w:val="1"/>
        </w:numPr>
        <w:rPr>
          <w:rFonts w:cs="Arial"/>
        </w:rPr>
      </w:pPr>
      <w:bookmarkStart w:id="1" w:name="_Toc51356187"/>
      <w:r w:rsidRPr="00BA5587">
        <w:rPr>
          <w:rFonts w:cs="Arial"/>
        </w:rPr>
        <w:t>Introduction</w:t>
      </w:r>
      <w:bookmarkEnd w:id="1"/>
    </w:p>
    <w:p w14:paraId="691826CC" w14:textId="532C2F86" w:rsidR="00841DB3" w:rsidRPr="00BA5587" w:rsidRDefault="00841DB3" w:rsidP="00841DB3">
      <w:pPr>
        <w:rPr>
          <w:rFonts w:cs="Arial"/>
        </w:rPr>
      </w:pPr>
      <w:r w:rsidRPr="00BA5587">
        <w:rPr>
          <w:rFonts w:cs="Arial"/>
        </w:rPr>
        <w:t xml:space="preserve">The report will be focused on the </w:t>
      </w:r>
      <w:r w:rsidR="00263550" w:rsidRPr="00BA5587">
        <w:rPr>
          <w:rFonts w:cs="Arial"/>
        </w:rPr>
        <w:t>financial performance analysis of the stock exchange company and its competitors</w:t>
      </w:r>
      <w:r w:rsidR="00D431F2" w:rsidRPr="00BA5587">
        <w:rPr>
          <w:rFonts w:cs="Arial"/>
        </w:rPr>
        <w:t xml:space="preserve"> in the several aspects</w:t>
      </w:r>
      <w:r w:rsidR="00F027D2" w:rsidRPr="00BA5587">
        <w:rPr>
          <w:rFonts w:cs="Arial"/>
        </w:rPr>
        <w:t xml:space="preserve"> including the profit margin, solvency position, efficiency and the leverages position. </w:t>
      </w:r>
      <w:r w:rsidR="003556BD" w:rsidRPr="00BA5587">
        <w:rPr>
          <w:rFonts w:cs="Arial"/>
        </w:rPr>
        <w:t xml:space="preserve">The company’s position </w:t>
      </w:r>
      <w:r w:rsidR="00A076E9" w:rsidRPr="00BA5587">
        <w:rPr>
          <w:rFonts w:cs="Arial"/>
        </w:rPr>
        <w:t xml:space="preserve">in comparison with the </w:t>
      </w:r>
      <w:r w:rsidR="00D0439B" w:rsidRPr="00BA5587">
        <w:rPr>
          <w:rFonts w:cs="Arial"/>
        </w:rPr>
        <w:t xml:space="preserve">competitors under the same industry </w:t>
      </w:r>
      <w:r w:rsidR="00785B72" w:rsidRPr="00BA5587">
        <w:rPr>
          <w:rFonts w:cs="Arial"/>
        </w:rPr>
        <w:t>will help in showing the efficiency</w:t>
      </w:r>
      <w:r w:rsidR="00F04688" w:rsidRPr="00BA5587">
        <w:rPr>
          <w:rFonts w:cs="Arial"/>
        </w:rPr>
        <w:t xml:space="preserve"> position of the firm and whether the company is </w:t>
      </w:r>
      <w:r w:rsidR="002D6EF3" w:rsidRPr="00BA5587">
        <w:rPr>
          <w:rFonts w:cs="Arial"/>
        </w:rPr>
        <w:t xml:space="preserve">performing under the average position or </w:t>
      </w:r>
      <w:r w:rsidR="00394766" w:rsidRPr="00BA5587">
        <w:rPr>
          <w:rFonts w:cs="Arial"/>
        </w:rPr>
        <w:t>above the average position</w:t>
      </w:r>
      <w:r w:rsidR="002D6EF3" w:rsidRPr="00BA5587">
        <w:rPr>
          <w:rFonts w:cs="Arial"/>
        </w:rPr>
        <w:t>.</w:t>
      </w:r>
      <w:r w:rsidR="005011DB" w:rsidRPr="00BA5587">
        <w:rPr>
          <w:rFonts w:cs="Arial"/>
        </w:rPr>
        <w:t xml:space="preserve"> </w:t>
      </w:r>
      <w:r w:rsidR="00602721" w:rsidRPr="00BA5587">
        <w:rPr>
          <w:rFonts w:cs="Arial"/>
        </w:rPr>
        <w:t>T</w:t>
      </w:r>
      <w:r w:rsidR="00A954DC" w:rsidRPr="00BA5587">
        <w:rPr>
          <w:rFonts w:cs="Arial"/>
        </w:rPr>
        <w:t xml:space="preserve">he investment </w:t>
      </w:r>
      <w:r w:rsidR="00602721" w:rsidRPr="00BA5587">
        <w:rPr>
          <w:rFonts w:cs="Arial"/>
        </w:rPr>
        <w:t>appraisals</w:t>
      </w:r>
      <w:r w:rsidR="00E95926" w:rsidRPr="00BA5587">
        <w:rPr>
          <w:rFonts w:cs="Arial"/>
        </w:rPr>
        <w:t xml:space="preserve"> techniques</w:t>
      </w:r>
      <w:r w:rsidR="00602721" w:rsidRPr="00BA5587">
        <w:rPr>
          <w:rFonts w:cs="Arial"/>
        </w:rPr>
        <w:t xml:space="preserve"> </w:t>
      </w:r>
      <w:r w:rsidR="00BE1FD6" w:rsidRPr="00BA5587">
        <w:rPr>
          <w:rFonts w:cs="Arial"/>
        </w:rPr>
        <w:t xml:space="preserve">for the two different projects </w:t>
      </w:r>
      <w:r w:rsidR="003F3F2C" w:rsidRPr="00BA5587">
        <w:rPr>
          <w:rFonts w:cs="Arial"/>
        </w:rPr>
        <w:t xml:space="preserve">will be </w:t>
      </w:r>
      <w:r w:rsidR="006566BD" w:rsidRPr="00BA5587">
        <w:rPr>
          <w:rFonts w:cs="Arial"/>
        </w:rPr>
        <w:t xml:space="preserve">shown and which project will be selected by the </w:t>
      </w:r>
      <w:r w:rsidR="00FE28EB" w:rsidRPr="00BA5587">
        <w:rPr>
          <w:rFonts w:cs="Arial"/>
        </w:rPr>
        <w:t xml:space="preserve">company that will be shown based on the profitability capacity of the project. </w:t>
      </w:r>
    </w:p>
    <w:p w14:paraId="1A2EFA25" w14:textId="65E6ABC6" w:rsidR="00E941F3" w:rsidRPr="00BA5587" w:rsidRDefault="00E941F3" w:rsidP="00A16144">
      <w:pPr>
        <w:pStyle w:val="Heading1"/>
        <w:numPr>
          <w:ilvl w:val="0"/>
          <w:numId w:val="1"/>
        </w:numPr>
        <w:rPr>
          <w:rFonts w:cs="Arial"/>
        </w:rPr>
      </w:pPr>
      <w:bookmarkStart w:id="2" w:name="_Toc51356188"/>
      <w:r w:rsidRPr="00BA5587">
        <w:rPr>
          <w:rFonts w:cs="Arial"/>
        </w:rPr>
        <w:t>Part A</w:t>
      </w:r>
      <w:bookmarkEnd w:id="2"/>
    </w:p>
    <w:p w14:paraId="163414E4" w14:textId="6865F4A0" w:rsidR="00E941F3" w:rsidRPr="00BA5587" w:rsidRDefault="00E941F3" w:rsidP="00A16144">
      <w:pPr>
        <w:pStyle w:val="Heading2"/>
        <w:numPr>
          <w:ilvl w:val="1"/>
          <w:numId w:val="1"/>
        </w:numPr>
        <w:rPr>
          <w:rFonts w:cs="Arial"/>
        </w:rPr>
      </w:pPr>
      <w:bookmarkStart w:id="3" w:name="_Toc51356189"/>
      <w:r w:rsidRPr="00BA5587">
        <w:rPr>
          <w:rFonts w:cs="Arial"/>
        </w:rPr>
        <w:t>Brief history of Tesco Plc</w:t>
      </w:r>
      <w:bookmarkEnd w:id="3"/>
    </w:p>
    <w:p w14:paraId="2A66975C" w14:textId="18D68A2D" w:rsidR="00152E8F" w:rsidRPr="00BA5587" w:rsidRDefault="00D551B4" w:rsidP="00152E8F">
      <w:pPr>
        <w:rPr>
          <w:rFonts w:cs="Arial"/>
        </w:rPr>
      </w:pPr>
      <w:r w:rsidRPr="00BA5587">
        <w:rPr>
          <w:rFonts w:cs="Arial"/>
        </w:rPr>
        <w:t xml:space="preserve">In this report, the Tesco Plc has been selected </w:t>
      </w:r>
      <w:r w:rsidR="004F508B" w:rsidRPr="00BA5587">
        <w:rPr>
          <w:rFonts w:cs="Arial"/>
        </w:rPr>
        <w:t>for the analysis,</w:t>
      </w:r>
      <w:r w:rsidR="009D4373" w:rsidRPr="00BA5587">
        <w:rPr>
          <w:rFonts w:cs="Arial"/>
        </w:rPr>
        <w:t xml:space="preserve"> within the UK economy, the Tesco Plc has been performed under the retail industry</w:t>
      </w:r>
      <w:r w:rsidR="00104577" w:rsidRPr="00BA5587">
        <w:rPr>
          <w:rFonts w:cs="Arial"/>
        </w:rPr>
        <w:t xml:space="preserve">. </w:t>
      </w:r>
      <w:r w:rsidR="00E27E86" w:rsidRPr="00BA5587">
        <w:rPr>
          <w:rFonts w:cs="Arial"/>
        </w:rPr>
        <w:t xml:space="preserve">Tesco Plc is the global grocery and general merchandise retailer and </w:t>
      </w:r>
      <w:r w:rsidR="00A97302" w:rsidRPr="00BA5587">
        <w:rPr>
          <w:rFonts w:cs="Arial"/>
        </w:rPr>
        <w:t>it</w:t>
      </w:r>
      <w:r w:rsidR="00E27E86" w:rsidRPr="00BA5587">
        <w:rPr>
          <w:rFonts w:cs="Arial"/>
        </w:rPr>
        <w:t xml:space="preserve"> headquarter has been located in Cheshunt, United Kingdom. </w:t>
      </w:r>
      <w:r w:rsidR="00112482" w:rsidRPr="00BA5587">
        <w:rPr>
          <w:rFonts w:cs="Arial"/>
        </w:rPr>
        <w:t xml:space="preserve">Tesco Plc is the third largest retail company based on the revenue margin after the Wal Mart and Carrefour and based on the profit margin, Tesco Plc is the second largest in the retail industry that is after Wal Mart. </w:t>
      </w:r>
      <w:r w:rsidR="008256FE" w:rsidRPr="00BA5587">
        <w:rPr>
          <w:rFonts w:cs="Arial"/>
        </w:rPr>
        <w:t xml:space="preserve">The company has been operated in </w:t>
      </w:r>
      <w:r w:rsidR="00C1230A" w:rsidRPr="00BA5587">
        <w:rPr>
          <w:rFonts w:cs="Arial"/>
        </w:rPr>
        <w:t>1</w:t>
      </w:r>
      <w:r w:rsidR="008256FE" w:rsidRPr="00BA5587">
        <w:rPr>
          <w:rFonts w:cs="Arial"/>
        </w:rPr>
        <w:t>4 countries</w:t>
      </w:r>
      <w:r w:rsidR="00C1230A" w:rsidRPr="00BA5587">
        <w:rPr>
          <w:rFonts w:cs="Arial"/>
        </w:rPr>
        <w:t xml:space="preserve"> </w:t>
      </w:r>
      <w:r w:rsidR="00A4773C" w:rsidRPr="00BA5587">
        <w:rPr>
          <w:rFonts w:cs="Arial"/>
        </w:rPr>
        <w:t>across Asia, North America and Europe and in UK, it has 30% market share only in UK.</w:t>
      </w:r>
      <w:r w:rsidR="00766843" w:rsidRPr="00BA5587">
        <w:rPr>
          <w:rFonts w:cs="Arial"/>
        </w:rPr>
        <w:t xml:space="preserve"> The firm has also expanded its operations in Malaysia, Thailand and Ireland. </w:t>
      </w:r>
      <w:r w:rsidR="008256FE" w:rsidRPr="00BA5587">
        <w:rPr>
          <w:rFonts w:cs="Arial"/>
        </w:rPr>
        <w:t xml:space="preserve">  </w:t>
      </w:r>
      <w:r w:rsidR="00104577" w:rsidRPr="00BA5587">
        <w:rPr>
          <w:rFonts w:cs="Arial"/>
        </w:rPr>
        <w:t xml:space="preserve">The Tesco Plc </w:t>
      </w:r>
      <w:r w:rsidR="00434F58" w:rsidRPr="00BA5587">
        <w:rPr>
          <w:rFonts w:cs="Arial"/>
        </w:rPr>
        <w:t xml:space="preserve">has several competitors under the retail industry in UK which includes the Sainsbury, ASDA, </w:t>
      </w:r>
      <w:r w:rsidR="00252BF2" w:rsidRPr="00BA5587">
        <w:rPr>
          <w:rFonts w:cs="Arial"/>
        </w:rPr>
        <w:t xml:space="preserve">Morrison’s’, etc which are called the big four grocery firms in UK. </w:t>
      </w:r>
      <w:r w:rsidR="00205A89" w:rsidRPr="00BA5587">
        <w:rPr>
          <w:rFonts w:cs="Arial"/>
        </w:rPr>
        <w:t xml:space="preserve">In the year 2018, the Tesco Plc has launched the National Charity Partnership by bringing together three leading health charities like Cancer research UK, Diabetes UK and British Heart Foundation. </w:t>
      </w:r>
      <w:r w:rsidR="00337FF9" w:rsidRPr="00BA5587">
        <w:rPr>
          <w:rFonts w:cs="Arial"/>
        </w:rPr>
        <w:t xml:space="preserve">The company’s mission is to focus on the customers </w:t>
      </w:r>
      <w:r w:rsidR="00827502" w:rsidRPr="00BA5587">
        <w:rPr>
          <w:rFonts w:cs="Arial"/>
        </w:rPr>
        <w:t>satisfaction through creating values for their customers to earn customers’ lifetime loyalty</w:t>
      </w:r>
      <w:r w:rsidR="0005336E" w:rsidRPr="00BA5587">
        <w:rPr>
          <w:rFonts w:cs="Arial"/>
        </w:rPr>
        <w:t xml:space="preserve"> (</w:t>
      </w:r>
      <w:r w:rsidR="0005336E" w:rsidRPr="00BA5587">
        <w:rPr>
          <w:rFonts w:cs="Arial"/>
          <w:color w:val="222222"/>
          <w:shd w:val="clear" w:color="auto" w:fill="FFFFFF"/>
        </w:rPr>
        <w:t>Guo and Wang, 2019</w:t>
      </w:r>
      <w:r w:rsidR="0005336E" w:rsidRPr="00BA5587">
        <w:rPr>
          <w:rFonts w:cs="Arial"/>
        </w:rPr>
        <w:t>)</w:t>
      </w:r>
      <w:r w:rsidR="00827502" w:rsidRPr="00BA5587">
        <w:rPr>
          <w:rFonts w:cs="Arial"/>
        </w:rPr>
        <w:t xml:space="preserve">. </w:t>
      </w:r>
      <w:r w:rsidR="00EB198E" w:rsidRPr="00BA5587">
        <w:rPr>
          <w:rFonts w:cs="Arial"/>
        </w:rPr>
        <w:t xml:space="preserve">The vision of the company is growing </w:t>
      </w:r>
      <w:r w:rsidR="00EE5259" w:rsidRPr="00BA5587">
        <w:rPr>
          <w:rFonts w:cs="Arial"/>
        </w:rPr>
        <w:t>company with the innovation through satisfying the customers by providing the quality and valued services and products and satisfying their eminent employees</w:t>
      </w:r>
      <w:r w:rsidR="00704488" w:rsidRPr="00BA5587">
        <w:rPr>
          <w:rFonts w:cs="Arial"/>
        </w:rPr>
        <w:t xml:space="preserve">. </w:t>
      </w:r>
      <w:r w:rsidR="00B43886" w:rsidRPr="00BA5587">
        <w:rPr>
          <w:rFonts w:cs="Arial"/>
        </w:rPr>
        <w:t xml:space="preserve">The firm will also </w:t>
      </w:r>
      <w:r w:rsidR="00007BA9" w:rsidRPr="00BA5587">
        <w:rPr>
          <w:rFonts w:cs="Arial"/>
        </w:rPr>
        <w:t xml:space="preserve">focus on the sustainable development and the growth through enhancing the activities in large scale by </w:t>
      </w:r>
      <w:r w:rsidR="00DB23C2" w:rsidRPr="00BA5587">
        <w:rPr>
          <w:rFonts w:cs="Arial"/>
        </w:rPr>
        <w:t>capturing the maximum number of customers under the retail and groceries industry.</w:t>
      </w:r>
      <w:r w:rsidR="00541F88" w:rsidRPr="00BA5587">
        <w:rPr>
          <w:rFonts w:cs="Arial"/>
        </w:rPr>
        <w:t xml:space="preserve"> </w:t>
      </w:r>
      <w:r w:rsidR="002A0554" w:rsidRPr="00BA5587">
        <w:rPr>
          <w:rFonts w:cs="Arial"/>
        </w:rPr>
        <w:t xml:space="preserve">The company has been maintained </w:t>
      </w:r>
      <w:r w:rsidR="005A68F2" w:rsidRPr="00BA5587">
        <w:rPr>
          <w:rFonts w:cs="Arial"/>
        </w:rPr>
        <w:t xml:space="preserve">efficient suppliers </w:t>
      </w:r>
      <w:r w:rsidR="007119F6" w:rsidRPr="00BA5587">
        <w:rPr>
          <w:rFonts w:cs="Arial"/>
        </w:rPr>
        <w:t xml:space="preserve">base </w:t>
      </w:r>
      <w:r w:rsidR="00615654" w:rsidRPr="00BA5587">
        <w:rPr>
          <w:rFonts w:cs="Arial"/>
        </w:rPr>
        <w:t xml:space="preserve">through merging with </w:t>
      </w:r>
      <w:r w:rsidR="009D4923" w:rsidRPr="00BA5587">
        <w:rPr>
          <w:rFonts w:cs="Arial"/>
        </w:rPr>
        <w:t>B</w:t>
      </w:r>
      <w:r w:rsidR="00615654" w:rsidRPr="00BA5587">
        <w:rPr>
          <w:rFonts w:cs="Arial"/>
        </w:rPr>
        <w:t>ooker</w:t>
      </w:r>
      <w:r w:rsidR="009D4923" w:rsidRPr="00BA5587">
        <w:rPr>
          <w:rFonts w:cs="Arial"/>
        </w:rPr>
        <w:t xml:space="preserve"> and the alliances with the Carrefour will also show the new opportunities </w:t>
      </w:r>
      <w:r w:rsidR="00FE4763" w:rsidRPr="00BA5587">
        <w:rPr>
          <w:rFonts w:cs="Arial"/>
        </w:rPr>
        <w:t xml:space="preserve">for the growth. </w:t>
      </w:r>
      <w:r w:rsidR="002D2584" w:rsidRPr="00BA5587">
        <w:rPr>
          <w:rFonts w:cs="Arial"/>
        </w:rPr>
        <w:t>This will help in enhancing the strategies of joint purchasing of own brand products and goods and which will not for the resale purposes.</w:t>
      </w:r>
      <w:r w:rsidR="00B25D5F" w:rsidRPr="00BA5587">
        <w:rPr>
          <w:rFonts w:cs="Arial"/>
        </w:rPr>
        <w:t xml:space="preserve"> </w:t>
      </w:r>
      <w:r w:rsidR="003D5EE3" w:rsidRPr="00BA5587">
        <w:rPr>
          <w:rFonts w:cs="Arial"/>
        </w:rPr>
        <w:t xml:space="preserve">The company’s </w:t>
      </w:r>
      <w:r w:rsidR="000418E1" w:rsidRPr="00BA5587">
        <w:rPr>
          <w:rFonts w:cs="Arial"/>
        </w:rPr>
        <w:t>group sales have been showing 56883 million out of which the 79% of sales have been captured by the UK</w:t>
      </w:r>
      <w:r w:rsidR="00A2745A" w:rsidRPr="00BA5587">
        <w:rPr>
          <w:rFonts w:cs="Arial"/>
        </w:rPr>
        <w:t>, 11% has been captured by the Central Europe, 8% has been captured by Asia and the rest of 2% are from the Tesco Bank</w:t>
      </w:r>
      <w:r w:rsidR="002D5A90" w:rsidRPr="00BA5587">
        <w:rPr>
          <w:rFonts w:cs="Arial"/>
        </w:rPr>
        <w:t xml:space="preserve"> (</w:t>
      </w:r>
      <w:proofErr w:type="spellStart"/>
      <w:r w:rsidR="002D5A90" w:rsidRPr="00BA5587">
        <w:rPr>
          <w:rFonts w:cs="Arial"/>
          <w:shd w:val="clear" w:color="auto" w:fill="FFFFFF"/>
        </w:rPr>
        <w:t>tescoplc</w:t>
      </w:r>
      <w:proofErr w:type="spellEnd"/>
      <w:r w:rsidR="002D5A90" w:rsidRPr="00BA5587">
        <w:rPr>
          <w:rFonts w:cs="Arial"/>
          <w:shd w:val="clear" w:color="auto" w:fill="FFFFFF"/>
        </w:rPr>
        <w:t>, 2020</w:t>
      </w:r>
      <w:r w:rsidR="002D5A90" w:rsidRPr="00BA5587">
        <w:rPr>
          <w:rFonts w:cs="Arial"/>
        </w:rPr>
        <w:t>)</w:t>
      </w:r>
      <w:r w:rsidR="00A2745A" w:rsidRPr="00BA5587">
        <w:rPr>
          <w:rFonts w:cs="Arial"/>
        </w:rPr>
        <w:t xml:space="preserve">. </w:t>
      </w:r>
      <w:r w:rsidR="00B2554C" w:rsidRPr="00BA5587">
        <w:rPr>
          <w:rFonts w:cs="Arial"/>
        </w:rPr>
        <w:t xml:space="preserve">The operating profit </w:t>
      </w:r>
      <w:r w:rsidR="00273C8B" w:rsidRPr="00BA5587">
        <w:rPr>
          <w:rFonts w:cs="Arial"/>
        </w:rPr>
        <w:t xml:space="preserve">of </w:t>
      </w:r>
      <w:r w:rsidR="00B2554C" w:rsidRPr="00BA5587">
        <w:rPr>
          <w:rFonts w:cs="Arial"/>
        </w:rPr>
        <w:t xml:space="preserve">1537 million pounds </w:t>
      </w:r>
      <w:r w:rsidR="00273C8B" w:rsidRPr="00BA5587">
        <w:rPr>
          <w:rFonts w:cs="Arial"/>
        </w:rPr>
        <w:t xml:space="preserve">have been </w:t>
      </w:r>
      <w:r w:rsidR="00061675" w:rsidRPr="00BA5587">
        <w:rPr>
          <w:rFonts w:cs="Arial"/>
        </w:rPr>
        <w:t xml:space="preserve">earned by the company </w:t>
      </w:r>
      <w:r w:rsidR="001D3FA0" w:rsidRPr="00BA5587">
        <w:rPr>
          <w:rFonts w:cs="Arial"/>
        </w:rPr>
        <w:t>by capturing the maximum number of customers.</w:t>
      </w:r>
      <w:r w:rsidR="00A159C4" w:rsidRPr="00BA5587">
        <w:rPr>
          <w:rFonts w:cs="Arial"/>
        </w:rPr>
        <w:t xml:space="preserve"> The company has been effectually capable</w:t>
      </w:r>
      <w:r w:rsidR="008270DC" w:rsidRPr="00BA5587">
        <w:rPr>
          <w:rFonts w:cs="Arial"/>
        </w:rPr>
        <w:t xml:space="preserve"> of building a </w:t>
      </w:r>
      <w:r w:rsidR="005A7996" w:rsidRPr="00BA5587">
        <w:rPr>
          <w:rFonts w:cs="Arial"/>
        </w:rPr>
        <w:t>close relationship</w:t>
      </w:r>
      <w:r w:rsidR="008270DC" w:rsidRPr="00BA5587">
        <w:rPr>
          <w:rFonts w:cs="Arial"/>
        </w:rPr>
        <w:t xml:space="preserve"> with the </w:t>
      </w:r>
      <w:r w:rsidR="005A7996" w:rsidRPr="00BA5587">
        <w:rPr>
          <w:rFonts w:cs="Arial"/>
        </w:rPr>
        <w:t>suppliers’</w:t>
      </w:r>
      <w:r w:rsidR="008270DC" w:rsidRPr="00BA5587">
        <w:rPr>
          <w:rFonts w:cs="Arial"/>
        </w:rPr>
        <w:t xml:space="preserve"> partners</w:t>
      </w:r>
      <w:r w:rsidR="0028455E" w:rsidRPr="00BA5587">
        <w:rPr>
          <w:rFonts w:cs="Arial"/>
        </w:rPr>
        <w:t xml:space="preserve"> to provide its’ customers the quality and the </w:t>
      </w:r>
      <w:r w:rsidR="00A5638E" w:rsidRPr="00BA5587">
        <w:rPr>
          <w:rFonts w:cs="Arial"/>
        </w:rPr>
        <w:t>best</w:t>
      </w:r>
      <w:r w:rsidR="00B020E3" w:rsidRPr="00BA5587">
        <w:rPr>
          <w:rFonts w:cs="Arial"/>
        </w:rPr>
        <w:t xml:space="preserve"> products and services </w:t>
      </w:r>
      <w:r w:rsidR="00E663E7" w:rsidRPr="00BA5587">
        <w:rPr>
          <w:rFonts w:cs="Arial"/>
        </w:rPr>
        <w:t xml:space="preserve">that will make them the leaders under the retail and groceries industry. </w:t>
      </w:r>
      <w:r w:rsidR="005A7996" w:rsidRPr="00BA5587">
        <w:rPr>
          <w:rFonts w:cs="Arial"/>
        </w:rPr>
        <w:t xml:space="preserve">The company has been focused on the </w:t>
      </w:r>
      <w:r w:rsidR="00B16003" w:rsidRPr="00BA5587">
        <w:rPr>
          <w:rFonts w:cs="Arial"/>
        </w:rPr>
        <w:t>employee’s</w:t>
      </w:r>
      <w:r w:rsidR="005A7996" w:rsidRPr="00BA5587">
        <w:rPr>
          <w:rFonts w:cs="Arial"/>
        </w:rPr>
        <w:t xml:space="preserve"> satisfaction </w:t>
      </w:r>
      <w:r w:rsidR="009575F5" w:rsidRPr="00BA5587">
        <w:rPr>
          <w:rFonts w:cs="Arial"/>
        </w:rPr>
        <w:t xml:space="preserve">through initiating the sustainable development </w:t>
      </w:r>
      <w:r w:rsidR="00FF1172" w:rsidRPr="00BA5587">
        <w:rPr>
          <w:rFonts w:cs="Arial"/>
        </w:rPr>
        <w:t xml:space="preserve">by maintaining the </w:t>
      </w:r>
      <w:r w:rsidR="00A158A4" w:rsidRPr="00BA5587">
        <w:rPr>
          <w:rFonts w:cs="Arial"/>
        </w:rPr>
        <w:t xml:space="preserve">ethical practices among the employees and the managers within the organisation. </w:t>
      </w:r>
      <w:r w:rsidR="00A8136B" w:rsidRPr="00BA5587">
        <w:rPr>
          <w:rFonts w:cs="Arial"/>
        </w:rPr>
        <w:t xml:space="preserve">The company has also been focused on the </w:t>
      </w:r>
      <w:r w:rsidR="00307EFC" w:rsidRPr="00BA5587">
        <w:rPr>
          <w:rFonts w:cs="Arial"/>
        </w:rPr>
        <w:t>stakeholder’s</w:t>
      </w:r>
      <w:r w:rsidR="00D15648" w:rsidRPr="00BA5587">
        <w:rPr>
          <w:rFonts w:cs="Arial"/>
        </w:rPr>
        <w:t xml:space="preserve"> value through </w:t>
      </w:r>
      <w:r w:rsidR="006E4ADB" w:rsidRPr="00BA5587">
        <w:rPr>
          <w:rFonts w:cs="Arial"/>
        </w:rPr>
        <w:t xml:space="preserve">providing them the higher level of dividends and the company has also been initiated the </w:t>
      </w:r>
      <w:r w:rsidR="00B53937" w:rsidRPr="00BA5587">
        <w:rPr>
          <w:rFonts w:cs="Arial"/>
        </w:rPr>
        <w:t xml:space="preserve">reinvestments plan for the stakeholders to build the </w:t>
      </w:r>
      <w:r w:rsidR="0046350F" w:rsidRPr="00BA5587">
        <w:rPr>
          <w:rFonts w:cs="Arial"/>
        </w:rPr>
        <w:t xml:space="preserve">efficient capital structure </w:t>
      </w:r>
      <w:r w:rsidR="00BB1416" w:rsidRPr="00BA5587">
        <w:rPr>
          <w:rFonts w:cs="Arial"/>
        </w:rPr>
        <w:t>within the organisation</w:t>
      </w:r>
      <w:r w:rsidR="00CC39D8" w:rsidRPr="00BA5587">
        <w:rPr>
          <w:rFonts w:cs="Arial"/>
        </w:rPr>
        <w:t xml:space="preserve"> (</w:t>
      </w:r>
      <w:proofErr w:type="spellStart"/>
      <w:r w:rsidR="00CC39D8" w:rsidRPr="00BA5587">
        <w:rPr>
          <w:rFonts w:cs="Arial"/>
          <w:color w:val="222222"/>
          <w:shd w:val="clear" w:color="auto" w:fill="FFFFFF"/>
        </w:rPr>
        <w:t>Awadari</w:t>
      </w:r>
      <w:proofErr w:type="spellEnd"/>
      <w:r w:rsidR="00CC39D8" w:rsidRPr="00BA5587">
        <w:rPr>
          <w:rFonts w:cs="Arial"/>
          <w:color w:val="222222"/>
          <w:shd w:val="clear" w:color="auto" w:fill="FFFFFF"/>
        </w:rPr>
        <w:t xml:space="preserve"> and </w:t>
      </w:r>
      <w:proofErr w:type="spellStart"/>
      <w:r w:rsidR="00CC39D8" w:rsidRPr="00BA5587">
        <w:rPr>
          <w:rFonts w:cs="Arial"/>
          <w:color w:val="222222"/>
          <w:shd w:val="clear" w:color="auto" w:fill="FFFFFF"/>
        </w:rPr>
        <w:t>Kanwal</w:t>
      </w:r>
      <w:proofErr w:type="spellEnd"/>
      <w:r w:rsidR="00CC39D8" w:rsidRPr="00BA5587">
        <w:rPr>
          <w:rFonts w:cs="Arial"/>
          <w:color w:val="222222"/>
          <w:shd w:val="clear" w:color="auto" w:fill="FFFFFF"/>
        </w:rPr>
        <w:t>, 2019</w:t>
      </w:r>
      <w:r w:rsidR="00CC39D8" w:rsidRPr="00BA5587">
        <w:rPr>
          <w:rFonts w:cs="Arial"/>
        </w:rPr>
        <w:t>)</w:t>
      </w:r>
      <w:r w:rsidR="00BB1416" w:rsidRPr="00BA5587">
        <w:rPr>
          <w:rFonts w:cs="Arial"/>
        </w:rPr>
        <w:t xml:space="preserve">. </w:t>
      </w:r>
      <w:r w:rsidR="00307EFC" w:rsidRPr="00BA5587">
        <w:rPr>
          <w:rFonts w:cs="Arial"/>
        </w:rPr>
        <w:t xml:space="preserve">Tesco Pc has been generated </w:t>
      </w:r>
      <w:r w:rsidR="00D479E2" w:rsidRPr="00BA5587">
        <w:rPr>
          <w:rFonts w:cs="Arial"/>
        </w:rPr>
        <w:t>9-billion-pound</w:t>
      </w:r>
      <w:r w:rsidR="00307EFC" w:rsidRPr="00BA5587">
        <w:rPr>
          <w:rFonts w:cs="Arial"/>
        </w:rPr>
        <w:t xml:space="preserve"> cash from its operations and the company has been abled enough in reducing its operating costs by 1.5 billion pounds </w:t>
      </w:r>
      <w:r w:rsidR="005E5519" w:rsidRPr="00BA5587">
        <w:rPr>
          <w:rFonts w:cs="Arial"/>
        </w:rPr>
        <w:t>through which the company can enhance its profitability margin for the long run period.</w:t>
      </w:r>
    </w:p>
    <w:p w14:paraId="55061FE4" w14:textId="45048338" w:rsidR="00E941F3" w:rsidRPr="00BA5587" w:rsidRDefault="00E941F3" w:rsidP="00A16144">
      <w:pPr>
        <w:pStyle w:val="Heading1"/>
        <w:numPr>
          <w:ilvl w:val="0"/>
          <w:numId w:val="1"/>
        </w:numPr>
        <w:rPr>
          <w:rFonts w:cs="Arial"/>
        </w:rPr>
      </w:pPr>
      <w:bookmarkStart w:id="4" w:name="_Toc51356190"/>
      <w:r w:rsidRPr="00BA5587">
        <w:rPr>
          <w:rFonts w:cs="Arial"/>
        </w:rPr>
        <w:t>Part B</w:t>
      </w:r>
      <w:bookmarkEnd w:id="4"/>
    </w:p>
    <w:p w14:paraId="7C413D8D" w14:textId="435050B1" w:rsidR="00E941F3" w:rsidRPr="00BA5587" w:rsidRDefault="00E941F3" w:rsidP="00A16144">
      <w:pPr>
        <w:pStyle w:val="Heading2"/>
        <w:numPr>
          <w:ilvl w:val="1"/>
          <w:numId w:val="1"/>
        </w:numPr>
        <w:rPr>
          <w:rFonts w:cs="Arial"/>
        </w:rPr>
      </w:pPr>
      <w:bookmarkStart w:id="5" w:name="_Toc51356191"/>
      <w:r w:rsidRPr="00BA5587">
        <w:rPr>
          <w:rFonts w:cs="Arial"/>
        </w:rPr>
        <w:t>Calculation of key financial ratios for last 5 financial years</w:t>
      </w:r>
      <w:bookmarkEnd w:id="5"/>
    </w:p>
    <w:p w14:paraId="5FB7BB00" w14:textId="59CC98D8" w:rsidR="00F10E73" w:rsidRPr="00BA5587" w:rsidRDefault="00F10E73" w:rsidP="00F10E73">
      <w:pPr>
        <w:rPr>
          <w:rFonts w:cs="Arial"/>
        </w:rPr>
      </w:pPr>
      <w:r w:rsidRPr="00BA5587">
        <w:rPr>
          <w:rFonts w:cs="Arial"/>
        </w:rPr>
        <w:t xml:space="preserve">Under the ratio analysis of Tesco Plc, five segments have been selected for the analysis of the financial position and the performance of the company under the retail and groceries </w:t>
      </w:r>
      <w:r w:rsidR="002F11FF" w:rsidRPr="00BA5587">
        <w:rPr>
          <w:rFonts w:cs="Arial"/>
        </w:rPr>
        <w:t>industry</w:t>
      </w:r>
      <w:r w:rsidRPr="00BA5587">
        <w:rPr>
          <w:rFonts w:cs="Arial"/>
        </w:rPr>
        <w:t xml:space="preserve">. </w:t>
      </w:r>
      <w:r w:rsidR="00884D16" w:rsidRPr="00BA5587">
        <w:rPr>
          <w:rFonts w:cs="Arial"/>
        </w:rPr>
        <w:t>Under the five financial segment</w:t>
      </w:r>
      <w:r w:rsidR="001040A4" w:rsidRPr="00BA5587">
        <w:rPr>
          <w:rFonts w:cs="Arial"/>
        </w:rPr>
        <w:t>s</w:t>
      </w:r>
      <w:r w:rsidR="00884D16" w:rsidRPr="00BA5587">
        <w:rPr>
          <w:rFonts w:cs="Arial"/>
        </w:rPr>
        <w:t>, the profit margin, efficiency level of the Tesco Plc</w:t>
      </w:r>
      <w:r w:rsidR="001040A4" w:rsidRPr="00BA5587">
        <w:rPr>
          <w:rFonts w:cs="Arial"/>
        </w:rPr>
        <w:t xml:space="preserve">, investment position, leverage situation will be focused. </w:t>
      </w:r>
    </w:p>
    <w:p w14:paraId="3C77602A" w14:textId="4D540BC9" w:rsidR="00740E45" w:rsidRPr="00BA5587" w:rsidRDefault="00740E45" w:rsidP="00F10E73">
      <w:pPr>
        <w:rPr>
          <w:rFonts w:cs="Arial"/>
        </w:rPr>
      </w:pPr>
      <w:r w:rsidRPr="00BA5587">
        <w:rPr>
          <w:rFonts w:cs="Arial"/>
        </w:rPr>
        <w:t xml:space="preserve">The profitability ratio will be defined in several manner but in this case, the operating profit margin has been defined </w:t>
      </w:r>
      <w:r w:rsidR="00037C2F" w:rsidRPr="00BA5587">
        <w:rPr>
          <w:rFonts w:cs="Arial"/>
        </w:rPr>
        <w:t>that is the operating margin will be found out in respect with the revenue margin of the Tesco Plc for the last 5 years financial years</w:t>
      </w:r>
      <w:r w:rsidR="001F1B62" w:rsidRPr="00BA5587">
        <w:rPr>
          <w:rFonts w:cs="Arial"/>
        </w:rPr>
        <w:t xml:space="preserve"> (</w:t>
      </w:r>
      <w:r w:rsidR="001F1B62" w:rsidRPr="00BA5587">
        <w:rPr>
          <w:rFonts w:cs="Arial"/>
          <w:color w:val="222222"/>
          <w:shd w:val="clear" w:color="auto" w:fill="FFFFFF"/>
        </w:rPr>
        <w:t>Bilbao-</w:t>
      </w:r>
      <w:proofErr w:type="spellStart"/>
      <w:r w:rsidR="001F1B62" w:rsidRPr="00BA5587">
        <w:rPr>
          <w:rFonts w:cs="Arial"/>
          <w:color w:val="222222"/>
          <w:shd w:val="clear" w:color="auto" w:fill="FFFFFF"/>
        </w:rPr>
        <w:t>Terol</w:t>
      </w:r>
      <w:proofErr w:type="spellEnd"/>
      <w:r w:rsidR="001F1B62" w:rsidRPr="00BA5587">
        <w:rPr>
          <w:rFonts w:cs="Arial"/>
          <w:color w:val="222222"/>
          <w:shd w:val="clear" w:color="auto" w:fill="FFFFFF"/>
        </w:rPr>
        <w:t xml:space="preserve"> et al., 2019</w:t>
      </w:r>
      <w:r w:rsidR="001F1B62" w:rsidRPr="00BA5587">
        <w:rPr>
          <w:rFonts w:cs="Arial"/>
        </w:rPr>
        <w:t>)</w:t>
      </w:r>
      <w:r w:rsidR="00037C2F" w:rsidRPr="00BA5587">
        <w:rPr>
          <w:rFonts w:cs="Arial"/>
        </w:rPr>
        <w:t>.</w:t>
      </w:r>
      <w:r w:rsidR="00DC02E3" w:rsidRPr="00BA5587">
        <w:rPr>
          <w:rFonts w:cs="Arial"/>
        </w:rPr>
        <w:t xml:space="preserve"> </w:t>
      </w:r>
      <w:r w:rsidR="00FE75D3" w:rsidRPr="00BA5587">
        <w:rPr>
          <w:rFonts w:cs="Arial"/>
        </w:rPr>
        <w:t xml:space="preserve"> The profitability ratio will be determined with the following formula:</w:t>
      </w:r>
    </w:p>
    <w:p w14:paraId="36C0F801" w14:textId="2A2455DA" w:rsidR="00FE75D3" w:rsidRPr="00BA5587" w:rsidRDefault="00FE75D3" w:rsidP="00F10E73">
      <w:pPr>
        <w:rPr>
          <w:rFonts w:cs="Arial"/>
        </w:rPr>
      </w:pPr>
      <m:oMathPara>
        <m:oMath>
          <m:r>
            <w:rPr>
              <w:rFonts w:ascii="Cambria Math" w:hAnsi="Cambria Math" w:cs="Arial"/>
            </w:rPr>
            <m:t>Profitability ratio= (operating profit/ revenue) * 100</m:t>
          </m:r>
        </m:oMath>
      </m:oMathPara>
    </w:p>
    <w:p w14:paraId="03B5545F" w14:textId="7793A238" w:rsidR="00DC02E3" w:rsidRPr="00BA5587" w:rsidRDefault="00DC02E3" w:rsidP="00DC02E3">
      <w:pPr>
        <w:jc w:val="center"/>
        <w:rPr>
          <w:rFonts w:cs="Arial"/>
        </w:rPr>
      </w:pPr>
      <w:r w:rsidRPr="00BA5587">
        <w:rPr>
          <w:rFonts w:cs="Arial"/>
          <w:noProof/>
          <w:lang w:val="bg-BG" w:eastAsia="bg-BG"/>
        </w:rPr>
        <w:drawing>
          <wp:inline distT="0" distB="0" distL="0" distR="0" wp14:anchorId="75C33600" wp14:editId="5CFBA159">
            <wp:extent cx="5505450" cy="2095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05450" cy="2095500"/>
                    </a:xfrm>
                    <a:prstGeom prst="rect">
                      <a:avLst/>
                    </a:prstGeom>
                  </pic:spPr>
                </pic:pic>
              </a:graphicData>
            </a:graphic>
          </wp:inline>
        </w:drawing>
      </w:r>
    </w:p>
    <w:p w14:paraId="2C4074DB" w14:textId="0BAC1C96" w:rsidR="00DC02E3" w:rsidRPr="00BA5587" w:rsidRDefault="00DC02E3" w:rsidP="00DC02E3">
      <w:pPr>
        <w:jc w:val="center"/>
        <w:rPr>
          <w:rFonts w:cs="Arial"/>
          <w:b/>
          <w:bCs/>
        </w:rPr>
      </w:pPr>
      <w:r w:rsidRPr="00BA5587">
        <w:rPr>
          <w:rFonts w:cs="Arial"/>
          <w:b/>
          <w:bCs/>
        </w:rPr>
        <w:t>Figure of profitability</w:t>
      </w:r>
    </w:p>
    <w:p w14:paraId="64D1656E" w14:textId="3CCCACD2" w:rsidR="00DC02E3" w:rsidRPr="00BA5587" w:rsidRDefault="00DC02E3" w:rsidP="00DC02E3">
      <w:pPr>
        <w:rPr>
          <w:rFonts w:cs="Arial"/>
        </w:rPr>
      </w:pPr>
      <w:r w:rsidRPr="00BA5587">
        <w:rPr>
          <w:rFonts w:cs="Arial"/>
        </w:rPr>
        <w:t xml:space="preserve">The above chart will show the </w:t>
      </w:r>
      <w:r w:rsidR="00655201" w:rsidRPr="00BA5587">
        <w:rPr>
          <w:rFonts w:cs="Arial"/>
        </w:rPr>
        <w:t>increasing</w:t>
      </w:r>
      <w:r w:rsidRPr="00BA5587">
        <w:rPr>
          <w:rFonts w:cs="Arial"/>
        </w:rPr>
        <w:t xml:space="preserve"> position of the profit margin of Tesco Plc and it will show th</w:t>
      </w:r>
      <w:r w:rsidR="00655201" w:rsidRPr="00BA5587">
        <w:rPr>
          <w:rFonts w:cs="Arial"/>
        </w:rPr>
        <w:t xml:space="preserve">at the revenue of the company will also </w:t>
      </w:r>
      <w:r w:rsidR="00AA6869" w:rsidRPr="00BA5587">
        <w:rPr>
          <w:rFonts w:cs="Arial"/>
        </w:rPr>
        <w:t>be increased</w:t>
      </w:r>
      <w:r w:rsidR="00655201" w:rsidRPr="00BA5587">
        <w:rPr>
          <w:rFonts w:cs="Arial"/>
        </w:rPr>
        <w:t xml:space="preserve"> in five years.</w:t>
      </w:r>
      <w:r w:rsidR="00861A15" w:rsidRPr="00BA5587">
        <w:rPr>
          <w:rFonts w:cs="Arial"/>
        </w:rPr>
        <w:t xml:space="preserve"> </w:t>
      </w:r>
    </w:p>
    <w:p w14:paraId="6858BF3C" w14:textId="783E096D" w:rsidR="00AA6869" w:rsidRPr="00BA5587" w:rsidRDefault="00AA6869" w:rsidP="00DC02E3">
      <w:pPr>
        <w:rPr>
          <w:rFonts w:cs="Arial"/>
        </w:rPr>
      </w:pPr>
      <w:r w:rsidRPr="00BA5587">
        <w:rPr>
          <w:rFonts w:cs="Arial"/>
        </w:rPr>
        <w:t xml:space="preserve">Under the liquidity position, the current ratio will be determined and this will verify whether the company has </w:t>
      </w:r>
      <w:r w:rsidR="00A90200" w:rsidRPr="00BA5587">
        <w:rPr>
          <w:rFonts w:cs="Arial"/>
        </w:rPr>
        <w:t xml:space="preserve">sufficient funds to meet all the liabilities </w:t>
      </w:r>
      <w:r w:rsidR="00A52B1F" w:rsidRPr="00BA5587">
        <w:rPr>
          <w:rFonts w:cs="Arial"/>
        </w:rPr>
        <w:t xml:space="preserve">through the </w:t>
      </w:r>
      <w:r w:rsidR="00253E12" w:rsidRPr="00BA5587">
        <w:rPr>
          <w:rFonts w:cs="Arial"/>
        </w:rPr>
        <w:t xml:space="preserve">liquid </w:t>
      </w:r>
      <w:r w:rsidR="00AC2F54" w:rsidRPr="00BA5587">
        <w:rPr>
          <w:rFonts w:cs="Arial"/>
        </w:rPr>
        <w:t>funds utilising the cash and the cash equivalents.</w:t>
      </w:r>
    </w:p>
    <w:p w14:paraId="7EFCA01E" w14:textId="2111864D" w:rsidR="00D2285B" w:rsidRPr="00BA5587" w:rsidRDefault="00D2285B" w:rsidP="00D2285B">
      <w:pPr>
        <w:jc w:val="center"/>
        <w:rPr>
          <w:rFonts w:cs="Arial"/>
        </w:rPr>
      </w:pPr>
      <w:r w:rsidRPr="00BA5587">
        <w:rPr>
          <w:rFonts w:cs="Arial"/>
          <w:noProof/>
          <w:lang w:val="bg-BG" w:eastAsia="bg-BG"/>
        </w:rPr>
        <w:drawing>
          <wp:inline distT="0" distB="0" distL="0" distR="0" wp14:anchorId="64C1ECFF" wp14:editId="7EADD10B">
            <wp:extent cx="5448300" cy="99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48300" cy="990600"/>
                    </a:xfrm>
                    <a:prstGeom prst="rect">
                      <a:avLst/>
                    </a:prstGeom>
                  </pic:spPr>
                </pic:pic>
              </a:graphicData>
            </a:graphic>
          </wp:inline>
        </w:drawing>
      </w:r>
    </w:p>
    <w:p w14:paraId="3859EF92" w14:textId="3ACFDECD" w:rsidR="00D2285B" w:rsidRPr="00BA5587" w:rsidRDefault="00D2285B" w:rsidP="00D2285B">
      <w:pPr>
        <w:jc w:val="center"/>
        <w:rPr>
          <w:rFonts w:cs="Arial"/>
          <w:b/>
          <w:bCs/>
        </w:rPr>
      </w:pPr>
      <w:r w:rsidRPr="00BA5587">
        <w:rPr>
          <w:rFonts w:cs="Arial"/>
          <w:b/>
          <w:bCs/>
        </w:rPr>
        <w:t>Figure of liquidity</w:t>
      </w:r>
    </w:p>
    <w:p w14:paraId="53A34041" w14:textId="52F2AB86" w:rsidR="00D2285B" w:rsidRPr="00BA5587" w:rsidRDefault="00F951D0" w:rsidP="00D2285B">
      <w:pPr>
        <w:rPr>
          <w:rFonts w:cs="Arial"/>
        </w:rPr>
      </w:pPr>
      <w:r w:rsidRPr="00BA5587">
        <w:rPr>
          <w:rFonts w:cs="Arial"/>
        </w:rPr>
        <w:t>The liquid ratio can be determined with the help of the formula of relationship of the current assets and current liabilities position within organisation.</w:t>
      </w:r>
      <w:r w:rsidR="00753001" w:rsidRPr="00BA5587">
        <w:rPr>
          <w:rFonts w:cs="Arial"/>
        </w:rPr>
        <w:t xml:space="preserve"> </w:t>
      </w:r>
    </w:p>
    <w:p w14:paraId="5F9DA42C" w14:textId="4EFE5C25" w:rsidR="00753001" w:rsidRPr="00BA5587" w:rsidRDefault="00FE75D3" w:rsidP="00D2285B">
      <w:pPr>
        <w:rPr>
          <w:rFonts w:eastAsiaTheme="minorEastAsia" w:cs="Arial"/>
        </w:rPr>
      </w:pPr>
      <m:oMathPara>
        <m:oMath>
          <m:r>
            <w:rPr>
              <w:rFonts w:ascii="Cambria Math" w:hAnsi="Cambria Math" w:cs="Arial"/>
            </w:rPr>
            <m:t>Liquid ratio= (current assets/ current liabilities)</m:t>
          </m:r>
        </m:oMath>
      </m:oMathPara>
    </w:p>
    <w:p w14:paraId="5C772DA7" w14:textId="58669B44" w:rsidR="00BD5E2A" w:rsidRPr="00BA5587" w:rsidRDefault="00FE75D3" w:rsidP="00D2285B">
      <w:pPr>
        <w:rPr>
          <w:rFonts w:eastAsiaTheme="minorEastAsia" w:cs="Arial"/>
        </w:rPr>
      </w:pPr>
      <w:r w:rsidRPr="00BA5587">
        <w:rPr>
          <w:rFonts w:eastAsiaTheme="minorEastAsia" w:cs="Arial"/>
        </w:rPr>
        <w:t xml:space="preserve">The leverages position can be determined with the help of the </w:t>
      </w:r>
      <w:r w:rsidR="000856FB" w:rsidRPr="00BA5587">
        <w:rPr>
          <w:rFonts w:eastAsiaTheme="minorEastAsia" w:cs="Arial"/>
        </w:rPr>
        <w:t>segregation of the equity and the debt position within the capital structure of Tesco Plc</w:t>
      </w:r>
      <w:r w:rsidR="009E7E21" w:rsidRPr="00BA5587">
        <w:rPr>
          <w:rFonts w:eastAsiaTheme="minorEastAsia" w:cs="Arial"/>
        </w:rPr>
        <w:t xml:space="preserve"> (</w:t>
      </w:r>
      <w:proofErr w:type="spellStart"/>
      <w:r w:rsidR="009E7E21" w:rsidRPr="00BA5587">
        <w:rPr>
          <w:rFonts w:cs="Arial"/>
          <w:color w:val="222222"/>
          <w:shd w:val="clear" w:color="auto" w:fill="FFFFFF"/>
        </w:rPr>
        <w:t>Laisasikorn</w:t>
      </w:r>
      <w:proofErr w:type="spellEnd"/>
      <w:r w:rsidR="009E7E21" w:rsidRPr="00BA5587">
        <w:rPr>
          <w:rFonts w:cs="Arial"/>
          <w:color w:val="222222"/>
          <w:shd w:val="clear" w:color="auto" w:fill="FFFFFF"/>
        </w:rPr>
        <w:t xml:space="preserve"> and </w:t>
      </w:r>
      <w:proofErr w:type="spellStart"/>
      <w:r w:rsidR="009E7E21" w:rsidRPr="00BA5587">
        <w:rPr>
          <w:rFonts w:cs="Arial"/>
          <w:color w:val="222222"/>
          <w:shd w:val="clear" w:color="auto" w:fill="FFFFFF"/>
        </w:rPr>
        <w:t>Rompho</w:t>
      </w:r>
      <w:proofErr w:type="spellEnd"/>
      <w:r w:rsidR="009E7E21" w:rsidRPr="00BA5587">
        <w:rPr>
          <w:rFonts w:cs="Arial"/>
          <w:color w:val="222222"/>
          <w:shd w:val="clear" w:color="auto" w:fill="FFFFFF"/>
        </w:rPr>
        <w:t>, 2019</w:t>
      </w:r>
      <w:r w:rsidR="009E7E21" w:rsidRPr="00BA5587">
        <w:rPr>
          <w:rFonts w:eastAsiaTheme="minorEastAsia" w:cs="Arial"/>
        </w:rPr>
        <w:t>)</w:t>
      </w:r>
      <w:r w:rsidR="000856FB" w:rsidRPr="00BA5587">
        <w:rPr>
          <w:rFonts w:eastAsiaTheme="minorEastAsia" w:cs="Arial"/>
        </w:rPr>
        <w:t xml:space="preserve">. </w:t>
      </w:r>
      <w:r w:rsidR="00BD5E2A" w:rsidRPr="00BA5587">
        <w:rPr>
          <w:rFonts w:eastAsiaTheme="minorEastAsia" w:cs="Arial"/>
        </w:rPr>
        <w:t>The leverages position can be determined with the help of the specific formula:</w:t>
      </w:r>
    </w:p>
    <w:p w14:paraId="0F21CA04" w14:textId="4C214CE5" w:rsidR="00FE75D3" w:rsidRPr="00BA5587" w:rsidRDefault="00BD5E2A" w:rsidP="00D2285B">
      <w:pPr>
        <w:rPr>
          <w:rFonts w:eastAsiaTheme="minorEastAsia" w:cs="Arial"/>
        </w:rPr>
      </w:pPr>
      <m:oMathPara>
        <m:oMath>
          <m:r>
            <w:rPr>
              <w:rFonts w:ascii="Cambria Math" w:eastAsiaTheme="minorEastAsia" w:hAnsi="Cambria Math" w:cs="Arial"/>
            </w:rPr>
            <m:t xml:space="preserve">Leverage position= (total debt / Total equity) </m:t>
          </m:r>
        </m:oMath>
      </m:oMathPara>
    </w:p>
    <w:p w14:paraId="348FCA1A" w14:textId="355F61E1" w:rsidR="00BD5E2A" w:rsidRPr="00BA5587" w:rsidRDefault="00EE0F26" w:rsidP="00D2285B">
      <w:pPr>
        <w:rPr>
          <w:rFonts w:cs="Arial"/>
        </w:rPr>
      </w:pPr>
      <w:r w:rsidRPr="00BA5587">
        <w:rPr>
          <w:rFonts w:eastAsiaTheme="minorEastAsia" w:cs="Arial"/>
        </w:rPr>
        <w:t>This will promote the risk proportion of the firm whether the higher leverage will determine the higher debt funds within the capital structure.</w:t>
      </w:r>
      <w:r w:rsidR="003B0AFF" w:rsidRPr="00BA5587">
        <w:rPr>
          <w:rFonts w:cs="Arial"/>
        </w:rPr>
        <w:t xml:space="preserve"> </w:t>
      </w:r>
    </w:p>
    <w:p w14:paraId="4772060D" w14:textId="704D59AD" w:rsidR="009E686C" w:rsidRPr="00BA5587" w:rsidRDefault="009E686C" w:rsidP="009E686C">
      <w:pPr>
        <w:jc w:val="center"/>
        <w:rPr>
          <w:rFonts w:cs="Arial"/>
        </w:rPr>
      </w:pPr>
      <w:r w:rsidRPr="00BA5587">
        <w:rPr>
          <w:rFonts w:cs="Arial"/>
          <w:noProof/>
          <w:lang w:val="bg-BG" w:eastAsia="bg-BG"/>
        </w:rPr>
        <w:drawing>
          <wp:inline distT="0" distB="0" distL="0" distR="0" wp14:anchorId="5AA53875" wp14:editId="0F73C416">
            <wp:extent cx="5495925" cy="990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95925" cy="990600"/>
                    </a:xfrm>
                    <a:prstGeom prst="rect">
                      <a:avLst/>
                    </a:prstGeom>
                  </pic:spPr>
                </pic:pic>
              </a:graphicData>
            </a:graphic>
          </wp:inline>
        </w:drawing>
      </w:r>
    </w:p>
    <w:p w14:paraId="3CF34422" w14:textId="6B4F11FD" w:rsidR="00241361" w:rsidRPr="00BA5587" w:rsidRDefault="00241361" w:rsidP="009E686C">
      <w:pPr>
        <w:rPr>
          <w:rFonts w:cs="Arial"/>
        </w:rPr>
      </w:pPr>
      <w:r w:rsidRPr="00BA5587">
        <w:rPr>
          <w:rFonts w:cs="Arial"/>
        </w:rPr>
        <w:t xml:space="preserve">The total assets turnover ratio can be found out </w:t>
      </w:r>
      <w:r w:rsidR="00B70CFD" w:rsidRPr="00BA5587">
        <w:rPr>
          <w:rFonts w:cs="Arial"/>
        </w:rPr>
        <w:t>with the proportion of the total assets within the revenue and the total assets turnover formula can be showed in following manner:</w:t>
      </w:r>
    </w:p>
    <w:p w14:paraId="53721709" w14:textId="36010A10" w:rsidR="00B70CFD" w:rsidRPr="00BA5587" w:rsidRDefault="00B70CFD" w:rsidP="009E686C">
      <w:pPr>
        <w:rPr>
          <w:rFonts w:eastAsiaTheme="minorEastAsia" w:cs="Arial"/>
        </w:rPr>
      </w:pPr>
      <m:oMathPara>
        <m:oMath>
          <m:r>
            <w:rPr>
              <w:rFonts w:ascii="Cambria Math" w:hAnsi="Cambria Math" w:cs="Arial"/>
            </w:rPr>
            <m:t>Total assets turnover= (revenue/ total assets)</m:t>
          </m:r>
        </m:oMath>
      </m:oMathPara>
    </w:p>
    <w:p w14:paraId="60EBCE78" w14:textId="77466A0F" w:rsidR="00074556" w:rsidRPr="00BA5587" w:rsidRDefault="00074556" w:rsidP="00074556">
      <w:pPr>
        <w:jc w:val="center"/>
        <w:rPr>
          <w:rFonts w:cs="Arial"/>
        </w:rPr>
      </w:pPr>
      <w:r w:rsidRPr="00BA5587">
        <w:rPr>
          <w:rFonts w:cs="Arial"/>
          <w:noProof/>
          <w:lang w:val="bg-BG" w:eastAsia="bg-BG"/>
        </w:rPr>
        <w:drawing>
          <wp:inline distT="0" distB="0" distL="0" distR="0" wp14:anchorId="51E73183" wp14:editId="2D635BC3">
            <wp:extent cx="5495925" cy="9525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95925" cy="952500"/>
                    </a:xfrm>
                    <a:prstGeom prst="rect">
                      <a:avLst/>
                    </a:prstGeom>
                  </pic:spPr>
                </pic:pic>
              </a:graphicData>
            </a:graphic>
          </wp:inline>
        </w:drawing>
      </w:r>
    </w:p>
    <w:p w14:paraId="635FBFB4" w14:textId="1BB52173" w:rsidR="00074556" w:rsidRPr="00BA5587" w:rsidRDefault="00074556" w:rsidP="00074556">
      <w:pPr>
        <w:rPr>
          <w:rFonts w:cs="Arial"/>
        </w:rPr>
      </w:pPr>
      <w:r w:rsidRPr="00BA5587">
        <w:rPr>
          <w:rFonts w:cs="Arial"/>
        </w:rPr>
        <w:t>It can be observed that the Tesco Plc has increasing trends of assets turnover which was 1.29 in the year 2015 and it has increased to 1.31 in the year 2019.</w:t>
      </w:r>
    </w:p>
    <w:p w14:paraId="0ED0F28D" w14:textId="00979EF4" w:rsidR="007D768C" w:rsidRPr="00BA5587" w:rsidRDefault="007D768C" w:rsidP="00074556">
      <w:pPr>
        <w:rPr>
          <w:rFonts w:cs="Arial"/>
        </w:rPr>
      </w:pPr>
      <w:r w:rsidRPr="00BA5587">
        <w:rPr>
          <w:rFonts w:cs="Arial"/>
        </w:rPr>
        <w:t xml:space="preserve">The ROCE can be found out with the formula of proportion of capital employed within the </w:t>
      </w:r>
      <w:r w:rsidR="00E51FF8" w:rsidRPr="00BA5587">
        <w:rPr>
          <w:rFonts w:cs="Arial"/>
        </w:rPr>
        <w:t>net income of the company that is the com</w:t>
      </w:r>
      <w:r w:rsidR="00C16E0E" w:rsidRPr="00BA5587">
        <w:rPr>
          <w:rFonts w:cs="Arial"/>
        </w:rPr>
        <w:t>p</w:t>
      </w:r>
      <w:r w:rsidR="00E51FF8" w:rsidRPr="00BA5587">
        <w:rPr>
          <w:rFonts w:cs="Arial"/>
        </w:rPr>
        <w:t>any how much efficient in earning income through engaging the capital within the organisation</w:t>
      </w:r>
      <w:r w:rsidR="00EA5CA3" w:rsidRPr="00BA5587">
        <w:rPr>
          <w:rFonts w:cs="Arial"/>
        </w:rPr>
        <w:t xml:space="preserve"> (</w:t>
      </w:r>
      <w:r w:rsidR="00EA5CA3" w:rsidRPr="00BA5587">
        <w:rPr>
          <w:rFonts w:cs="Arial"/>
          <w:color w:val="222222"/>
          <w:shd w:val="clear" w:color="auto" w:fill="FFFFFF"/>
        </w:rPr>
        <w:t>Vilas et al., 2019</w:t>
      </w:r>
      <w:r w:rsidR="00EA5CA3" w:rsidRPr="00BA5587">
        <w:rPr>
          <w:rFonts w:cs="Arial"/>
        </w:rPr>
        <w:t>)</w:t>
      </w:r>
      <w:r w:rsidR="00E51FF8" w:rsidRPr="00BA5587">
        <w:rPr>
          <w:rFonts w:cs="Arial"/>
        </w:rPr>
        <w:t>.</w:t>
      </w:r>
      <w:r w:rsidR="00175CA7" w:rsidRPr="00BA5587">
        <w:rPr>
          <w:rFonts w:cs="Arial"/>
        </w:rPr>
        <w:t xml:space="preserve"> </w:t>
      </w:r>
      <w:r w:rsidR="00006929" w:rsidRPr="00BA5587">
        <w:rPr>
          <w:rFonts w:cs="Arial"/>
        </w:rPr>
        <w:t>The formula of ROCE:</w:t>
      </w:r>
    </w:p>
    <w:p w14:paraId="561DA126" w14:textId="274AE461" w:rsidR="00006929" w:rsidRPr="00BA5587" w:rsidRDefault="00006929" w:rsidP="00074556">
      <w:pPr>
        <w:rPr>
          <w:rFonts w:eastAsiaTheme="minorEastAsia" w:cs="Arial"/>
        </w:rPr>
      </w:pPr>
      <m:oMathPara>
        <m:oMath>
          <m:r>
            <w:rPr>
              <w:rFonts w:ascii="Cambria Math" w:hAnsi="Cambria Math" w:cs="Arial"/>
            </w:rPr>
            <m:t xml:space="preserve">ROCE = (net income / capital employed) </m:t>
          </m:r>
        </m:oMath>
      </m:oMathPara>
    </w:p>
    <w:p w14:paraId="7F282F48" w14:textId="6CEF08D6" w:rsidR="00006929" w:rsidRPr="00BA5587" w:rsidRDefault="00006929" w:rsidP="00074556">
      <w:pPr>
        <w:rPr>
          <w:rFonts w:eastAsiaTheme="minorEastAsia" w:cs="Arial"/>
        </w:rPr>
      </w:pPr>
      <w:r w:rsidRPr="00BA5587">
        <w:rPr>
          <w:rFonts w:eastAsiaTheme="minorEastAsia" w:cs="Arial"/>
        </w:rPr>
        <w:t xml:space="preserve">The capital employed can be determined </w:t>
      </w:r>
      <w:r w:rsidR="004419CD" w:rsidRPr="00BA5587">
        <w:rPr>
          <w:rFonts w:eastAsiaTheme="minorEastAsia" w:cs="Arial"/>
        </w:rPr>
        <w:t xml:space="preserve">by adding the current assets with the fixed assets and the current liabilities should be deducted from the total assets. </w:t>
      </w:r>
    </w:p>
    <w:p w14:paraId="2932EEA2" w14:textId="422AB3DF" w:rsidR="006F2A28" w:rsidRPr="00BA5587" w:rsidRDefault="006F2A28" w:rsidP="006F2A28">
      <w:pPr>
        <w:jc w:val="center"/>
        <w:rPr>
          <w:rFonts w:cs="Arial"/>
        </w:rPr>
      </w:pPr>
      <w:r w:rsidRPr="00BA5587">
        <w:rPr>
          <w:rFonts w:cs="Arial"/>
          <w:noProof/>
          <w:lang w:val="bg-BG" w:eastAsia="bg-BG"/>
        </w:rPr>
        <w:drawing>
          <wp:inline distT="0" distB="0" distL="0" distR="0" wp14:anchorId="34F57184" wp14:editId="4710B709">
            <wp:extent cx="5448300" cy="971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48300" cy="971550"/>
                    </a:xfrm>
                    <a:prstGeom prst="rect">
                      <a:avLst/>
                    </a:prstGeom>
                  </pic:spPr>
                </pic:pic>
              </a:graphicData>
            </a:graphic>
          </wp:inline>
        </w:drawing>
      </w:r>
    </w:p>
    <w:p w14:paraId="6C34C72D" w14:textId="77777777" w:rsidR="006F69C1" w:rsidRPr="00BA5587" w:rsidRDefault="00712B57" w:rsidP="006F2A28">
      <w:pPr>
        <w:rPr>
          <w:rFonts w:cs="Arial"/>
        </w:rPr>
      </w:pPr>
      <w:r w:rsidRPr="00BA5587">
        <w:rPr>
          <w:rFonts w:cs="Arial"/>
        </w:rPr>
        <w:t>The P/E ratio will show the investments position of the firm that is from the investors’ perspective</w:t>
      </w:r>
      <w:r w:rsidR="00145142" w:rsidRPr="00BA5587">
        <w:rPr>
          <w:rFonts w:cs="Arial"/>
        </w:rPr>
        <w:t xml:space="preserve">, the price earning relationship will show the shares value under the capital and money market. </w:t>
      </w:r>
      <w:r w:rsidR="006F69C1" w:rsidRPr="00BA5587">
        <w:rPr>
          <w:rFonts w:cs="Arial"/>
        </w:rPr>
        <w:t>The P/E ratio can be calculated with the help of the following formula:</w:t>
      </w:r>
    </w:p>
    <w:p w14:paraId="7B433A04" w14:textId="52426F46" w:rsidR="006F2A28" w:rsidRPr="00BA5587" w:rsidRDefault="006F69C1" w:rsidP="006F2A28">
      <w:pPr>
        <w:rPr>
          <w:rFonts w:eastAsiaTheme="minorEastAsia" w:cs="Arial"/>
        </w:rPr>
      </w:pPr>
      <m:oMathPara>
        <m:oMath>
          <m:r>
            <w:rPr>
              <w:rFonts w:ascii="Cambria Math" w:hAnsi="Cambria Math" w:cs="Arial"/>
            </w:rPr>
            <m:t xml:space="preserve">P/E ratio = (market price of share/ earnings per share) </m:t>
          </m:r>
        </m:oMath>
      </m:oMathPara>
    </w:p>
    <w:p w14:paraId="59B3A060" w14:textId="3C69D56C" w:rsidR="006F69C1" w:rsidRPr="00BA5587" w:rsidRDefault="00311F2C" w:rsidP="00311F2C">
      <w:pPr>
        <w:jc w:val="center"/>
        <w:rPr>
          <w:rFonts w:cs="Arial"/>
        </w:rPr>
      </w:pPr>
      <w:r w:rsidRPr="00BA5587">
        <w:rPr>
          <w:rFonts w:cs="Arial"/>
          <w:noProof/>
          <w:lang w:val="bg-BG" w:eastAsia="bg-BG"/>
        </w:rPr>
        <w:drawing>
          <wp:inline distT="0" distB="0" distL="0" distR="0" wp14:anchorId="115F769C" wp14:editId="1655F7B2">
            <wp:extent cx="5457825" cy="9715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57825" cy="971550"/>
                    </a:xfrm>
                    <a:prstGeom prst="rect">
                      <a:avLst/>
                    </a:prstGeom>
                  </pic:spPr>
                </pic:pic>
              </a:graphicData>
            </a:graphic>
          </wp:inline>
        </w:drawing>
      </w:r>
    </w:p>
    <w:p w14:paraId="123784AE" w14:textId="069929AE" w:rsidR="00E941F3" w:rsidRPr="00BA5587" w:rsidRDefault="00E941F3" w:rsidP="00A16144">
      <w:pPr>
        <w:pStyle w:val="Heading2"/>
        <w:numPr>
          <w:ilvl w:val="1"/>
          <w:numId w:val="1"/>
        </w:numPr>
        <w:rPr>
          <w:rFonts w:cs="Arial"/>
        </w:rPr>
      </w:pPr>
      <w:bookmarkStart w:id="6" w:name="_Toc51356192"/>
      <w:r w:rsidRPr="00BA5587">
        <w:rPr>
          <w:rFonts w:cs="Arial"/>
        </w:rPr>
        <w:t>Critical evaluation of ratio an</w:t>
      </w:r>
      <w:r w:rsidR="000A7F9C" w:rsidRPr="00BA5587">
        <w:rPr>
          <w:rFonts w:cs="Arial"/>
        </w:rPr>
        <w:t>a</w:t>
      </w:r>
      <w:r w:rsidRPr="00BA5587">
        <w:rPr>
          <w:rFonts w:cs="Arial"/>
        </w:rPr>
        <w:t>lysis</w:t>
      </w:r>
      <w:r w:rsidR="00927B32" w:rsidRPr="00BA5587">
        <w:rPr>
          <w:rFonts w:cs="Arial"/>
        </w:rPr>
        <w:t xml:space="preserve"> and Comparison with the competitors</w:t>
      </w:r>
      <w:bookmarkEnd w:id="6"/>
    </w:p>
    <w:p w14:paraId="4A9D822B" w14:textId="62500BED" w:rsidR="00037EAB" w:rsidRPr="00BA5587" w:rsidRDefault="00037EAB" w:rsidP="00037EAB">
      <w:pPr>
        <w:rPr>
          <w:rFonts w:cs="Arial"/>
        </w:rPr>
      </w:pPr>
      <w:r w:rsidRPr="00BA5587">
        <w:rPr>
          <w:rFonts w:cs="Arial"/>
        </w:rPr>
        <w:t>The ROCE and the return on the total assets have been showing the efficiency level of the firm after investing capital employed and the total assets within the organisation and this will promote the maximum profit margin will show how the organisation is efficient in terms with the utilisation of its assets and the capital employed in optimum level</w:t>
      </w:r>
      <w:r w:rsidR="005179FD" w:rsidRPr="00BA5587">
        <w:rPr>
          <w:rFonts w:cs="Arial"/>
        </w:rPr>
        <w:t xml:space="preserve"> (</w:t>
      </w:r>
      <w:r w:rsidR="005179FD" w:rsidRPr="00BA5587">
        <w:rPr>
          <w:rFonts w:cs="Arial"/>
          <w:color w:val="222222"/>
          <w:shd w:val="clear" w:color="auto" w:fill="FFFFFF"/>
        </w:rPr>
        <w:t xml:space="preserve">Tahir, Ibrahim and </w:t>
      </w:r>
      <w:proofErr w:type="spellStart"/>
      <w:r w:rsidR="005179FD" w:rsidRPr="00BA5587">
        <w:rPr>
          <w:rFonts w:cs="Arial"/>
          <w:color w:val="222222"/>
          <w:shd w:val="clear" w:color="auto" w:fill="FFFFFF"/>
        </w:rPr>
        <w:t>Nurullah</w:t>
      </w:r>
      <w:proofErr w:type="spellEnd"/>
      <w:r w:rsidR="005179FD" w:rsidRPr="00BA5587">
        <w:rPr>
          <w:rFonts w:cs="Arial"/>
          <w:color w:val="222222"/>
          <w:shd w:val="clear" w:color="auto" w:fill="FFFFFF"/>
        </w:rPr>
        <w:t>, 2019</w:t>
      </w:r>
      <w:r w:rsidR="005179FD" w:rsidRPr="00BA5587">
        <w:rPr>
          <w:rFonts w:cs="Arial"/>
        </w:rPr>
        <w:t>)</w:t>
      </w:r>
      <w:r w:rsidRPr="00BA5587">
        <w:rPr>
          <w:rFonts w:cs="Arial"/>
        </w:rPr>
        <w:t xml:space="preserve">. On the other words, the leverages will show the capital structure position within the Tesco Plc and it will define the risk association of the firm under the capital and money market in UK. </w:t>
      </w:r>
    </w:p>
    <w:p w14:paraId="041FB463" w14:textId="7CB7C1AE" w:rsidR="003410EC" w:rsidRPr="00BA5587" w:rsidRDefault="003410EC" w:rsidP="002549FA">
      <w:pPr>
        <w:jc w:val="center"/>
        <w:rPr>
          <w:rFonts w:cs="Arial"/>
        </w:rPr>
      </w:pPr>
      <w:r w:rsidRPr="00BA5587">
        <w:rPr>
          <w:rFonts w:cs="Arial"/>
          <w:noProof/>
          <w:lang w:val="bg-BG" w:eastAsia="bg-BG"/>
        </w:rPr>
        <w:drawing>
          <wp:inline distT="0" distB="0" distL="0" distR="0" wp14:anchorId="561E5606" wp14:editId="2C7AC3D6">
            <wp:extent cx="4178300" cy="2533650"/>
            <wp:effectExtent l="0" t="0" r="0" b="0"/>
            <wp:docPr id="7" name="Chart 7">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FD030D80-8862-449E-AC10-4C574E4E0E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08E215B" w14:textId="4A214B8F" w:rsidR="002549FA" w:rsidRPr="00BA5587" w:rsidRDefault="002549FA" w:rsidP="002549FA">
      <w:pPr>
        <w:jc w:val="center"/>
        <w:rPr>
          <w:rFonts w:cs="Arial"/>
          <w:b/>
          <w:bCs/>
        </w:rPr>
      </w:pPr>
      <w:r w:rsidRPr="00BA5587">
        <w:rPr>
          <w:rFonts w:cs="Arial"/>
          <w:b/>
          <w:bCs/>
        </w:rPr>
        <w:t>Comparative Profitability ratio for the last five years</w:t>
      </w:r>
    </w:p>
    <w:p w14:paraId="7A5C795F" w14:textId="1014D3BB" w:rsidR="007F31FC" w:rsidRPr="00BA5587" w:rsidRDefault="007F31FC" w:rsidP="007F31FC">
      <w:pPr>
        <w:rPr>
          <w:rFonts w:cs="Arial"/>
        </w:rPr>
      </w:pPr>
      <w:r w:rsidRPr="00BA5587">
        <w:rPr>
          <w:rFonts w:cs="Arial"/>
        </w:rPr>
        <w:t xml:space="preserve">From the above figure, it can be seen that </w:t>
      </w:r>
      <w:r w:rsidR="000A2C52" w:rsidRPr="00BA5587">
        <w:rPr>
          <w:rFonts w:cs="Arial"/>
        </w:rPr>
        <w:t xml:space="preserve">from the losses position in the </w:t>
      </w:r>
      <w:r w:rsidR="00F43E27" w:rsidRPr="00BA5587">
        <w:rPr>
          <w:rFonts w:cs="Arial"/>
        </w:rPr>
        <w:t>year 2015</w:t>
      </w:r>
      <w:r w:rsidR="00C71043" w:rsidRPr="00BA5587">
        <w:rPr>
          <w:rFonts w:cs="Arial"/>
        </w:rPr>
        <w:t xml:space="preserve">, the firm has been earned the profit margin in the year 2019 </w:t>
      </w:r>
      <w:r w:rsidR="00791247" w:rsidRPr="00BA5587">
        <w:rPr>
          <w:rFonts w:cs="Arial"/>
        </w:rPr>
        <w:t xml:space="preserve">and in compared with the Sainsbury Plc, Tesco Plc has been </w:t>
      </w:r>
      <w:r w:rsidR="00E04048" w:rsidRPr="00BA5587">
        <w:rPr>
          <w:rFonts w:cs="Arial"/>
        </w:rPr>
        <w:t xml:space="preserve">earned higher level of profit </w:t>
      </w:r>
      <w:r w:rsidR="009A676B" w:rsidRPr="00BA5587">
        <w:rPr>
          <w:rFonts w:cs="Arial"/>
        </w:rPr>
        <w:t xml:space="preserve">through enhancing the revenue margin. This can be possible only when </w:t>
      </w:r>
      <w:r w:rsidR="00D60E92" w:rsidRPr="00BA5587">
        <w:rPr>
          <w:rFonts w:cs="Arial"/>
        </w:rPr>
        <w:t xml:space="preserve">the Tesco Plc will approach to the higher number of customers under the retail and groceries industry in UK. </w:t>
      </w:r>
      <w:r w:rsidR="007E1656" w:rsidRPr="00BA5587">
        <w:rPr>
          <w:rFonts w:cs="Arial"/>
        </w:rPr>
        <w:t xml:space="preserve">In the last five financial years, </w:t>
      </w:r>
      <w:r w:rsidR="00347534" w:rsidRPr="00BA5587">
        <w:rPr>
          <w:rFonts w:cs="Arial"/>
        </w:rPr>
        <w:t xml:space="preserve">Tesco Plc has enhanced its revenue margin which will promote the higher profit margin and at the same time </w:t>
      </w:r>
      <w:r w:rsidR="007B22AC" w:rsidRPr="00BA5587">
        <w:rPr>
          <w:rFonts w:cs="Arial"/>
        </w:rPr>
        <w:t xml:space="preserve">the Tesco Plc has been abled </w:t>
      </w:r>
      <w:r w:rsidR="008C74B4" w:rsidRPr="00BA5587">
        <w:rPr>
          <w:rFonts w:cs="Arial"/>
        </w:rPr>
        <w:t xml:space="preserve">to reduce the </w:t>
      </w:r>
      <w:r w:rsidR="00EA06C5" w:rsidRPr="00BA5587">
        <w:rPr>
          <w:rFonts w:cs="Arial"/>
        </w:rPr>
        <w:t xml:space="preserve">operating costs </w:t>
      </w:r>
      <w:r w:rsidR="00064A47" w:rsidRPr="00BA5587">
        <w:rPr>
          <w:rFonts w:cs="Arial"/>
        </w:rPr>
        <w:t xml:space="preserve">in these last five years. Therefore, the firm has </w:t>
      </w:r>
      <w:r w:rsidR="004D7F92" w:rsidRPr="00BA5587">
        <w:rPr>
          <w:rFonts w:cs="Arial"/>
        </w:rPr>
        <w:t xml:space="preserve">focused in its </w:t>
      </w:r>
      <w:r w:rsidR="00524A4C" w:rsidRPr="00BA5587">
        <w:rPr>
          <w:rFonts w:cs="Arial"/>
        </w:rPr>
        <w:t>large-scale</w:t>
      </w:r>
      <w:r w:rsidR="004D7F92" w:rsidRPr="00BA5587">
        <w:rPr>
          <w:rFonts w:cs="Arial"/>
        </w:rPr>
        <w:t xml:space="preserve"> production and operations </w:t>
      </w:r>
      <w:r w:rsidR="0068646C" w:rsidRPr="00BA5587">
        <w:rPr>
          <w:rFonts w:cs="Arial"/>
        </w:rPr>
        <w:t xml:space="preserve">which will help in enhancing the revenue margin </w:t>
      </w:r>
      <w:r w:rsidR="003B0BF3" w:rsidRPr="00BA5587">
        <w:rPr>
          <w:rFonts w:cs="Arial"/>
        </w:rPr>
        <w:t xml:space="preserve">but the operation costs will </w:t>
      </w:r>
      <w:r w:rsidR="004A71E4" w:rsidRPr="00BA5587">
        <w:rPr>
          <w:rFonts w:cs="Arial"/>
        </w:rPr>
        <w:t xml:space="preserve">be lowered and the firm will be able to produce and promote the quality products and services </w:t>
      </w:r>
      <w:r w:rsidR="00126CD1" w:rsidRPr="00BA5587">
        <w:rPr>
          <w:rFonts w:cs="Arial"/>
        </w:rPr>
        <w:t xml:space="preserve">towards the customers </w:t>
      </w:r>
      <w:r w:rsidR="002E593C" w:rsidRPr="00BA5587">
        <w:rPr>
          <w:rFonts w:cs="Arial"/>
        </w:rPr>
        <w:t>within minimum production and operation costs</w:t>
      </w:r>
      <w:r w:rsidR="003F1E68" w:rsidRPr="00BA5587">
        <w:rPr>
          <w:rFonts w:cs="Arial"/>
        </w:rPr>
        <w:t xml:space="preserve"> (</w:t>
      </w:r>
      <w:proofErr w:type="spellStart"/>
      <w:r w:rsidR="003F1E68" w:rsidRPr="00BA5587">
        <w:rPr>
          <w:rFonts w:cs="Arial"/>
          <w:color w:val="222222"/>
          <w:shd w:val="clear" w:color="auto" w:fill="FFFFFF"/>
        </w:rPr>
        <w:t>Xie</w:t>
      </w:r>
      <w:proofErr w:type="spellEnd"/>
      <w:r w:rsidR="003F1E68" w:rsidRPr="00BA5587">
        <w:rPr>
          <w:rFonts w:cs="Arial"/>
          <w:color w:val="222222"/>
          <w:shd w:val="clear" w:color="auto" w:fill="FFFFFF"/>
        </w:rPr>
        <w:t xml:space="preserve">, </w:t>
      </w:r>
      <w:proofErr w:type="spellStart"/>
      <w:r w:rsidR="003F1E68" w:rsidRPr="00BA5587">
        <w:rPr>
          <w:rFonts w:cs="Arial"/>
          <w:color w:val="222222"/>
          <w:shd w:val="clear" w:color="auto" w:fill="FFFFFF"/>
        </w:rPr>
        <w:t>Huo</w:t>
      </w:r>
      <w:proofErr w:type="spellEnd"/>
      <w:r w:rsidR="003F1E68" w:rsidRPr="00BA5587">
        <w:rPr>
          <w:rFonts w:cs="Arial"/>
          <w:color w:val="222222"/>
          <w:shd w:val="clear" w:color="auto" w:fill="FFFFFF"/>
        </w:rPr>
        <w:t xml:space="preserve"> and Zou, 2019</w:t>
      </w:r>
      <w:r w:rsidR="003F1E68" w:rsidRPr="00BA5587">
        <w:rPr>
          <w:rFonts w:cs="Arial"/>
        </w:rPr>
        <w:t>)</w:t>
      </w:r>
      <w:r w:rsidR="002E593C" w:rsidRPr="00BA5587">
        <w:rPr>
          <w:rFonts w:cs="Arial"/>
        </w:rPr>
        <w:t>.</w:t>
      </w:r>
      <w:r w:rsidR="0044303F" w:rsidRPr="00BA5587">
        <w:rPr>
          <w:rFonts w:cs="Arial"/>
        </w:rPr>
        <w:t xml:space="preserve"> </w:t>
      </w:r>
      <w:r w:rsidR="00C946B8" w:rsidRPr="00BA5587">
        <w:rPr>
          <w:rFonts w:cs="Arial"/>
        </w:rPr>
        <w:t xml:space="preserve">In the long run, this will help in enhancing the profit margin </w:t>
      </w:r>
      <w:r w:rsidR="000C5244" w:rsidRPr="00BA5587">
        <w:rPr>
          <w:rFonts w:cs="Arial"/>
        </w:rPr>
        <w:t xml:space="preserve">of Tesco Plc and the firm will be </w:t>
      </w:r>
      <w:r w:rsidR="00140A17" w:rsidRPr="00BA5587">
        <w:rPr>
          <w:rFonts w:cs="Arial"/>
        </w:rPr>
        <w:t>able</w:t>
      </w:r>
      <w:r w:rsidR="000C5244" w:rsidRPr="00BA5587">
        <w:rPr>
          <w:rFonts w:cs="Arial"/>
        </w:rPr>
        <w:t xml:space="preserve"> </w:t>
      </w:r>
      <w:r w:rsidR="00AB6D3E" w:rsidRPr="00BA5587">
        <w:rPr>
          <w:rFonts w:cs="Arial"/>
        </w:rPr>
        <w:t>to enjoy the cost</w:t>
      </w:r>
      <w:r w:rsidR="00242F3B" w:rsidRPr="00BA5587">
        <w:rPr>
          <w:rFonts w:cs="Arial"/>
        </w:rPr>
        <w:t xml:space="preserve">- </w:t>
      </w:r>
      <w:r w:rsidR="00AB6D3E" w:rsidRPr="00BA5587">
        <w:rPr>
          <w:rFonts w:cs="Arial"/>
        </w:rPr>
        <w:t xml:space="preserve">efficient </w:t>
      </w:r>
      <w:r w:rsidR="00140A17" w:rsidRPr="00BA5587">
        <w:rPr>
          <w:rFonts w:cs="Arial"/>
        </w:rPr>
        <w:t>production and operation in the long run.</w:t>
      </w:r>
    </w:p>
    <w:p w14:paraId="4FC0347D" w14:textId="32AB109B" w:rsidR="00242F3B" w:rsidRPr="00BA5587" w:rsidRDefault="00242F3B" w:rsidP="00242F3B">
      <w:pPr>
        <w:jc w:val="center"/>
        <w:rPr>
          <w:rFonts w:cs="Arial"/>
        </w:rPr>
      </w:pPr>
      <w:r w:rsidRPr="00BA5587">
        <w:rPr>
          <w:rFonts w:cs="Arial"/>
          <w:noProof/>
          <w:lang w:val="bg-BG" w:eastAsia="bg-BG"/>
        </w:rPr>
        <w:drawing>
          <wp:inline distT="0" distB="0" distL="0" distR="0" wp14:anchorId="0C4197D4" wp14:editId="28FDAF94">
            <wp:extent cx="4572000" cy="2743200"/>
            <wp:effectExtent l="0" t="0" r="0" b="0"/>
            <wp:docPr id="8" name="Chart 8">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4A82461-3B83-4F2E-B27B-D68685C954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7A8CF51" w14:textId="25CECFC5" w:rsidR="00242F3B" w:rsidRPr="00BA5587" w:rsidRDefault="00242F3B" w:rsidP="00242F3B">
      <w:pPr>
        <w:jc w:val="center"/>
        <w:rPr>
          <w:rFonts w:cs="Arial"/>
          <w:b/>
          <w:bCs/>
        </w:rPr>
      </w:pPr>
      <w:r w:rsidRPr="00BA5587">
        <w:rPr>
          <w:rFonts w:cs="Arial"/>
          <w:b/>
          <w:bCs/>
        </w:rPr>
        <w:t>Comparative Liquidity position for last 5 years</w:t>
      </w:r>
    </w:p>
    <w:p w14:paraId="38AB080C" w14:textId="484AF91C" w:rsidR="00714D90" w:rsidRPr="00BA5587" w:rsidRDefault="00714D90" w:rsidP="00037EAB">
      <w:pPr>
        <w:rPr>
          <w:rFonts w:cs="Arial"/>
        </w:rPr>
      </w:pPr>
      <w:r w:rsidRPr="00BA5587">
        <w:rPr>
          <w:rFonts w:cs="Arial"/>
        </w:rPr>
        <w:t>Tesco Plc’s liquid position has been staying in fixed position and slight changes that is increases has been observed in 2017 but it has fallen in the diminishing position in the year 2019.</w:t>
      </w:r>
      <w:r w:rsidR="00242F3B" w:rsidRPr="00BA5587">
        <w:rPr>
          <w:rFonts w:cs="Arial"/>
        </w:rPr>
        <w:t xml:space="preserve"> </w:t>
      </w:r>
      <w:r w:rsidR="0094336F" w:rsidRPr="00BA5587">
        <w:rPr>
          <w:rFonts w:cs="Arial"/>
        </w:rPr>
        <w:t xml:space="preserve">In the year 2017, the liquidity position of Tesco Plc is in the better level in compared with the Sainsbury Plc (competitors) </w:t>
      </w:r>
      <w:r w:rsidR="00E02E5B" w:rsidRPr="00BA5587">
        <w:rPr>
          <w:rFonts w:cs="Arial"/>
        </w:rPr>
        <w:t>but after that in the year 2019, the liquidity has been decreased to 0.6</w:t>
      </w:r>
      <w:r w:rsidR="005763C8" w:rsidRPr="00BA5587">
        <w:rPr>
          <w:rFonts w:cs="Arial"/>
        </w:rPr>
        <w:t xml:space="preserve">1 position and this will indicate the Tesco Plc need to maintain its liquid assets in such position that will promote the company the ability to meet the liabilities and the obligations of the firm. The Tesco Plc need to maintain its resources in such manner through which the assets can be utilised in meeting </w:t>
      </w:r>
      <w:r w:rsidR="004F6EF5" w:rsidRPr="00BA5587">
        <w:rPr>
          <w:rFonts w:cs="Arial"/>
        </w:rPr>
        <w:t xml:space="preserve">the liabilities of the </w:t>
      </w:r>
      <w:r w:rsidR="00866BE8" w:rsidRPr="00BA5587">
        <w:rPr>
          <w:rFonts w:cs="Arial"/>
        </w:rPr>
        <w:t>firm in effectual manner.</w:t>
      </w:r>
      <w:r w:rsidR="00AA06A7" w:rsidRPr="00BA5587">
        <w:rPr>
          <w:rFonts w:cs="Arial"/>
        </w:rPr>
        <w:t xml:space="preserve"> The liquidity refers to that Tesco Plc need to maintain </w:t>
      </w:r>
      <w:r w:rsidR="008A592B" w:rsidRPr="00BA5587">
        <w:rPr>
          <w:rFonts w:cs="Arial"/>
        </w:rPr>
        <w:t xml:space="preserve">its liquid assets and the cash and the cash equivalents in such manner that will promote the better </w:t>
      </w:r>
      <w:r w:rsidR="00684207" w:rsidRPr="00BA5587">
        <w:rPr>
          <w:rFonts w:cs="Arial"/>
        </w:rPr>
        <w:t xml:space="preserve">position within the company </w:t>
      </w:r>
      <w:r w:rsidR="00E8747B" w:rsidRPr="00BA5587">
        <w:rPr>
          <w:rFonts w:cs="Arial"/>
        </w:rPr>
        <w:t>and the com</w:t>
      </w:r>
      <w:r w:rsidR="00D205FB" w:rsidRPr="00BA5587">
        <w:rPr>
          <w:rFonts w:cs="Arial"/>
        </w:rPr>
        <w:t>p</w:t>
      </w:r>
      <w:r w:rsidR="00E8747B" w:rsidRPr="00BA5587">
        <w:rPr>
          <w:rFonts w:cs="Arial"/>
        </w:rPr>
        <w:t xml:space="preserve">any will also be able to meet the outstanding of the suppliers and creditors from its liquid funds. </w:t>
      </w:r>
      <w:r w:rsidR="00D205FB" w:rsidRPr="00BA5587">
        <w:rPr>
          <w:rFonts w:cs="Arial"/>
        </w:rPr>
        <w:t xml:space="preserve">The company management need to focus on the </w:t>
      </w:r>
      <w:r w:rsidR="00AF0AB2" w:rsidRPr="00BA5587">
        <w:rPr>
          <w:rFonts w:cs="Arial"/>
        </w:rPr>
        <w:t xml:space="preserve">efficient allocation of the limited resources among the different segments and this will help in </w:t>
      </w:r>
      <w:r w:rsidR="009741F9" w:rsidRPr="00BA5587">
        <w:rPr>
          <w:rFonts w:cs="Arial"/>
        </w:rPr>
        <w:t>utilising the short</w:t>
      </w:r>
      <w:r w:rsidR="00CB7C8F" w:rsidRPr="00BA5587">
        <w:rPr>
          <w:rFonts w:cs="Arial"/>
        </w:rPr>
        <w:t xml:space="preserve">- </w:t>
      </w:r>
      <w:r w:rsidR="009741F9" w:rsidRPr="00BA5587">
        <w:rPr>
          <w:rFonts w:cs="Arial"/>
        </w:rPr>
        <w:t>term assets in effectual and positive way</w:t>
      </w:r>
      <w:r w:rsidR="00B14218" w:rsidRPr="00BA5587">
        <w:rPr>
          <w:rFonts w:cs="Arial"/>
        </w:rPr>
        <w:t xml:space="preserve"> (</w:t>
      </w:r>
      <w:r w:rsidR="00B14218" w:rsidRPr="00BA5587">
        <w:rPr>
          <w:rFonts w:cs="Arial"/>
          <w:color w:val="222222"/>
          <w:shd w:val="clear" w:color="auto" w:fill="FFFFFF"/>
        </w:rPr>
        <w:t>Hang, Geyer</w:t>
      </w:r>
      <w:r w:rsidR="00B14218" w:rsidRPr="00BA5587">
        <w:rPr>
          <w:rFonts w:ascii="Cambria Math" w:hAnsi="Cambria Math" w:cs="Cambria Math"/>
          <w:color w:val="222222"/>
          <w:shd w:val="clear" w:color="auto" w:fill="FFFFFF"/>
        </w:rPr>
        <w:t>‐</w:t>
      </w:r>
      <w:proofErr w:type="spellStart"/>
      <w:r w:rsidR="00B14218" w:rsidRPr="00BA5587">
        <w:rPr>
          <w:rFonts w:cs="Arial"/>
          <w:color w:val="222222"/>
          <w:shd w:val="clear" w:color="auto" w:fill="FFFFFF"/>
        </w:rPr>
        <w:t>Klingeberg</w:t>
      </w:r>
      <w:proofErr w:type="spellEnd"/>
      <w:r w:rsidR="00B14218" w:rsidRPr="00BA5587">
        <w:rPr>
          <w:rFonts w:cs="Arial"/>
          <w:color w:val="222222"/>
          <w:shd w:val="clear" w:color="auto" w:fill="FFFFFF"/>
        </w:rPr>
        <w:t xml:space="preserve"> and </w:t>
      </w:r>
      <w:proofErr w:type="spellStart"/>
      <w:r w:rsidR="00B14218" w:rsidRPr="00BA5587">
        <w:rPr>
          <w:rFonts w:cs="Arial"/>
          <w:color w:val="222222"/>
          <w:shd w:val="clear" w:color="auto" w:fill="FFFFFF"/>
        </w:rPr>
        <w:t>Rathgeber</w:t>
      </w:r>
      <w:proofErr w:type="spellEnd"/>
      <w:r w:rsidR="00B14218" w:rsidRPr="00BA5587">
        <w:rPr>
          <w:rFonts w:cs="Arial"/>
          <w:color w:val="222222"/>
          <w:shd w:val="clear" w:color="auto" w:fill="FFFFFF"/>
        </w:rPr>
        <w:t>, 2019</w:t>
      </w:r>
      <w:r w:rsidR="00B14218" w:rsidRPr="00BA5587">
        <w:rPr>
          <w:rFonts w:cs="Arial"/>
        </w:rPr>
        <w:t>)</w:t>
      </w:r>
      <w:r w:rsidR="009741F9" w:rsidRPr="00BA5587">
        <w:rPr>
          <w:rFonts w:cs="Arial"/>
        </w:rPr>
        <w:t xml:space="preserve">. </w:t>
      </w:r>
      <w:r w:rsidR="00CB7C8F" w:rsidRPr="00BA5587">
        <w:rPr>
          <w:rFonts w:cs="Arial"/>
        </w:rPr>
        <w:t xml:space="preserve">Tesco Plc </w:t>
      </w:r>
      <w:r w:rsidR="00BE2DAB" w:rsidRPr="00BA5587">
        <w:rPr>
          <w:rFonts w:cs="Arial"/>
        </w:rPr>
        <w:t xml:space="preserve">should try to keep the current ratio above 1 through which it can be segregated that the liabilities must be half or less than half </w:t>
      </w:r>
      <w:r w:rsidR="00807BE0" w:rsidRPr="00BA5587">
        <w:rPr>
          <w:rFonts w:cs="Arial"/>
        </w:rPr>
        <w:t>in compared with the assets portion that will help in meeting the dues and accrued payments from the liquid assets or such assets that can be transformed into cash in easy manner.</w:t>
      </w:r>
      <w:r w:rsidR="001F32F9" w:rsidRPr="00BA5587">
        <w:rPr>
          <w:rFonts w:cs="Arial"/>
        </w:rPr>
        <w:t xml:space="preserve"> </w:t>
      </w:r>
    </w:p>
    <w:p w14:paraId="74DBE04E" w14:textId="472F1303" w:rsidR="00FB706D" w:rsidRPr="00BA5587" w:rsidRDefault="00B16B9E" w:rsidP="00B16B9E">
      <w:pPr>
        <w:jc w:val="center"/>
        <w:rPr>
          <w:rFonts w:cs="Arial"/>
        </w:rPr>
      </w:pPr>
      <w:r w:rsidRPr="00BA5587">
        <w:rPr>
          <w:rFonts w:cs="Arial"/>
          <w:noProof/>
          <w:lang w:val="bg-BG" w:eastAsia="bg-BG"/>
        </w:rPr>
        <w:drawing>
          <wp:inline distT="0" distB="0" distL="0" distR="0" wp14:anchorId="0D49337E" wp14:editId="4C492ADC">
            <wp:extent cx="4572000" cy="2743200"/>
            <wp:effectExtent l="0" t="0" r="0" b="0"/>
            <wp:docPr id="9" name="Chart 9">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EBFDEF3-99E5-4A12-B22E-63EC9D9B56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3F9289D" w14:textId="797F644C" w:rsidR="00B16B9E" w:rsidRPr="00BA5587" w:rsidRDefault="00B16B9E" w:rsidP="00B16B9E">
      <w:pPr>
        <w:jc w:val="center"/>
        <w:rPr>
          <w:rFonts w:cs="Arial"/>
          <w:b/>
          <w:bCs/>
        </w:rPr>
      </w:pPr>
      <w:r w:rsidRPr="00BA5587">
        <w:rPr>
          <w:rFonts w:cs="Arial"/>
          <w:b/>
          <w:bCs/>
        </w:rPr>
        <w:t>Comparative leverage position of Tesco Plc and its competitors for last 5 years</w:t>
      </w:r>
    </w:p>
    <w:p w14:paraId="2737B5F1" w14:textId="0EDD2C3D" w:rsidR="00B16B9E" w:rsidRPr="00BA5587" w:rsidRDefault="00B16B9E" w:rsidP="00B16B9E">
      <w:pPr>
        <w:jc w:val="center"/>
        <w:rPr>
          <w:rFonts w:cs="Arial"/>
        </w:rPr>
      </w:pPr>
      <w:r w:rsidRPr="00BA5587">
        <w:rPr>
          <w:rFonts w:cs="Arial"/>
        </w:rPr>
        <w:t>(Source: Excel)</w:t>
      </w:r>
    </w:p>
    <w:p w14:paraId="0C03D55F" w14:textId="06F24118" w:rsidR="009F483E" w:rsidRPr="00BA5587" w:rsidRDefault="00714D90" w:rsidP="00714D90">
      <w:pPr>
        <w:rPr>
          <w:rFonts w:cs="Arial"/>
        </w:rPr>
      </w:pPr>
      <w:r w:rsidRPr="00BA5587">
        <w:rPr>
          <w:rFonts w:eastAsiaTheme="minorEastAsia" w:cs="Arial"/>
        </w:rPr>
        <w:t>The leverage position can be determined with the relationship of the total debt and the total equity portion within the organisation and the leverage will determine the debt portion in compared with the equity portion within the organisation. The leverage position will be associated with the risk matters and the investors will be verified the stocks in terms with the risks related with the company shares</w:t>
      </w:r>
      <w:r w:rsidR="0003694C" w:rsidRPr="00BA5587">
        <w:rPr>
          <w:rFonts w:eastAsiaTheme="minorEastAsia" w:cs="Arial"/>
        </w:rPr>
        <w:t xml:space="preserve"> (</w:t>
      </w:r>
      <w:r w:rsidR="0003694C" w:rsidRPr="00BA5587">
        <w:rPr>
          <w:rFonts w:cs="Arial"/>
          <w:color w:val="222222"/>
          <w:shd w:val="clear" w:color="auto" w:fill="FFFFFF"/>
        </w:rPr>
        <w:t>Rafi et al., 2020</w:t>
      </w:r>
      <w:r w:rsidR="0003694C" w:rsidRPr="00BA5587">
        <w:rPr>
          <w:rFonts w:eastAsiaTheme="minorEastAsia" w:cs="Arial"/>
        </w:rPr>
        <w:t>)</w:t>
      </w:r>
      <w:r w:rsidRPr="00BA5587">
        <w:rPr>
          <w:rFonts w:eastAsiaTheme="minorEastAsia" w:cs="Arial"/>
        </w:rPr>
        <w:t xml:space="preserve">. </w:t>
      </w:r>
      <w:r w:rsidRPr="00BA5587">
        <w:rPr>
          <w:rFonts w:cs="Arial"/>
        </w:rPr>
        <w:t xml:space="preserve">The Tesco Plc is showing the diminishing leverages and debt equity ratio which implies the firm has been reduced its overheads costs by reducing the debt funds within the capital structure. </w:t>
      </w:r>
      <w:r w:rsidR="00B16B9E" w:rsidRPr="00BA5587">
        <w:rPr>
          <w:rFonts w:cs="Arial"/>
        </w:rPr>
        <w:t xml:space="preserve">The reduced portion of leverages position will help in </w:t>
      </w:r>
      <w:r w:rsidR="002C4A38" w:rsidRPr="00BA5587">
        <w:rPr>
          <w:rFonts w:cs="Arial"/>
        </w:rPr>
        <w:t xml:space="preserve">building the capital structure in such manner that will </w:t>
      </w:r>
      <w:r w:rsidR="00710660" w:rsidRPr="00BA5587">
        <w:rPr>
          <w:rFonts w:cs="Arial"/>
        </w:rPr>
        <w:t xml:space="preserve">assist in reducing the overhead costs of the firm. </w:t>
      </w:r>
      <w:r w:rsidR="00B54FDC" w:rsidRPr="00BA5587">
        <w:rPr>
          <w:rFonts w:cs="Arial"/>
        </w:rPr>
        <w:t xml:space="preserve">Through the leverages position of Tesco Plc, it can be noticed that the management has been focused on the reduced portion of the debt funds in compared with the equity funds. This will promote the lower risky stocks and the investors will attract within the company to invest </w:t>
      </w:r>
      <w:r w:rsidR="00EF377E" w:rsidRPr="00BA5587">
        <w:rPr>
          <w:rFonts w:cs="Arial"/>
        </w:rPr>
        <w:t>their limited funds to earn higher return from the company as the risk is in the minimum level</w:t>
      </w:r>
      <w:r w:rsidR="000C1F14" w:rsidRPr="00BA5587">
        <w:rPr>
          <w:rFonts w:cs="Arial"/>
        </w:rPr>
        <w:t xml:space="preserve"> (</w:t>
      </w:r>
      <w:r w:rsidR="000C1F14" w:rsidRPr="00BA5587">
        <w:rPr>
          <w:rFonts w:cs="Arial"/>
          <w:color w:val="222222"/>
          <w:shd w:val="clear" w:color="auto" w:fill="FFFFFF"/>
        </w:rPr>
        <w:t>Anthony et al., 2019</w:t>
      </w:r>
      <w:r w:rsidR="000C1F14" w:rsidRPr="00BA5587">
        <w:rPr>
          <w:rFonts w:cs="Arial"/>
        </w:rPr>
        <w:t>)</w:t>
      </w:r>
      <w:r w:rsidR="00EF377E" w:rsidRPr="00BA5587">
        <w:rPr>
          <w:rFonts w:cs="Arial"/>
        </w:rPr>
        <w:t xml:space="preserve">. </w:t>
      </w:r>
      <w:r w:rsidR="008D19B0" w:rsidRPr="00BA5587">
        <w:rPr>
          <w:rFonts w:cs="Arial"/>
        </w:rPr>
        <w:t xml:space="preserve">By reducing the debt funds, the company will be able to reduce the </w:t>
      </w:r>
      <w:r w:rsidR="00555119" w:rsidRPr="00BA5587">
        <w:rPr>
          <w:rFonts w:cs="Arial"/>
        </w:rPr>
        <w:t>overheads costs of the com</w:t>
      </w:r>
      <w:r w:rsidR="00AD556E" w:rsidRPr="00BA5587">
        <w:rPr>
          <w:rFonts w:cs="Arial"/>
        </w:rPr>
        <w:t>p</w:t>
      </w:r>
      <w:r w:rsidR="00555119" w:rsidRPr="00BA5587">
        <w:rPr>
          <w:rFonts w:cs="Arial"/>
        </w:rPr>
        <w:t xml:space="preserve">any this will ultimately push the profit margin in the higher level. </w:t>
      </w:r>
      <w:r w:rsidR="00871108" w:rsidRPr="00BA5587">
        <w:rPr>
          <w:rFonts w:cs="Arial"/>
        </w:rPr>
        <w:t xml:space="preserve">Tesco Plc can attract more investments within the company by reducing the debt funds and this will assist in </w:t>
      </w:r>
      <w:r w:rsidR="002864D5" w:rsidRPr="00BA5587">
        <w:rPr>
          <w:rFonts w:cs="Arial"/>
        </w:rPr>
        <w:t>building the capital structure in effectual manner.</w:t>
      </w:r>
      <w:r w:rsidR="00863C8A" w:rsidRPr="00BA5587">
        <w:rPr>
          <w:rFonts w:cs="Arial"/>
        </w:rPr>
        <w:t xml:space="preserve"> The effective capital structure within the company will help in allocating the resources among the several departments in efficient manner and the liquid portion can also be enriched with the proper capital structure.</w:t>
      </w:r>
      <w:r w:rsidR="00655925" w:rsidRPr="00BA5587">
        <w:rPr>
          <w:rFonts w:cs="Arial"/>
        </w:rPr>
        <w:t xml:space="preserve"> </w:t>
      </w:r>
      <w:r w:rsidR="00AC32EE" w:rsidRPr="00BA5587">
        <w:rPr>
          <w:rFonts w:cs="Arial"/>
        </w:rPr>
        <w:t xml:space="preserve">In the competitive position, the Tesco Plc has been built up its capital by higher portion of the debt funds and comparatively lower funds of equity and the Sainsbury Plc has been performing under the lower risk position as the leverage is too lower than the Tesco Plc. Under the groceries and the retail market in UK, the investors want to invest within the lower </w:t>
      </w:r>
      <w:r w:rsidR="00384111" w:rsidRPr="00BA5587">
        <w:rPr>
          <w:rFonts w:cs="Arial"/>
        </w:rPr>
        <w:t>risk-oriented</w:t>
      </w:r>
      <w:r w:rsidR="00AC32EE" w:rsidRPr="00BA5587">
        <w:rPr>
          <w:rFonts w:cs="Arial"/>
        </w:rPr>
        <w:t xml:space="preserve"> companies and for pulling the maximum level of investments under the capital market, the Tesco plc need to reduce its risk associations with the stock</w:t>
      </w:r>
      <w:r w:rsidR="00384111" w:rsidRPr="00BA5587">
        <w:rPr>
          <w:rFonts w:cs="Arial"/>
        </w:rPr>
        <w:t xml:space="preserve"> (</w:t>
      </w:r>
      <w:proofErr w:type="spellStart"/>
      <w:r w:rsidR="00384111" w:rsidRPr="00BA5587">
        <w:rPr>
          <w:rFonts w:cs="Arial"/>
          <w:color w:val="222222"/>
          <w:shd w:val="clear" w:color="auto" w:fill="FFFFFF"/>
        </w:rPr>
        <w:t>Tzouvanas</w:t>
      </w:r>
      <w:proofErr w:type="spellEnd"/>
      <w:r w:rsidR="00384111" w:rsidRPr="00BA5587">
        <w:rPr>
          <w:rFonts w:cs="Arial"/>
          <w:color w:val="222222"/>
          <w:shd w:val="clear" w:color="auto" w:fill="FFFFFF"/>
        </w:rPr>
        <w:t xml:space="preserve"> et al., 2019</w:t>
      </w:r>
      <w:r w:rsidR="00384111" w:rsidRPr="00BA5587">
        <w:rPr>
          <w:rFonts w:cs="Arial"/>
        </w:rPr>
        <w:t>)</w:t>
      </w:r>
      <w:r w:rsidR="00AC32EE" w:rsidRPr="00BA5587">
        <w:rPr>
          <w:rFonts w:cs="Arial"/>
        </w:rPr>
        <w:t>.</w:t>
      </w:r>
    </w:p>
    <w:p w14:paraId="2F7F36F8" w14:textId="5BE2818C" w:rsidR="00714D90" w:rsidRPr="00BA5587" w:rsidRDefault="009F483E" w:rsidP="009F483E">
      <w:pPr>
        <w:jc w:val="center"/>
        <w:rPr>
          <w:rFonts w:cs="Arial"/>
        </w:rPr>
      </w:pPr>
      <w:r w:rsidRPr="00BA5587">
        <w:rPr>
          <w:rFonts w:cs="Arial"/>
          <w:noProof/>
          <w:lang w:val="bg-BG" w:eastAsia="bg-BG"/>
        </w:rPr>
        <w:drawing>
          <wp:inline distT="0" distB="0" distL="0" distR="0" wp14:anchorId="60816003" wp14:editId="5E4D4727">
            <wp:extent cx="4572000" cy="2743200"/>
            <wp:effectExtent l="0" t="0" r="0" b="0"/>
            <wp:docPr id="10" name="Chart 10">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EC9B0B9-CCAA-4220-AB46-7D1E249F4E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B90BA05" w14:textId="507EBD1C" w:rsidR="009F483E" w:rsidRPr="00BA5587" w:rsidRDefault="009F483E" w:rsidP="009F483E">
      <w:pPr>
        <w:jc w:val="center"/>
        <w:rPr>
          <w:rFonts w:cs="Arial"/>
          <w:b/>
          <w:bCs/>
        </w:rPr>
      </w:pPr>
      <w:r w:rsidRPr="00BA5587">
        <w:rPr>
          <w:rFonts w:cs="Arial"/>
          <w:b/>
          <w:bCs/>
        </w:rPr>
        <w:t>Comparative ROCE for the last five years</w:t>
      </w:r>
    </w:p>
    <w:p w14:paraId="2929C14D" w14:textId="2C03AE40" w:rsidR="009F483E" w:rsidRPr="00BA5587" w:rsidRDefault="009F483E" w:rsidP="009F483E">
      <w:pPr>
        <w:jc w:val="center"/>
        <w:rPr>
          <w:rFonts w:cs="Arial"/>
        </w:rPr>
      </w:pPr>
      <w:r w:rsidRPr="00BA5587">
        <w:rPr>
          <w:rFonts w:cs="Arial"/>
        </w:rPr>
        <w:t>(Source: Excel file)</w:t>
      </w:r>
    </w:p>
    <w:p w14:paraId="59A538AB" w14:textId="4B0EEA36" w:rsidR="00714D90" w:rsidRPr="00BA5587" w:rsidRDefault="00714D90" w:rsidP="00714D90">
      <w:pPr>
        <w:rPr>
          <w:rFonts w:cs="Arial"/>
        </w:rPr>
      </w:pPr>
      <w:r w:rsidRPr="00BA5587">
        <w:rPr>
          <w:rFonts w:cs="Arial"/>
        </w:rPr>
        <w:t xml:space="preserve">The ROCE of the Tesco Plc will be under the inclining trend in this last 5 financial years which was -0.28 in the year 2015 that is the firm has been suffered from loss at that time but in the year 2019, the firm has increased it to 0.06 though it is too slight in changing position and the changes is in the positive manner. </w:t>
      </w:r>
      <w:r w:rsidR="009F483E" w:rsidRPr="00BA5587">
        <w:rPr>
          <w:rFonts w:cs="Arial"/>
        </w:rPr>
        <w:t xml:space="preserve">The ROCE is in inefficient position that need to be recovered by the company management </w:t>
      </w:r>
      <w:r w:rsidR="006818A0" w:rsidRPr="00BA5587">
        <w:rPr>
          <w:rFonts w:cs="Arial"/>
        </w:rPr>
        <w:t xml:space="preserve">by properly utilise its capital position to its extent that will provide the optimum benefits to the company. </w:t>
      </w:r>
      <w:r w:rsidR="007D1BBC" w:rsidRPr="00BA5587">
        <w:rPr>
          <w:rFonts w:cs="Arial"/>
        </w:rPr>
        <w:t xml:space="preserve">In compared with the competitor firm, Tesco Plc is in </w:t>
      </w:r>
      <w:r w:rsidR="00FC628C" w:rsidRPr="00BA5587">
        <w:rPr>
          <w:rFonts w:cs="Arial"/>
        </w:rPr>
        <w:t xml:space="preserve">below average position and this may hinder their performance to the extent of the retail and the grocery industry in UK. Tesco Plc required to be focused on the </w:t>
      </w:r>
      <w:r w:rsidR="00D738B1" w:rsidRPr="00BA5587">
        <w:rPr>
          <w:rFonts w:cs="Arial"/>
        </w:rPr>
        <w:t xml:space="preserve">effectual utilisation of the capital that is the equity and the debt funds need to be </w:t>
      </w:r>
      <w:r w:rsidR="007E134B" w:rsidRPr="00BA5587">
        <w:rPr>
          <w:rFonts w:cs="Arial"/>
        </w:rPr>
        <w:t>utilised at its optimum level and no fund should be left idle. As the idle funds and resources will produce nil productivity that will reduce the efficiency in the long run but the company has to invest within these resources and funds</w:t>
      </w:r>
      <w:r w:rsidR="00BA34FD" w:rsidRPr="00BA5587">
        <w:rPr>
          <w:rFonts w:cs="Arial"/>
        </w:rPr>
        <w:t xml:space="preserve"> (</w:t>
      </w:r>
      <w:proofErr w:type="spellStart"/>
      <w:r w:rsidR="00BA34FD" w:rsidRPr="00BA5587">
        <w:rPr>
          <w:rFonts w:cs="Arial"/>
          <w:color w:val="222222"/>
          <w:shd w:val="clear" w:color="auto" w:fill="FFFFFF"/>
        </w:rPr>
        <w:t>Andal</w:t>
      </w:r>
      <w:proofErr w:type="spellEnd"/>
      <w:r w:rsidR="00BA34FD" w:rsidRPr="00BA5587">
        <w:rPr>
          <w:rFonts w:cs="Arial"/>
          <w:color w:val="222222"/>
          <w:shd w:val="clear" w:color="auto" w:fill="FFFFFF"/>
        </w:rPr>
        <w:t xml:space="preserve">, </w:t>
      </w:r>
      <w:proofErr w:type="spellStart"/>
      <w:r w:rsidR="00BA34FD" w:rsidRPr="00BA5587">
        <w:rPr>
          <w:rFonts w:cs="Arial"/>
          <w:color w:val="222222"/>
          <w:shd w:val="clear" w:color="auto" w:fill="FFFFFF"/>
        </w:rPr>
        <w:t>Suganya</w:t>
      </w:r>
      <w:proofErr w:type="spellEnd"/>
      <w:r w:rsidR="00BA34FD" w:rsidRPr="00BA5587">
        <w:rPr>
          <w:rFonts w:cs="Arial"/>
          <w:color w:val="222222"/>
          <w:shd w:val="clear" w:color="auto" w:fill="FFFFFF"/>
        </w:rPr>
        <w:t xml:space="preserve"> and Shree, 2020</w:t>
      </w:r>
      <w:r w:rsidR="00BA34FD" w:rsidRPr="00BA5587">
        <w:rPr>
          <w:rFonts w:cs="Arial"/>
        </w:rPr>
        <w:t>)</w:t>
      </w:r>
      <w:r w:rsidR="007E134B" w:rsidRPr="00BA5587">
        <w:rPr>
          <w:rFonts w:cs="Arial"/>
        </w:rPr>
        <w:t xml:space="preserve">. Therefore, the Tesco Plc need to </w:t>
      </w:r>
      <w:r w:rsidR="006B6417" w:rsidRPr="00BA5587">
        <w:rPr>
          <w:rFonts w:cs="Arial"/>
        </w:rPr>
        <w:t xml:space="preserve">allocate its resources in </w:t>
      </w:r>
      <w:r w:rsidR="0061251E" w:rsidRPr="00BA5587">
        <w:rPr>
          <w:rFonts w:cs="Arial"/>
        </w:rPr>
        <w:t>efficient</w:t>
      </w:r>
      <w:r w:rsidR="006B6417" w:rsidRPr="00BA5587">
        <w:rPr>
          <w:rFonts w:cs="Arial"/>
        </w:rPr>
        <w:t xml:space="preserve"> manner.</w:t>
      </w:r>
      <w:r w:rsidR="0061251E" w:rsidRPr="00BA5587">
        <w:rPr>
          <w:rFonts w:cs="Arial"/>
        </w:rPr>
        <w:t xml:space="preserve"> </w:t>
      </w:r>
      <w:r w:rsidR="00CE64C4" w:rsidRPr="00BA5587">
        <w:rPr>
          <w:rFonts w:cs="Arial"/>
        </w:rPr>
        <w:t xml:space="preserve">Under the retail and groceries industry, Tesco Plc need to be performed in such manner that will enhance its activities in terms with the capital employed, total assets etc. </w:t>
      </w:r>
      <w:r w:rsidR="00274C06" w:rsidRPr="00BA5587">
        <w:rPr>
          <w:rFonts w:cs="Arial"/>
        </w:rPr>
        <w:t>Tesco Plc may result better profit margin and higher level of revenue through enhancing the productivity of the resources and its capital employed and the management should be efficient enough in effectual utilisation of the resources by incurring the minimum level of costs to produce the optimum level of productions and services.</w:t>
      </w:r>
      <w:r w:rsidR="005220DF" w:rsidRPr="00BA5587">
        <w:rPr>
          <w:rFonts w:cs="Arial"/>
        </w:rPr>
        <w:t xml:space="preserve"> </w:t>
      </w:r>
    </w:p>
    <w:p w14:paraId="60BBB1C4" w14:textId="174F95CC" w:rsidR="00784DE8" w:rsidRPr="00BA5587" w:rsidRDefault="00784DE8" w:rsidP="00784DE8">
      <w:pPr>
        <w:jc w:val="center"/>
        <w:rPr>
          <w:rFonts w:cs="Arial"/>
        </w:rPr>
      </w:pPr>
      <w:r w:rsidRPr="00BA5587">
        <w:rPr>
          <w:rFonts w:cs="Arial"/>
          <w:noProof/>
          <w:lang w:val="bg-BG" w:eastAsia="bg-BG"/>
        </w:rPr>
        <w:drawing>
          <wp:inline distT="0" distB="0" distL="0" distR="0" wp14:anchorId="2002C2CD" wp14:editId="24F7FEFA">
            <wp:extent cx="4572000" cy="2743200"/>
            <wp:effectExtent l="0" t="0" r="0" b="0"/>
            <wp:docPr id="12" name="Chart 12">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B6BC9CB-C1F2-4FFD-B2C6-F8380B8E70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332806F" w14:textId="191884A2" w:rsidR="00784DE8" w:rsidRPr="00BA5587" w:rsidRDefault="00784DE8" w:rsidP="00784DE8">
      <w:pPr>
        <w:jc w:val="center"/>
        <w:rPr>
          <w:rFonts w:cs="Arial"/>
          <w:b/>
          <w:bCs/>
        </w:rPr>
      </w:pPr>
      <w:r w:rsidRPr="00BA5587">
        <w:rPr>
          <w:rFonts w:cs="Arial"/>
          <w:b/>
          <w:bCs/>
        </w:rPr>
        <w:t>Comparative P/E ratio for 5 years</w:t>
      </w:r>
    </w:p>
    <w:p w14:paraId="5CA4FB10" w14:textId="2F192BB3" w:rsidR="00784DE8" w:rsidRPr="00BA5587" w:rsidRDefault="00784DE8" w:rsidP="00784DE8">
      <w:pPr>
        <w:jc w:val="center"/>
        <w:rPr>
          <w:rFonts w:cs="Arial"/>
        </w:rPr>
      </w:pPr>
      <w:r w:rsidRPr="00BA5587">
        <w:rPr>
          <w:rFonts w:cs="Arial"/>
        </w:rPr>
        <w:t>(Source: please refer to the excel file)</w:t>
      </w:r>
    </w:p>
    <w:p w14:paraId="56CD5286" w14:textId="4994F380" w:rsidR="00714D90" w:rsidRPr="00BA5587" w:rsidRDefault="00714D90" w:rsidP="00714D90">
      <w:pPr>
        <w:rPr>
          <w:rFonts w:cs="Arial"/>
        </w:rPr>
      </w:pPr>
      <w:r w:rsidRPr="00BA5587">
        <w:rPr>
          <w:rFonts w:cs="Arial"/>
        </w:rPr>
        <w:t>The price earnings ratio will show the increasing trend under the capital and the money market from the investor’s perspective. The increasing P/E ratio will define the higher market price of the shares of Tesco Plc in compared with the earnings per share which is the positive sign for the company.</w:t>
      </w:r>
      <w:r w:rsidR="00621A1C" w:rsidRPr="00BA5587">
        <w:rPr>
          <w:rFonts w:cs="Arial"/>
        </w:rPr>
        <w:t xml:space="preserve"> In comparison with the Sainsbury Plc, the Tesco Plc has ben kept a flexible P/E ratio which indicated the investors want to provide more money for the company’s share in compared with the earnings per share of the company</w:t>
      </w:r>
      <w:r w:rsidR="007B382D" w:rsidRPr="00BA5587">
        <w:rPr>
          <w:rFonts w:cs="Arial"/>
        </w:rPr>
        <w:t xml:space="preserve"> (</w:t>
      </w:r>
      <w:proofErr w:type="spellStart"/>
      <w:r w:rsidR="007B382D" w:rsidRPr="00BA5587">
        <w:rPr>
          <w:rFonts w:cs="Arial"/>
          <w:color w:val="222222"/>
          <w:shd w:val="clear" w:color="auto" w:fill="FFFFFF"/>
        </w:rPr>
        <w:t>Przychodzen</w:t>
      </w:r>
      <w:proofErr w:type="spellEnd"/>
      <w:r w:rsidR="007B382D" w:rsidRPr="00BA5587">
        <w:rPr>
          <w:rFonts w:cs="Arial"/>
          <w:color w:val="222222"/>
          <w:shd w:val="clear" w:color="auto" w:fill="FFFFFF"/>
        </w:rPr>
        <w:t>, Leyva</w:t>
      </w:r>
      <w:r w:rsidR="007B382D" w:rsidRPr="00BA5587">
        <w:rPr>
          <w:rFonts w:ascii="Cambria Math" w:hAnsi="Cambria Math" w:cs="Cambria Math"/>
          <w:color w:val="222222"/>
          <w:shd w:val="clear" w:color="auto" w:fill="FFFFFF"/>
        </w:rPr>
        <w:t>‐</w:t>
      </w:r>
      <w:r w:rsidR="007B382D" w:rsidRPr="00BA5587">
        <w:rPr>
          <w:rFonts w:cs="Arial"/>
          <w:color w:val="222222"/>
          <w:shd w:val="clear" w:color="auto" w:fill="FFFFFF"/>
        </w:rPr>
        <w:t xml:space="preserve">de la </w:t>
      </w:r>
      <w:proofErr w:type="spellStart"/>
      <w:r w:rsidR="007B382D" w:rsidRPr="00BA5587">
        <w:rPr>
          <w:rFonts w:cs="Arial"/>
          <w:color w:val="222222"/>
          <w:shd w:val="clear" w:color="auto" w:fill="FFFFFF"/>
        </w:rPr>
        <w:t>Hiz</w:t>
      </w:r>
      <w:proofErr w:type="spellEnd"/>
      <w:r w:rsidR="007B382D" w:rsidRPr="00BA5587">
        <w:rPr>
          <w:rFonts w:cs="Arial"/>
          <w:color w:val="222222"/>
          <w:shd w:val="clear" w:color="auto" w:fill="FFFFFF"/>
        </w:rPr>
        <w:t xml:space="preserve"> and </w:t>
      </w:r>
      <w:proofErr w:type="spellStart"/>
      <w:r w:rsidR="007B382D" w:rsidRPr="00BA5587">
        <w:rPr>
          <w:rFonts w:cs="Arial"/>
          <w:color w:val="222222"/>
          <w:shd w:val="clear" w:color="auto" w:fill="FFFFFF"/>
        </w:rPr>
        <w:t>Przychodzen</w:t>
      </w:r>
      <w:proofErr w:type="spellEnd"/>
      <w:r w:rsidR="007B382D" w:rsidRPr="00BA5587">
        <w:rPr>
          <w:rFonts w:cs="Arial"/>
          <w:color w:val="222222"/>
          <w:shd w:val="clear" w:color="auto" w:fill="FFFFFF"/>
        </w:rPr>
        <w:t>, 2020</w:t>
      </w:r>
      <w:r w:rsidR="007B382D" w:rsidRPr="00BA5587">
        <w:rPr>
          <w:rFonts w:cs="Arial"/>
        </w:rPr>
        <w:t>)</w:t>
      </w:r>
      <w:r w:rsidR="00621A1C" w:rsidRPr="00BA5587">
        <w:rPr>
          <w:rFonts w:cs="Arial"/>
        </w:rPr>
        <w:t>.</w:t>
      </w:r>
      <w:r w:rsidR="00254E66" w:rsidRPr="00BA5587">
        <w:rPr>
          <w:rFonts w:cs="Arial"/>
        </w:rPr>
        <w:t xml:space="preserve"> It can be observed that Tesco Plc has been enhanced its’ P/E ratio </w:t>
      </w:r>
      <w:r w:rsidR="00E62E65" w:rsidRPr="00BA5587">
        <w:rPr>
          <w:rFonts w:cs="Arial"/>
        </w:rPr>
        <w:t xml:space="preserve">from the negative position in the year 2017 and in the year 2019, the </w:t>
      </w:r>
      <w:r w:rsidR="00477180" w:rsidRPr="00BA5587">
        <w:rPr>
          <w:rFonts w:cs="Arial"/>
        </w:rPr>
        <w:t xml:space="preserve">P/E ratio is in 18.75 though it is lower than the competitors but the </w:t>
      </w:r>
      <w:r w:rsidR="00D7785C" w:rsidRPr="00BA5587">
        <w:rPr>
          <w:rFonts w:cs="Arial"/>
        </w:rPr>
        <w:t xml:space="preserve">company has been showing the inclining trends </w:t>
      </w:r>
      <w:r w:rsidR="00BC0BDD" w:rsidRPr="00BA5587">
        <w:rPr>
          <w:rFonts w:cs="Arial"/>
        </w:rPr>
        <w:t xml:space="preserve">which implies that the Tesco Plc has been well managed its earnings and in the capital market, the </w:t>
      </w:r>
      <w:r w:rsidR="00314485" w:rsidRPr="00BA5587">
        <w:rPr>
          <w:rFonts w:cs="Arial"/>
        </w:rPr>
        <w:t xml:space="preserve">market price of the share will increase in the long run period. </w:t>
      </w:r>
      <w:r w:rsidR="00477180" w:rsidRPr="00BA5587">
        <w:rPr>
          <w:rFonts w:cs="Arial"/>
        </w:rPr>
        <w:t xml:space="preserve"> </w:t>
      </w:r>
    </w:p>
    <w:p w14:paraId="7C48BB51" w14:textId="06B9B1B0" w:rsidR="000A7F9C" w:rsidRPr="00BA5587" w:rsidRDefault="000A7F9C" w:rsidP="00A16144">
      <w:pPr>
        <w:pStyle w:val="Heading2"/>
        <w:numPr>
          <w:ilvl w:val="1"/>
          <w:numId w:val="1"/>
        </w:numPr>
        <w:rPr>
          <w:rFonts w:cs="Arial"/>
        </w:rPr>
      </w:pPr>
      <w:bookmarkStart w:id="7" w:name="_Toc51356193"/>
      <w:r w:rsidRPr="00BA5587">
        <w:rPr>
          <w:rFonts w:cs="Arial"/>
        </w:rPr>
        <w:t>Recommendations on the improvements</w:t>
      </w:r>
      <w:bookmarkEnd w:id="7"/>
    </w:p>
    <w:p w14:paraId="221B1CDA" w14:textId="54E12D12" w:rsidR="007A2ED8" w:rsidRPr="00BA5587" w:rsidRDefault="00162D66" w:rsidP="00162D66">
      <w:pPr>
        <w:rPr>
          <w:rFonts w:cs="Arial"/>
        </w:rPr>
      </w:pPr>
      <w:r w:rsidRPr="00BA5587">
        <w:rPr>
          <w:rFonts w:cs="Arial"/>
        </w:rPr>
        <w:t xml:space="preserve">It can be recommended that </w:t>
      </w:r>
      <w:r w:rsidR="00FA0ECB" w:rsidRPr="00BA5587">
        <w:rPr>
          <w:rFonts w:cs="Arial"/>
        </w:rPr>
        <w:t xml:space="preserve">Tesco Plc need to focus on the </w:t>
      </w:r>
      <w:r w:rsidR="00CB35F6" w:rsidRPr="00BA5587">
        <w:rPr>
          <w:rFonts w:cs="Arial"/>
        </w:rPr>
        <w:t>all</w:t>
      </w:r>
      <w:r w:rsidR="00AF3D30" w:rsidRPr="00BA5587">
        <w:rPr>
          <w:rFonts w:cs="Arial"/>
        </w:rPr>
        <w:t xml:space="preserve">- </w:t>
      </w:r>
      <w:r w:rsidR="00CB35F6" w:rsidRPr="00BA5587">
        <w:rPr>
          <w:rFonts w:cs="Arial"/>
        </w:rPr>
        <w:t xml:space="preserve">over financial performance and activities in terms with the </w:t>
      </w:r>
      <w:r w:rsidR="00B17333" w:rsidRPr="00BA5587">
        <w:rPr>
          <w:rFonts w:cs="Arial"/>
        </w:rPr>
        <w:t xml:space="preserve">profitability, liquidity, efficiency as the firm </w:t>
      </w:r>
      <w:r w:rsidR="00C6774E" w:rsidRPr="00BA5587">
        <w:rPr>
          <w:rFonts w:cs="Arial"/>
        </w:rPr>
        <w:t xml:space="preserve">has been suffered from the loss position in the year 2017 though the firm has been recovered its loss position in the year 2019. The firm should focus on the </w:t>
      </w:r>
      <w:r w:rsidR="00540734" w:rsidRPr="00BA5587">
        <w:rPr>
          <w:rFonts w:cs="Arial"/>
        </w:rPr>
        <w:t xml:space="preserve">efficient allocation of the limited resources of the </w:t>
      </w:r>
      <w:r w:rsidR="00722F18" w:rsidRPr="00BA5587">
        <w:rPr>
          <w:rFonts w:cs="Arial"/>
        </w:rPr>
        <w:t>com</w:t>
      </w:r>
      <w:r w:rsidR="007A0958" w:rsidRPr="00BA5587">
        <w:rPr>
          <w:rFonts w:cs="Arial"/>
        </w:rPr>
        <w:t>p</w:t>
      </w:r>
      <w:r w:rsidR="00722F18" w:rsidRPr="00BA5587">
        <w:rPr>
          <w:rFonts w:cs="Arial"/>
        </w:rPr>
        <w:t>any</w:t>
      </w:r>
      <w:r w:rsidR="007A0958" w:rsidRPr="00BA5587">
        <w:rPr>
          <w:rFonts w:cs="Arial"/>
        </w:rPr>
        <w:t xml:space="preserve"> </w:t>
      </w:r>
      <w:r w:rsidR="002C7434" w:rsidRPr="00BA5587">
        <w:rPr>
          <w:rFonts w:cs="Arial"/>
        </w:rPr>
        <w:t>which will produce the higher level of productivity and the services by reducing the costs level</w:t>
      </w:r>
      <w:r w:rsidR="007B382D" w:rsidRPr="00BA5587">
        <w:rPr>
          <w:rFonts w:cs="Arial"/>
        </w:rPr>
        <w:t xml:space="preserve"> (</w:t>
      </w:r>
      <w:r w:rsidR="007B382D" w:rsidRPr="00BA5587">
        <w:rPr>
          <w:rFonts w:cs="Arial"/>
          <w:color w:val="222222"/>
          <w:shd w:val="clear" w:color="auto" w:fill="FFFFFF"/>
        </w:rPr>
        <w:t>Ghosh, 2020</w:t>
      </w:r>
      <w:r w:rsidR="007B382D" w:rsidRPr="00BA5587">
        <w:rPr>
          <w:rFonts w:cs="Arial"/>
        </w:rPr>
        <w:t>)</w:t>
      </w:r>
      <w:r w:rsidR="002C7434" w:rsidRPr="00BA5587">
        <w:rPr>
          <w:rFonts w:cs="Arial"/>
        </w:rPr>
        <w:t xml:space="preserve">. By enhancing the production scale of the Tesco Plc, the company can implement the </w:t>
      </w:r>
      <w:r w:rsidR="00BF4021" w:rsidRPr="00BA5587">
        <w:rPr>
          <w:rFonts w:cs="Arial"/>
        </w:rPr>
        <w:t>cost-effective</w:t>
      </w:r>
      <w:r w:rsidR="002C7434" w:rsidRPr="00BA5587">
        <w:rPr>
          <w:rFonts w:cs="Arial"/>
        </w:rPr>
        <w:t xml:space="preserve"> measures within the operations process as in the </w:t>
      </w:r>
      <w:r w:rsidR="00BF4021" w:rsidRPr="00BA5587">
        <w:rPr>
          <w:rFonts w:cs="Arial"/>
        </w:rPr>
        <w:t xml:space="preserve">large volume production the fixed costs will remain same and the flexible costs will increase. Therefore, the cost in the long run can be reduced as the fixed cost will remain stable and the firm will effectively apply the cost-effective measures within the organisation operations and </w:t>
      </w:r>
      <w:r w:rsidR="007A2ED8" w:rsidRPr="00BA5587">
        <w:rPr>
          <w:rFonts w:cs="Arial"/>
        </w:rPr>
        <w:t xml:space="preserve">production process. </w:t>
      </w:r>
    </w:p>
    <w:p w14:paraId="5E559B3D" w14:textId="0F55E246" w:rsidR="00162D66" w:rsidRPr="00BA5587" w:rsidRDefault="005C0C9F" w:rsidP="00162D66">
      <w:pPr>
        <w:rPr>
          <w:rFonts w:cs="Arial"/>
        </w:rPr>
      </w:pPr>
      <w:r w:rsidRPr="00BA5587">
        <w:rPr>
          <w:rFonts w:cs="Arial"/>
        </w:rPr>
        <w:t xml:space="preserve">The firm should not meet the obligations of the firm by selling the assets of </w:t>
      </w:r>
      <w:r w:rsidR="00DB2EC6" w:rsidRPr="00BA5587">
        <w:rPr>
          <w:rFonts w:cs="Arial"/>
        </w:rPr>
        <w:t>the</w:t>
      </w:r>
      <w:r w:rsidRPr="00BA5587">
        <w:rPr>
          <w:rFonts w:cs="Arial"/>
        </w:rPr>
        <w:t xml:space="preserve"> firm </w:t>
      </w:r>
      <w:r w:rsidR="00272F3C" w:rsidRPr="00BA5587">
        <w:rPr>
          <w:rFonts w:cs="Arial"/>
        </w:rPr>
        <w:t>as this will be the mis</w:t>
      </w:r>
      <w:r w:rsidR="00EE4F8B" w:rsidRPr="00BA5587">
        <w:rPr>
          <w:rFonts w:cs="Arial"/>
        </w:rPr>
        <w:t xml:space="preserve">- </w:t>
      </w:r>
      <w:r w:rsidR="00272F3C" w:rsidRPr="00BA5587">
        <w:rPr>
          <w:rFonts w:cs="Arial"/>
        </w:rPr>
        <w:t xml:space="preserve">utilisation of the assets and the firm will face the </w:t>
      </w:r>
      <w:r w:rsidR="00EE4F8B" w:rsidRPr="00BA5587">
        <w:rPr>
          <w:rFonts w:cs="Arial"/>
        </w:rPr>
        <w:t xml:space="preserve">deficiencies of the resources that may hinder the operations and the production process. </w:t>
      </w:r>
      <w:r w:rsidR="002E277C" w:rsidRPr="00BA5587">
        <w:rPr>
          <w:rFonts w:cs="Arial"/>
        </w:rPr>
        <w:t xml:space="preserve">Therefore, it can be specified that the proper allocation of the </w:t>
      </w:r>
      <w:r w:rsidR="00B27BBC" w:rsidRPr="00BA5587">
        <w:rPr>
          <w:rFonts w:cs="Arial"/>
        </w:rPr>
        <w:t xml:space="preserve">resources need to be done </w:t>
      </w:r>
      <w:r w:rsidR="002C137C" w:rsidRPr="00BA5587">
        <w:rPr>
          <w:rFonts w:cs="Arial"/>
        </w:rPr>
        <w:t>in such manner that the company will promote the higher profitability and the higher</w:t>
      </w:r>
      <w:r w:rsidR="008F6A79" w:rsidRPr="00BA5587">
        <w:rPr>
          <w:rFonts w:cs="Arial"/>
        </w:rPr>
        <w:t xml:space="preserve">- </w:t>
      </w:r>
      <w:r w:rsidR="002C137C" w:rsidRPr="00BA5587">
        <w:rPr>
          <w:rFonts w:cs="Arial"/>
        </w:rPr>
        <w:t>level revenue</w:t>
      </w:r>
      <w:r w:rsidR="008F6A79" w:rsidRPr="00BA5587">
        <w:rPr>
          <w:rFonts w:cs="Arial"/>
        </w:rPr>
        <w:t xml:space="preserve"> within the reduced costs</w:t>
      </w:r>
      <w:r w:rsidR="007B382D" w:rsidRPr="00BA5587">
        <w:rPr>
          <w:rFonts w:cs="Arial"/>
        </w:rPr>
        <w:t xml:space="preserve"> (</w:t>
      </w:r>
      <w:r w:rsidR="007B382D" w:rsidRPr="00BA5587">
        <w:rPr>
          <w:rFonts w:cs="Arial"/>
          <w:color w:val="222222"/>
          <w:shd w:val="clear" w:color="auto" w:fill="FFFFFF"/>
        </w:rPr>
        <w:t>Rahman, 2019</w:t>
      </w:r>
      <w:r w:rsidR="007B382D" w:rsidRPr="00BA5587">
        <w:rPr>
          <w:rFonts w:cs="Arial"/>
        </w:rPr>
        <w:t>)</w:t>
      </w:r>
      <w:r w:rsidR="008F6A79" w:rsidRPr="00BA5587">
        <w:rPr>
          <w:rFonts w:cs="Arial"/>
        </w:rPr>
        <w:t>.</w:t>
      </w:r>
    </w:p>
    <w:p w14:paraId="29A222D0" w14:textId="5572307B" w:rsidR="008F6A79" w:rsidRPr="00BA5587" w:rsidRDefault="008F6A79" w:rsidP="00162D66">
      <w:pPr>
        <w:rPr>
          <w:rFonts w:cs="Arial"/>
        </w:rPr>
      </w:pPr>
      <w:r w:rsidRPr="00BA5587">
        <w:rPr>
          <w:rFonts w:cs="Arial"/>
        </w:rPr>
        <w:t xml:space="preserve">The </w:t>
      </w:r>
      <w:r w:rsidR="00FB1A6E" w:rsidRPr="00BA5587">
        <w:rPr>
          <w:rFonts w:cs="Arial"/>
        </w:rPr>
        <w:t>Tesco Plc need to consider the wastages control measures that will help in producin</w:t>
      </w:r>
      <w:r w:rsidR="002D2556" w:rsidRPr="00BA5587">
        <w:rPr>
          <w:rFonts w:cs="Arial"/>
        </w:rPr>
        <w:t>g</w:t>
      </w:r>
      <w:r w:rsidR="00FB1A6E" w:rsidRPr="00BA5587">
        <w:rPr>
          <w:rFonts w:cs="Arial"/>
        </w:rPr>
        <w:t xml:space="preserve"> the higher revenue within the reduced costs level. </w:t>
      </w:r>
      <w:r w:rsidR="0085422B" w:rsidRPr="00BA5587">
        <w:rPr>
          <w:rFonts w:cs="Arial"/>
        </w:rPr>
        <w:t xml:space="preserve">The firm should build the capital structure in such manner that </w:t>
      </w:r>
      <w:r w:rsidR="00FB02E0" w:rsidRPr="00BA5587">
        <w:rPr>
          <w:rFonts w:cs="Arial"/>
        </w:rPr>
        <w:t xml:space="preserve">will help in reducing the risks level of the firm towards the </w:t>
      </w:r>
      <w:r w:rsidR="00614501" w:rsidRPr="00BA5587">
        <w:rPr>
          <w:rFonts w:cs="Arial"/>
        </w:rPr>
        <w:t xml:space="preserve">investors. </w:t>
      </w:r>
      <w:r w:rsidR="00601D9D" w:rsidRPr="00BA5587">
        <w:rPr>
          <w:rFonts w:cs="Arial"/>
        </w:rPr>
        <w:t xml:space="preserve">The firm should </w:t>
      </w:r>
      <w:r w:rsidR="0018143B" w:rsidRPr="00BA5587">
        <w:rPr>
          <w:rFonts w:cs="Arial"/>
        </w:rPr>
        <w:t>source</w:t>
      </w:r>
      <w:r w:rsidR="00601D9D" w:rsidRPr="00BA5587">
        <w:rPr>
          <w:rFonts w:cs="Arial"/>
        </w:rPr>
        <w:t xml:space="preserve"> its finance through </w:t>
      </w:r>
      <w:r w:rsidR="00907E23" w:rsidRPr="00BA5587">
        <w:rPr>
          <w:rFonts w:cs="Arial"/>
        </w:rPr>
        <w:t xml:space="preserve">equity portion in the major manner and the </w:t>
      </w:r>
      <w:r w:rsidR="00BD6E26" w:rsidRPr="00BA5587">
        <w:rPr>
          <w:rFonts w:cs="Arial"/>
        </w:rPr>
        <w:t xml:space="preserve">borrowed funds should be under the lower portion. </w:t>
      </w:r>
    </w:p>
    <w:p w14:paraId="202E29BF" w14:textId="53274BA0" w:rsidR="0018143B" w:rsidRPr="00BA5587" w:rsidRDefault="0018143B" w:rsidP="00162D66">
      <w:pPr>
        <w:rPr>
          <w:rFonts w:cs="Arial"/>
        </w:rPr>
      </w:pPr>
      <w:r w:rsidRPr="00BA5587">
        <w:rPr>
          <w:rFonts w:cs="Arial"/>
        </w:rPr>
        <w:t xml:space="preserve">Tesco Plc should enhance the productivity level in such manner through which the company can </w:t>
      </w:r>
      <w:r w:rsidR="00E93F6C" w:rsidRPr="00BA5587">
        <w:rPr>
          <w:rFonts w:cs="Arial"/>
        </w:rPr>
        <w:t>provide the services and products to the maximum number of the customers but by keeping the production and operations costs in the lower level.</w:t>
      </w:r>
      <w:r w:rsidR="00400B70" w:rsidRPr="00BA5587">
        <w:rPr>
          <w:rFonts w:cs="Arial"/>
        </w:rPr>
        <w:t xml:space="preserve"> </w:t>
      </w:r>
      <w:r w:rsidR="00D76EDA" w:rsidRPr="00BA5587">
        <w:rPr>
          <w:rFonts w:cs="Arial"/>
        </w:rPr>
        <w:t xml:space="preserve">The company should focus on the stakeholders through providing them the higher level of dividends through issuing the equity shares in the form </w:t>
      </w:r>
      <w:r w:rsidR="00DC72D9" w:rsidRPr="00BA5587">
        <w:rPr>
          <w:rFonts w:cs="Arial"/>
        </w:rPr>
        <w:t xml:space="preserve">of right shares and the bonus shares. As this bonus shares and right shares will help in increasing the </w:t>
      </w:r>
      <w:r w:rsidR="009E488D" w:rsidRPr="00BA5587">
        <w:rPr>
          <w:rFonts w:cs="Arial"/>
        </w:rPr>
        <w:t>capital under the equity funds and the stakeholders will also be provided the dividends in non- cash manner</w:t>
      </w:r>
      <w:r w:rsidR="007B382D" w:rsidRPr="00BA5587">
        <w:rPr>
          <w:rFonts w:cs="Arial"/>
        </w:rPr>
        <w:t xml:space="preserve"> (</w:t>
      </w:r>
      <w:r w:rsidR="007B382D" w:rsidRPr="00BA5587">
        <w:rPr>
          <w:rFonts w:cs="Arial"/>
          <w:color w:val="222222"/>
          <w:shd w:val="clear" w:color="auto" w:fill="FFFFFF"/>
        </w:rPr>
        <w:t>Chen, 2020</w:t>
      </w:r>
      <w:r w:rsidR="007B382D" w:rsidRPr="00BA5587">
        <w:rPr>
          <w:rFonts w:cs="Arial"/>
        </w:rPr>
        <w:t>)</w:t>
      </w:r>
      <w:r w:rsidR="009E488D" w:rsidRPr="00BA5587">
        <w:rPr>
          <w:rFonts w:cs="Arial"/>
        </w:rPr>
        <w:t xml:space="preserve">. Therefore, </w:t>
      </w:r>
      <w:r w:rsidR="00897B90" w:rsidRPr="00BA5587">
        <w:rPr>
          <w:rFonts w:cs="Arial"/>
        </w:rPr>
        <w:t>the non- cash payments of dividends will help in building the liquid funds in its higher level but the dividends</w:t>
      </w:r>
      <w:r w:rsidR="00631453" w:rsidRPr="00BA5587">
        <w:rPr>
          <w:rFonts w:cs="Arial"/>
        </w:rPr>
        <w:t xml:space="preserve"> through the </w:t>
      </w:r>
      <w:r w:rsidR="006412A7" w:rsidRPr="00BA5587">
        <w:rPr>
          <w:rFonts w:cs="Arial"/>
        </w:rPr>
        <w:t>issue of shares</w:t>
      </w:r>
      <w:r w:rsidR="00897B90" w:rsidRPr="00BA5587">
        <w:rPr>
          <w:rFonts w:cs="Arial"/>
        </w:rPr>
        <w:t xml:space="preserve"> will also enhance the </w:t>
      </w:r>
      <w:r w:rsidR="006412A7" w:rsidRPr="00BA5587">
        <w:rPr>
          <w:rFonts w:cs="Arial"/>
        </w:rPr>
        <w:t xml:space="preserve">equity </w:t>
      </w:r>
      <w:r w:rsidR="00326FE2" w:rsidRPr="00BA5587">
        <w:rPr>
          <w:rFonts w:cs="Arial"/>
        </w:rPr>
        <w:t xml:space="preserve">funds within the capital structure and the Tesco Plc will become lower risky project in the long run to the investors. </w:t>
      </w:r>
    </w:p>
    <w:p w14:paraId="33B417E1" w14:textId="327D9B94" w:rsidR="000A7F9C" w:rsidRPr="00BA5587" w:rsidRDefault="000A7F9C" w:rsidP="00A16144">
      <w:pPr>
        <w:pStyle w:val="Heading1"/>
        <w:numPr>
          <w:ilvl w:val="0"/>
          <w:numId w:val="1"/>
        </w:numPr>
        <w:rPr>
          <w:rFonts w:cs="Arial"/>
        </w:rPr>
      </w:pPr>
      <w:bookmarkStart w:id="8" w:name="_Toc51356194"/>
      <w:r w:rsidRPr="00BA5587">
        <w:rPr>
          <w:rFonts w:cs="Arial"/>
        </w:rPr>
        <w:t>Part C</w:t>
      </w:r>
      <w:r w:rsidR="00A16144" w:rsidRPr="00BA5587">
        <w:rPr>
          <w:rFonts w:cs="Arial"/>
        </w:rPr>
        <w:t xml:space="preserve">: </w:t>
      </w:r>
      <w:r w:rsidRPr="00BA5587">
        <w:rPr>
          <w:rFonts w:cs="Arial"/>
        </w:rPr>
        <w:t>Investment appraisals techniques</w:t>
      </w:r>
      <w:bookmarkEnd w:id="8"/>
    </w:p>
    <w:p w14:paraId="4563826F" w14:textId="7BDFCFE6" w:rsidR="000A7F9C" w:rsidRPr="00BA5587" w:rsidRDefault="000A7F9C" w:rsidP="00A16144">
      <w:pPr>
        <w:pStyle w:val="Heading2"/>
        <w:numPr>
          <w:ilvl w:val="1"/>
          <w:numId w:val="1"/>
        </w:numPr>
        <w:rPr>
          <w:rFonts w:cs="Arial"/>
        </w:rPr>
      </w:pPr>
      <w:bookmarkStart w:id="9" w:name="_Toc51356195"/>
      <w:r w:rsidRPr="00BA5587">
        <w:rPr>
          <w:rFonts w:cs="Arial"/>
        </w:rPr>
        <w:t>Calculation of payback period</w:t>
      </w:r>
      <w:bookmarkEnd w:id="9"/>
    </w:p>
    <w:p w14:paraId="23030515" w14:textId="06695013" w:rsidR="006672D5" w:rsidRPr="00BA5587" w:rsidRDefault="006672D5" w:rsidP="006672D5">
      <w:pPr>
        <w:rPr>
          <w:rFonts w:cs="Arial"/>
        </w:rPr>
      </w:pPr>
      <w:r w:rsidRPr="00BA5587">
        <w:rPr>
          <w:rFonts w:cs="Arial"/>
        </w:rPr>
        <w:t>In the provided problems, it has been observed that project A and project B are two different mutually exclusive project out of which only one can be selected by the Tesco Plc.</w:t>
      </w:r>
      <w:r w:rsidR="00832880" w:rsidRPr="00BA5587">
        <w:rPr>
          <w:rFonts w:cs="Arial"/>
        </w:rPr>
        <w:t xml:space="preserve"> Under the PBP method, the cumulative </w:t>
      </w:r>
      <w:r w:rsidR="00097E08" w:rsidRPr="00BA5587">
        <w:rPr>
          <w:rFonts w:cs="Arial"/>
        </w:rPr>
        <w:t>cash flows will be considered in founding out within how m</w:t>
      </w:r>
      <w:r w:rsidR="00D86966" w:rsidRPr="00BA5587">
        <w:rPr>
          <w:rFonts w:cs="Arial"/>
        </w:rPr>
        <w:t>uch</w:t>
      </w:r>
      <w:r w:rsidR="00097E08" w:rsidRPr="00BA5587">
        <w:rPr>
          <w:rFonts w:cs="Arial"/>
        </w:rPr>
        <w:t xml:space="preserve"> time, the </w:t>
      </w:r>
      <w:r w:rsidR="00D86966" w:rsidRPr="00BA5587">
        <w:rPr>
          <w:rFonts w:cs="Arial"/>
        </w:rPr>
        <w:t xml:space="preserve">initial investment </w:t>
      </w:r>
      <w:r w:rsidR="008574FB" w:rsidRPr="00BA5587">
        <w:rPr>
          <w:rFonts w:cs="Arial"/>
        </w:rPr>
        <w:t xml:space="preserve">can be recouped. The lower the time period, the </w:t>
      </w:r>
      <w:r w:rsidR="00DC7E84" w:rsidRPr="00BA5587">
        <w:rPr>
          <w:rFonts w:cs="Arial"/>
        </w:rPr>
        <w:t xml:space="preserve">higher chances to accept the project in making the maximum level of profit. In this matter, both the project </w:t>
      </w:r>
      <w:r w:rsidR="00CC1CCB" w:rsidRPr="00BA5587">
        <w:rPr>
          <w:rFonts w:cs="Arial"/>
        </w:rPr>
        <w:t>has the same life time period that is four years and in case of project A, the initial investments are 30 million pounds and in case of project B, the initial investments will be 50 million pounds</w:t>
      </w:r>
      <w:r w:rsidR="003C37F3" w:rsidRPr="00BA5587">
        <w:rPr>
          <w:rFonts w:cs="Arial"/>
        </w:rPr>
        <w:t xml:space="preserve"> (</w:t>
      </w:r>
      <w:r w:rsidR="003C37F3" w:rsidRPr="00BA5587">
        <w:rPr>
          <w:rFonts w:cs="Arial"/>
          <w:color w:val="222222"/>
          <w:shd w:val="clear" w:color="auto" w:fill="FFFFFF"/>
        </w:rPr>
        <w:t>Sinha and Datta, 2020</w:t>
      </w:r>
      <w:r w:rsidR="003C37F3" w:rsidRPr="00BA5587">
        <w:rPr>
          <w:rFonts w:cs="Arial"/>
        </w:rPr>
        <w:t>)</w:t>
      </w:r>
      <w:r w:rsidR="00CC1CCB" w:rsidRPr="00BA5587">
        <w:rPr>
          <w:rFonts w:cs="Arial"/>
        </w:rPr>
        <w:t xml:space="preserve">. Based on the cumulative cash flows, it can be observed that </w:t>
      </w:r>
      <w:r w:rsidR="006656FA" w:rsidRPr="00BA5587">
        <w:rPr>
          <w:rFonts w:cs="Arial"/>
        </w:rPr>
        <w:t xml:space="preserve">project A </w:t>
      </w:r>
      <w:r w:rsidR="0093353C" w:rsidRPr="00BA5587">
        <w:rPr>
          <w:rFonts w:cs="Arial"/>
        </w:rPr>
        <w:t>has been providing the positive cash flows from the year 3 onwards</w:t>
      </w:r>
      <w:r w:rsidR="003C37F3" w:rsidRPr="00BA5587">
        <w:rPr>
          <w:rFonts w:cs="Arial"/>
        </w:rPr>
        <w:t xml:space="preserve"> (</w:t>
      </w:r>
      <w:r w:rsidR="003C37F3" w:rsidRPr="00BA5587">
        <w:rPr>
          <w:rFonts w:cs="Arial"/>
          <w:color w:val="222222"/>
          <w:shd w:val="clear" w:color="auto" w:fill="FFFFFF"/>
        </w:rPr>
        <w:t xml:space="preserve">Bakri </w:t>
      </w:r>
      <w:proofErr w:type="spellStart"/>
      <w:r w:rsidR="003C37F3" w:rsidRPr="00BA5587">
        <w:rPr>
          <w:rFonts w:cs="Arial"/>
          <w:color w:val="222222"/>
          <w:shd w:val="clear" w:color="auto" w:fill="FFFFFF"/>
        </w:rPr>
        <w:t>Bakri</w:t>
      </w:r>
      <w:proofErr w:type="spellEnd"/>
      <w:r w:rsidR="003C37F3" w:rsidRPr="00BA5587">
        <w:rPr>
          <w:rFonts w:cs="Arial"/>
          <w:color w:val="222222"/>
          <w:shd w:val="clear" w:color="auto" w:fill="FFFFFF"/>
        </w:rPr>
        <w:t>, 2019</w:t>
      </w:r>
      <w:r w:rsidR="003C37F3" w:rsidRPr="00BA5587">
        <w:rPr>
          <w:rFonts w:cs="Arial"/>
        </w:rPr>
        <w:t>)</w:t>
      </w:r>
      <w:r w:rsidR="0093353C" w:rsidRPr="00BA5587">
        <w:rPr>
          <w:rFonts w:cs="Arial"/>
        </w:rPr>
        <w:t xml:space="preserve">. On the other hand, the project B has been providing the positive cash flows </w:t>
      </w:r>
      <w:r w:rsidR="00391CDD" w:rsidRPr="00BA5587">
        <w:rPr>
          <w:rFonts w:cs="Arial"/>
        </w:rPr>
        <w:t>from the year 4 and the payback period for project B will be 3.4 years while the PBP will be 2.6 years in case of project A</w:t>
      </w:r>
      <w:r w:rsidR="00077980" w:rsidRPr="00BA5587">
        <w:rPr>
          <w:rFonts w:cs="Arial"/>
        </w:rPr>
        <w:t xml:space="preserve"> (please refer to the appendix)</w:t>
      </w:r>
      <w:r w:rsidR="00391CDD" w:rsidRPr="00BA5587">
        <w:rPr>
          <w:rFonts w:cs="Arial"/>
        </w:rPr>
        <w:t xml:space="preserve">. </w:t>
      </w:r>
      <w:r w:rsidR="00137EC1" w:rsidRPr="00BA5587">
        <w:rPr>
          <w:rFonts w:cs="Arial"/>
        </w:rPr>
        <w:t xml:space="preserve">Therefore, it can be specified that </w:t>
      </w:r>
      <w:r w:rsidR="000118C1" w:rsidRPr="00BA5587">
        <w:rPr>
          <w:rFonts w:cs="Arial"/>
        </w:rPr>
        <w:t xml:space="preserve">the project A will be better option for the company to invest in as in this project the initial investments is lower than the project B and at the same time, the PBP is also lower than the project B. therefore, under the PBP method, the project should be accepted by Tesco Plc. </w:t>
      </w:r>
    </w:p>
    <w:p w14:paraId="4D8E0621" w14:textId="1C9C5B72" w:rsidR="000A7F9C" w:rsidRPr="00BA5587" w:rsidRDefault="000A7F9C" w:rsidP="00A16144">
      <w:pPr>
        <w:pStyle w:val="Heading2"/>
        <w:numPr>
          <w:ilvl w:val="1"/>
          <w:numId w:val="1"/>
        </w:numPr>
        <w:rPr>
          <w:rFonts w:cs="Arial"/>
        </w:rPr>
      </w:pPr>
      <w:bookmarkStart w:id="10" w:name="_Toc51356196"/>
      <w:r w:rsidRPr="00BA5587">
        <w:rPr>
          <w:rFonts w:cs="Arial"/>
        </w:rPr>
        <w:t>Calculations of ARR</w:t>
      </w:r>
      <w:bookmarkEnd w:id="10"/>
    </w:p>
    <w:p w14:paraId="356CEE85" w14:textId="7B54FD8F" w:rsidR="00077980" w:rsidRPr="00BA5587" w:rsidRDefault="00077980" w:rsidP="00077980">
      <w:pPr>
        <w:rPr>
          <w:rFonts w:cs="Arial"/>
        </w:rPr>
      </w:pPr>
      <w:r w:rsidRPr="00BA5587">
        <w:rPr>
          <w:rFonts w:cs="Arial"/>
        </w:rPr>
        <w:t xml:space="preserve">The ARR should be calculated based on the two factors including the average income of the company and the average initial investment of the firm. </w:t>
      </w:r>
      <w:r w:rsidR="00ED6146" w:rsidRPr="00BA5587">
        <w:rPr>
          <w:rFonts w:cs="Arial"/>
        </w:rPr>
        <w:t>The ARR formula is:</w:t>
      </w:r>
    </w:p>
    <w:p w14:paraId="069049BE" w14:textId="2550D3B2" w:rsidR="00ED6146" w:rsidRPr="00BA5587" w:rsidRDefault="00ED6146" w:rsidP="00077980">
      <w:pPr>
        <w:rPr>
          <w:rFonts w:eastAsiaTheme="minorEastAsia" w:cs="Arial"/>
        </w:rPr>
      </w:pPr>
      <m:oMathPara>
        <m:oMath>
          <m:r>
            <w:rPr>
              <w:rFonts w:ascii="Cambria Math" w:hAnsi="Cambria Math" w:cs="Arial"/>
            </w:rPr>
            <m:t>ARR = (average income / Average initial investments)</m:t>
          </m:r>
        </m:oMath>
      </m:oMathPara>
    </w:p>
    <w:p w14:paraId="28D62A22" w14:textId="7391915F" w:rsidR="00ED6146" w:rsidRPr="00BA5587" w:rsidRDefault="001809BA" w:rsidP="00077980">
      <w:pPr>
        <w:rPr>
          <w:rFonts w:cs="Arial"/>
        </w:rPr>
      </w:pPr>
      <w:r w:rsidRPr="00BA5587">
        <w:rPr>
          <w:rFonts w:eastAsiaTheme="minorEastAsia" w:cs="Arial"/>
        </w:rPr>
        <w:t xml:space="preserve">After calculation of the ARR for the both projects, it can be observed that the ARR for project A is </w:t>
      </w:r>
      <w:r w:rsidR="00D665E8" w:rsidRPr="00BA5587">
        <w:rPr>
          <w:rFonts w:eastAsiaTheme="minorEastAsia" w:cs="Arial"/>
        </w:rPr>
        <w:t>slightly</w:t>
      </w:r>
      <w:r w:rsidRPr="00BA5587">
        <w:rPr>
          <w:rFonts w:eastAsiaTheme="minorEastAsia" w:cs="Arial"/>
        </w:rPr>
        <w:t xml:space="preserve"> higher</w:t>
      </w:r>
      <w:r w:rsidR="006328FB" w:rsidRPr="00BA5587">
        <w:rPr>
          <w:rFonts w:eastAsiaTheme="minorEastAsia" w:cs="Arial"/>
        </w:rPr>
        <w:t xml:space="preserve"> (0.</w:t>
      </w:r>
      <w:r w:rsidR="00607859" w:rsidRPr="00BA5587">
        <w:rPr>
          <w:rFonts w:eastAsiaTheme="minorEastAsia" w:cs="Arial"/>
        </w:rPr>
        <w:t>2</w:t>
      </w:r>
      <w:r w:rsidR="006328FB" w:rsidRPr="00BA5587">
        <w:rPr>
          <w:rFonts w:eastAsiaTheme="minorEastAsia" w:cs="Arial"/>
        </w:rPr>
        <w:t>5)</w:t>
      </w:r>
      <w:r w:rsidRPr="00BA5587">
        <w:rPr>
          <w:rFonts w:eastAsiaTheme="minorEastAsia" w:cs="Arial"/>
        </w:rPr>
        <w:t xml:space="preserve"> in compared with the project B </w:t>
      </w:r>
      <w:r w:rsidR="006328FB" w:rsidRPr="00BA5587">
        <w:rPr>
          <w:rFonts w:eastAsiaTheme="minorEastAsia" w:cs="Arial"/>
        </w:rPr>
        <w:t>(0.</w:t>
      </w:r>
      <w:r w:rsidR="00607859" w:rsidRPr="00BA5587">
        <w:rPr>
          <w:rFonts w:eastAsiaTheme="minorEastAsia" w:cs="Arial"/>
        </w:rPr>
        <w:t>2</w:t>
      </w:r>
      <w:r w:rsidR="006328FB" w:rsidRPr="00BA5587">
        <w:rPr>
          <w:rFonts w:eastAsiaTheme="minorEastAsia" w:cs="Arial"/>
        </w:rPr>
        <w:t>2)</w:t>
      </w:r>
      <w:r w:rsidR="007D6DB0" w:rsidRPr="00BA5587">
        <w:rPr>
          <w:rFonts w:eastAsiaTheme="minorEastAsia" w:cs="Arial"/>
        </w:rPr>
        <w:t>,</w:t>
      </w:r>
      <w:r w:rsidR="006328FB" w:rsidRPr="00BA5587">
        <w:rPr>
          <w:rFonts w:eastAsiaTheme="minorEastAsia" w:cs="Arial"/>
        </w:rPr>
        <w:t xml:space="preserve"> therefore, it can be stated that </w:t>
      </w:r>
      <w:r w:rsidR="007D6DB0" w:rsidRPr="00BA5587">
        <w:rPr>
          <w:rFonts w:eastAsiaTheme="minorEastAsia" w:cs="Arial"/>
        </w:rPr>
        <w:t xml:space="preserve">project A can be accepted as the rate is </w:t>
      </w:r>
      <w:r w:rsidR="00D665E8" w:rsidRPr="00BA5587">
        <w:rPr>
          <w:rFonts w:eastAsiaTheme="minorEastAsia" w:cs="Arial"/>
        </w:rPr>
        <w:t>slightly</w:t>
      </w:r>
      <w:r w:rsidR="007D6DB0" w:rsidRPr="00BA5587">
        <w:rPr>
          <w:rFonts w:eastAsiaTheme="minorEastAsia" w:cs="Arial"/>
        </w:rPr>
        <w:t xml:space="preserve"> higher under the accounting rate of return.</w:t>
      </w:r>
      <w:r w:rsidR="00F7058E" w:rsidRPr="00BA5587">
        <w:rPr>
          <w:rFonts w:cs="Arial"/>
        </w:rPr>
        <w:t xml:space="preserve"> </w:t>
      </w:r>
      <w:r w:rsidR="00D665E8" w:rsidRPr="00BA5587">
        <w:rPr>
          <w:rFonts w:cs="Arial"/>
        </w:rPr>
        <w:t xml:space="preserve">If Tesco Plc </w:t>
      </w:r>
      <w:r w:rsidR="00ED6C64" w:rsidRPr="00BA5587">
        <w:rPr>
          <w:rFonts w:cs="Arial"/>
        </w:rPr>
        <w:t>accept the project A, then the com</w:t>
      </w:r>
      <w:r w:rsidR="00094EE7" w:rsidRPr="00BA5587">
        <w:rPr>
          <w:rFonts w:cs="Arial"/>
        </w:rPr>
        <w:t>p</w:t>
      </w:r>
      <w:r w:rsidR="00ED6C64" w:rsidRPr="00BA5587">
        <w:rPr>
          <w:rFonts w:cs="Arial"/>
        </w:rPr>
        <w:t>any will receive the profit in higher rate that is 0.</w:t>
      </w:r>
      <w:r w:rsidR="00095D7D" w:rsidRPr="00BA5587">
        <w:rPr>
          <w:rFonts w:cs="Arial"/>
        </w:rPr>
        <w:t>2</w:t>
      </w:r>
      <w:r w:rsidR="00ED6C64" w:rsidRPr="00BA5587">
        <w:rPr>
          <w:rFonts w:cs="Arial"/>
        </w:rPr>
        <w:t>5%</w:t>
      </w:r>
      <w:r w:rsidR="00CA422A" w:rsidRPr="00BA5587">
        <w:rPr>
          <w:rFonts w:cs="Arial"/>
        </w:rPr>
        <w:t xml:space="preserve"> (please refer to the appendix)</w:t>
      </w:r>
      <w:r w:rsidR="00ED6C64" w:rsidRPr="00BA5587">
        <w:rPr>
          <w:rFonts w:cs="Arial"/>
        </w:rPr>
        <w:t xml:space="preserve">. </w:t>
      </w:r>
      <w:r w:rsidR="00451CA2" w:rsidRPr="00BA5587">
        <w:rPr>
          <w:rFonts w:cs="Arial"/>
        </w:rPr>
        <w:t xml:space="preserve">The ARR will be focused on the </w:t>
      </w:r>
      <w:r w:rsidR="002B6534" w:rsidRPr="00BA5587">
        <w:rPr>
          <w:rFonts w:cs="Arial"/>
        </w:rPr>
        <w:t>proportionate changes of the average net income with the average initial investments and in this respect, th</w:t>
      </w:r>
      <w:r w:rsidR="00914350" w:rsidRPr="00BA5587">
        <w:rPr>
          <w:rFonts w:cs="Arial"/>
        </w:rPr>
        <w:t xml:space="preserve">is process </w:t>
      </w:r>
      <w:r w:rsidR="00EF4049" w:rsidRPr="00BA5587">
        <w:rPr>
          <w:rFonts w:cs="Arial"/>
        </w:rPr>
        <w:t xml:space="preserve">has been ignored the </w:t>
      </w:r>
      <w:r w:rsidR="00D70BF8" w:rsidRPr="00BA5587">
        <w:rPr>
          <w:rFonts w:cs="Arial"/>
        </w:rPr>
        <w:t xml:space="preserve">time value of the money concept that is the future incomes will be taken as it comes and for the future money, the </w:t>
      </w:r>
      <w:r w:rsidR="00A92441" w:rsidRPr="00BA5587">
        <w:rPr>
          <w:rFonts w:cs="Arial"/>
        </w:rPr>
        <w:t>discounting factors will not be considered as well</w:t>
      </w:r>
      <w:r w:rsidR="007613E9" w:rsidRPr="00BA5587">
        <w:rPr>
          <w:rFonts w:cs="Arial"/>
        </w:rPr>
        <w:t xml:space="preserve"> (</w:t>
      </w:r>
      <w:bookmarkStart w:id="11" w:name="_Hlk51355160"/>
      <w:proofErr w:type="spellStart"/>
      <w:r w:rsidR="007613E9" w:rsidRPr="00BA5587">
        <w:rPr>
          <w:rFonts w:cs="Arial"/>
          <w:color w:val="222222"/>
          <w:shd w:val="clear" w:color="auto" w:fill="FFFFFF"/>
        </w:rPr>
        <w:t>Godbole</w:t>
      </w:r>
      <w:proofErr w:type="spellEnd"/>
      <w:r w:rsidR="007613E9" w:rsidRPr="00BA5587">
        <w:rPr>
          <w:rFonts w:cs="Arial"/>
          <w:color w:val="222222"/>
          <w:shd w:val="clear" w:color="auto" w:fill="FFFFFF"/>
        </w:rPr>
        <w:t xml:space="preserve"> and </w:t>
      </w:r>
      <w:proofErr w:type="spellStart"/>
      <w:r w:rsidR="007613E9" w:rsidRPr="00BA5587">
        <w:rPr>
          <w:rFonts w:cs="Arial"/>
          <w:color w:val="222222"/>
          <w:shd w:val="clear" w:color="auto" w:fill="FFFFFF"/>
        </w:rPr>
        <w:t>Jayraj</w:t>
      </w:r>
      <w:proofErr w:type="spellEnd"/>
      <w:r w:rsidR="007613E9" w:rsidRPr="00BA5587">
        <w:rPr>
          <w:rFonts w:cs="Arial"/>
          <w:color w:val="222222"/>
          <w:shd w:val="clear" w:color="auto" w:fill="FFFFFF"/>
        </w:rPr>
        <w:t>, 2019</w:t>
      </w:r>
      <w:bookmarkEnd w:id="11"/>
      <w:r w:rsidR="007613E9" w:rsidRPr="00BA5587">
        <w:rPr>
          <w:rFonts w:cs="Arial"/>
        </w:rPr>
        <w:t>)</w:t>
      </w:r>
      <w:r w:rsidR="00A92441" w:rsidRPr="00BA5587">
        <w:rPr>
          <w:rFonts w:cs="Arial"/>
        </w:rPr>
        <w:t>.</w:t>
      </w:r>
      <w:r w:rsidR="00F5768D" w:rsidRPr="00BA5587">
        <w:rPr>
          <w:rFonts w:cs="Arial"/>
        </w:rPr>
        <w:t xml:space="preserve"> </w:t>
      </w:r>
      <w:r w:rsidR="00156F9B" w:rsidRPr="00BA5587">
        <w:rPr>
          <w:rFonts w:cs="Arial"/>
        </w:rPr>
        <w:t xml:space="preserve">Therefore, accurate results may not </w:t>
      </w:r>
      <w:r w:rsidR="002F3F4B" w:rsidRPr="00BA5587">
        <w:rPr>
          <w:rFonts w:cs="Arial"/>
        </w:rPr>
        <w:t>find</w:t>
      </w:r>
      <w:r w:rsidR="00156F9B" w:rsidRPr="00BA5587">
        <w:rPr>
          <w:rFonts w:cs="Arial"/>
        </w:rPr>
        <w:t xml:space="preserve"> out as well. </w:t>
      </w:r>
    </w:p>
    <w:p w14:paraId="5E3B911E" w14:textId="4F8F4283" w:rsidR="000A7F9C" w:rsidRPr="00BA5587" w:rsidRDefault="000A7F9C" w:rsidP="00A16144">
      <w:pPr>
        <w:pStyle w:val="Heading2"/>
        <w:numPr>
          <w:ilvl w:val="1"/>
          <w:numId w:val="1"/>
        </w:numPr>
        <w:rPr>
          <w:rFonts w:cs="Arial"/>
        </w:rPr>
      </w:pPr>
      <w:bookmarkStart w:id="12" w:name="_Toc51356197"/>
      <w:r w:rsidRPr="00BA5587">
        <w:rPr>
          <w:rFonts w:cs="Arial"/>
        </w:rPr>
        <w:t>Calculation of IRR</w:t>
      </w:r>
      <w:bookmarkEnd w:id="12"/>
    </w:p>
    <w:p w14:paraId="45F78D42" w14:textId="4D050951" w:rsidR="002F3F4B" w:rsidRPr="00BA5587" w:rsidRDefault="002F3F4B" w:rsidP="002F3F4B">
      <w:pPr>
        <w:rPr>
          <w:rFonts w:cs="Arial"/>
        </w:rPr>
      </w:pPr>
      <w:r w:rsidRPr="00BA5587">
        <w:rPr>
          <w:rFonts w:cs="Arial"/>
        </w:rPr>
        <w:t xml:space="preserve">The IRR will be determined for any project when the NPV will be zero that implies the net incomings from the project will be equivalent to the net outgoings for the project and in this rate, the IRR can be favourable for the company to accept the project with its </w:t>
      </w:r>
      <w:r w:rsidR="00B533FB" w:rsidRPr="00BA5587">
        <w:rPr>
          <w:rFonts w:cs="Arial"/>
        </w:rPr>
        <w:t xml:space="preserve">several factors. </w:t>
      </w:r>
      <w:r w:rsidR="00CA422A" w:rsidRPr="00BA5587">
        <w:rPr>
          <w:rFonts w:cs="Arial"/>
        </w:rPr>
        <w:t xml:space="preserve">It can be specified that for the both </w:t>
      </w:r>
      <w:r w:rsidR="00A16E0E" w:rsidRPr="00BA5587">
        <w:rPr>
          <w:rFonts w:cs="Arial"/>
        </w:rPr>
        <w:t>projects</w:t>
      </w:r>
      <w:r w:rsidR="00CA422A" w:rsidRPr="00BA5587">
        <w:rPr>
          <w:rFonts w:cs="Arial"/>
        </w:rPr>
        <w:t xml:space="preserve">, the IRR will be equal that is </w:t>
      </w:r>
      <w:r w:rsidR="009C22C8" w:rsidRPr="00BA5587">
        <w:rPr>
          <w:rFonts w:cs="Arial"/>
        </w:rPr>
        <w:t>3</w:t>
      </w:r>
      <w:r w:rsidR="00CA422A" w:rsidRPr="00BA5587">
        <w:rPr>
          <w:rFonts w:cs="Arial"/>
        </w:rPr>
        <w:t>%</w:t>
      </w:r>
      <w:r w:rsidR="009C22C8" w:rsidRPr="00BA5587">
        <w:rPr>
          <w:rFonts w:cs="Arial"/>
        </w:rPr>
        <w:t xml:space="preserve"> after considering the </w:t>
      </w:r>
      <w:r w:rsidR="00A85789" w:rsidRPr="00BA5587">
        <w:rPr>
          <w:rFonts w:cs="Arial"/>
        </w:rPr>
        <w:t xml:space="preserve">time period for both </w:t>
      </w:r>
      <w:r w:rsidR="00A16E0E" w:rsidRPr="00BA5587">
        <w:rPr>
          <w:rFonts w:cs="Arial"/>
        </w:rPr>
        <w:t xml:space="preserve">the </w:t>
      </w:r>
      <w:r w:rsidR="00A85789" w:rsidRPr="00BA5587">
        <w:rPr>
          <w:rFonts w:cs="Arial"/>
        </w:rPr>
        <w:t>project</w:t>
      </w:r>
      <w:r w:rsidR="00A16E0E" w:rsidRPr="00BA5587">
        <w:rPr>
          <w:rFonts w:cs="Arial"/>
        </w:rPr>
        <w:t>s</w:t>
      </w:r>
      <w:r w:rsidR="00A85789" w:rsidRPr="00BA5587">
        <w:rPr>
          <w:rFonts w:cs="Arial"/>
        </w:rPr>
        <w:t xml:space="preserve"> is 4 years.</w:t>
      </w:r>
      <w:r w:rsidR="009A00AB" w:rsidRPr="00BA5587">
        <w:rPr>
          <w:rFonts w:cs="Arial"/>
        </w:rPr>
        <w:t xml:space="preserve"> </w:t>
      </w:r>
      <w:r w:rsidR="00A16E0E" w:rsidRPr="00BA5587">
        <w:rPr>
          <w:rFonts w:cs="Arial"/>
        </w:rPr>
        <w:t xml:space="preserve">In the IRR method, all the present cash inflows and the cash outflows have been considered </w:t>
      </w:r>
      <w:r w:rsidR="00637AD3" w:rsidRPr="00BA5587">
        <w:rPr>
          <w:rFonts w:cs="Arial"/>
        </w:rPr>
        <w:t xml:space="preserve">in calculating the IRR, it can be observed </w:t>
      </w:r>
      <w:r w:rsidR="00F12676" w:rsidRPr="00BA5587">
        <w:rPr>
          <w:rFonts w:cs="Arial"/>
        </w:rPr>
        <w:t xml:space="preserve">that </w:t>
      </w:r>
      <w:r w:rsidR="00637AD3" w:rsidRPr="00BA5587">
        <w:rPr>
          <w:rFonts w:cs="Arial"/>
        </w:rPr>
        <w:t>at the rate of 3%</w:t>
      </w:r>
      <w:r w:rsidR="00F12676" w:rsidRPr="00BA5587">
        <w:rPr>
          <w:rFonts w:cs="Arial"/>
        </w:rPr>
        <w:t xml:space="preserve">, the NPV for both the projects will be zero. </w:t>
      </w:r>
      <w:r w:rsidR="00F47923" w:rsidRPr="00BA5587">
        <w:rPr>
          <w:rFonts w:cs="Arial"/>
        </w:rPr>
        <w:t xml:space="preserve">The IRR calculations have been considered several </w:t>
      </w:r>
      <w:r w:rsidR="008B340F" w:rsidRPr="00BA5587">
        <w:rPr>
          <w:rFonts w:cs="Arial"/>
        </w:rPr>
        <w:t xml:space="preserve">estimations like </w:t>
      </w:r>
      <w:r w:rsidR="00001E6F" w:rsidRPr="00BA5587">
        <w:rPr>
          <w:rFonts w:cs="Arial"/>
        </w:rPr>
        <w:t xml:space="preserve">there will be no changes within the </w:t>
      </w:r>
      <w:r w:rsidR="00D721D5" w:rsidRPr="00BA5587">
        <w:rPr>
          <w:rFonts w:cs="Arial"/>
        </w:rPr>
        <w:t xml:space="preserve">cash incomings in the future. The changes in the technology and the </w:t>
      </w:r>
      <w:r w:rsidR="00D95491" w:rsidRPr="00BA5587">
        <w:rPr>
          <w:rFonts w:cs="Arial"/>
        </w:rPr>
        <w:t xml:space="preserve">changes in the </w:t>
      </w:r>
      <w:r w:rsidR="00C01973" w:rsidRPr="00BA5587">
        <w:rPr>
          <w:rFonts w:cs="Arial"/>
        </w:rPr>
        <w:t xml:space="preserve">customers’ demand and preferences </w:t>
      </w:r>
      <w:r w:rsidR="00387D74" w:rsidRPr="00BA5587">
        <w:rPr>
          <w:rFonts w:cs="Arial"/>
        </w:rPr>
        <w:t xml:space="preserve">will not be entertained under this IRR method. </w:t>
      </w:r>
      <w:r w:rsidR="00DC595C" w:rsidRPr="00BA5587">
        <w:rPr>
          <w:rFonts w:cs="Arial"/>
        </w:rPr>
        <w:t>The IRR rate is that specific rate</w:t>
      </w:r>
      <w:r w:rsidR="002B5042" w:rsidRPr="00BA5587">
        <w:rPr>
          <w:rFonts w:cs="Arial"/>
        </w:rPr>
        <w:t xml:space="preserve">, which the company can be accepted </w:t>
      </w:r>
      <w:r w:rsidR="00E73FE2" w:rsidRPr="00BA5587">
        <w:rPr>
          <w:rFonts w:cs="Arial"/>
        </w:rPr>
        <w:t xml:space="preserve">as this will promote the no profit and no loss concept </w:t>
      </w:r>
      <w:r w:rsidR="00FF6B2F" w:rsidRPr="00BA5587">
        <w:rPr>
          <w:rFonts w:cs="Arial"/>
        </w:rPr>
        <w:t>in accepting the project</w:t>
      </w:r>
      <w:r w:rsidR="0068073C" w:rsidRPr="00BA5587">
        <w:rPr>
          <w:rFonts w:cs="Arial"/>
        </w:rPr>
        <w:t xml:space="preserve"> (</w:t>
      </w:r>
      <w:proofErr w:type="spellStart"/>
      <w:r w:rsidR="0068073C" w:rsidRPr="00BA5587">
        <w:rPr>
          <w:rFonts w:cs="Arial"/>
          <w:color w:val="222222"/>
          <w:shd w:val="clear" w:color="auto" w:fill="FFFFFF"/>
        </w:rPr>
        <w:t>Ndanyenbah</w:t>
      </w:r>
      <w:proofErr w:type="spellEnd"/>
      <w:r w:rsidR="0068073C" w:rsidRPr="00BA5587">
        <w:rPr>
          <w:rFonts w:cs="Arial"/>
          <w:color w:val="222222"/>
          <w:shd w:val="clear" w:color="auto" w:fill="FFFFFF"/>
        </w:rPr>
        <w:t xml:space="preserve"> and </w:t>
      </w:r>
      <w:proofErr w:type="spellStart"/>
      <w:r w:rsidR="0068073C" w:rsidRPr="00BA5587">
        <w:rPr>
          <w:rFonts w:cs="Arial"/>
          <w:color w:val="222222"/>
          <w:shd w:val="clear" w:color="auto" w:fill="FFFFFF"/>
        </w:rPr>
        <w:t>Zakaria</w:t>
      </w:r>
      <w:proofErr w:type="spellEnd"/>
      <w:r w:rsidR="0068073C" w:rsidRPr="00BA5587">
        <w:rPr>
          <w:rFonts w:cs="Arial"/>
          <w:color w:val="222222"/>
          <w:shd w:val="clear" w:color="auto" w:fill="FFFFFF"/>
        </w:rPr>
        <w:t>, 2019</w:t>
      </w:r>
      <w:r w:rsidR="0068073C" w:rsidRPr="00BA5587">
        <w:rPr>
          <w:rFonts w:cs="Arial"/>
        </w:rPr>
        <w:t>)</w:t>
      </w:r>
      <w:r w:rsidR="00FF6B2F" w:rsidRPr="00BA5587">
        <w:rPr>
          <w:rFonts w:cs="Arial"/>
        </w:rPr>
        <w:t xml:space="preserve">. The IRR rate will verify the no loss situation for any project but it cannot define the </w:t>
      </w:r>
      <w:r w:rsidR="00C24B50" w:rsidRPr="00BA5587">
        <w:rPr>
          <w:rFonts w:cs="Arial"/>
        </w:rPr>
        <w:t xml:space="preserve">profit earning margin </w:t>
      </w:r>
      <w:r w:rsidR="00530D6B" w:rsidRPr="00BA5587">
        <w:rPr>
          <w:rFonts w:cs="Arial"/>
        </w:rPr>
        <w:t xml:space="preserve">at all. </w:t>
      </w:r>
      <w:r w:rsidR="003F3A78" w:rsidRPr="00BA5587">
        <w:rPr>
          <w:rFonts w:cs="Arial"/>
        </w:rPr>
        <w:t xml:space="preserve">Therefore, it can be specified that IRR will be good for verifying the </w:t>
      </w:r>
      <w:r w:rsidR="00024507" w:rsidRPr="00BA5587">
        <w:rPr>
          <w:rFonts w:cs="Arial"/>
        </w:rPr>
        <w:t>profitability</w:t>
      </w:r>
      <w:r w:rsidR="007B4B38" w:rsidRPr="00BA5587">
        <w:rPr>
          <w:rFonts w:cs="Arial"/>
        </w:rPr>
        <w:t xml:space="preserve"> positi</w:t>
      </w:r>
      <w:r w:rsidR="00024507" w:rsidRPr="00BA5587">
        <w:rPr>
          <w:rFonts w:cs="Arial"/>
        </w:rPr>
        <w:t>o</w:t>
      </w:r>
      <w:r w:rsidR="007B4B38" w:rsidRPr="00BA5587">
        <w:rPr>
          <w:rFonts w:cs="Arial"/>
        </w:rPr>
        <w:t>n of the project but it will not determine the exact profit position.</w:t>
      </w:r>
      <w:r w:rsidR="00642D34" w:rsidRPr="00BA5587">
        <w:rPr>
          <w:rFonts w:cs="Arial"/>
        </w:rPr>
        <w:t xml:space="preserve"> </w:t>
      </w:r>
      <w:r w:rsidR="002B5042" w:rsidRPr="00BA5587">
        <w:rPr>
          <w:rFonts w:cs="Arial"/>
        </w:rPr>
        <w:t xml:space="preserve"> </w:t>
      </w:r>
      <w:r w:rsidR="00C01973" w:rsidRPr="00BA5587">
        <w:rPr>
          <w:rFonts w:cs="Arial"/>
        </w:rPr>
        <w:t xml:space="preserve"> </w:t>
      </w:r>
    </w:p>
    <w:p w14:paraId="26507029" w14:textId="210C0D68" w:rsidR="000A7F9C" w:rsidRPr="00BA5587" w:rsidRDefault="000A7F9C" w:rsidP="00A16144">
      <w:pPr>
        <w:pStyle w:val="Heading2"/>
        <w:numPr>
          <w:ilvl w:val="1"/>
          <w:numId w:val="1"/>
        </w:numPr>
        <w:rPr>
          <w:rFonts w:cs="Arial"/>
        </w:rPr>
      </w:pPr>
      <w:bookmarkStart w:id="13" w:name="_Toc51356198"/>
      <w:r w:rsidRPr="00BA5587">
        <w:rPr>
          <w:rFonts w:cs="Arial"/>
        </w:rPr>
        <w:t>Calculations of NPV</w:t>
      </w:r>
      <w:bookmarkEnd w:id="13"/>
    </w:p>
    <w:p w14:paraId="666B18A9" w14:textId="41B0CC31" w:rsidR="00024507" w:rsidRPr="00BA5587" w:rsidRDefault="00024507" w:rsidP="00024507">
      <w:pPr>
        <w:rPr>
          <w:rFonts w:cs="Arial"/>
        </w:rPr>
      </w:pPr>
      <w:r w:rsidRPr="00BA5587">
        <w:rPr>
          <w:rFonts w:cs="Arial"/>
        </w:rPr>
        <w:t xml:space="preserve">The NPV will be determined the profit earning capacity of the </w:t>
      </w:r>
      <w:r w:rsidR="000A7047" w:rsidRPr="00BA5587">
        <w:rPr>
          <w:rFonts w:cs="Arial"/>
        </w:rPr>
        <w:t>project and the profit margin can also be determine with the adding up all the net present value of the cash inflows after deducting the initial investments and others.</w:t>
      </w:r>
      <w:r w:rsidR="00D224A6" w:rsidRPr="00BA5587">
        <w:rPr>
          <w:rFonts w:cs="Arial"/>
        </w:rPr>
        <w:t xml:space="preserve"> The NPV is the renowned method under the investment appraisals method as this has been considered the </w:t>
      </w:r>
      <w:r w:rsidR="00CA458B" w:rsidRPr="00BA5587">
        <w:rPr>
          <w:rFonts w:cs="Arial"/>
        </w:rPr>
        <w:t>time value of the money for the future cash inflows after discounting those figures.</w:t>
      </w:r>
      <w:r w:rsidR="0029700D" w:rsidRPr="00BA5587">
        <w:rPr>
          <w:rFonts w:cs="Arial"/>
        </w:rPr>
        <w:t xml:space="preserve"> </w:t>
      </w:r>
      <w:r w:rsidR="00253581" w:rsidRPr="00BA5587">
        <w:rPr>
          <w:rFonts w:cs="Arial"/>
        </w:rPr>
        <w:t xml:space="preserve">The NPV will be </w:t>
      </w:r>
      <w:r w:rsidR="00FD19AF" w:rsidRPr="00BA5587">
        <w:rPr>
          <w:rFonts w:cs="Arial"/>
        </w:rPr>
        <w:t xml:space="preserve">determined </w:t>
      </w:r>
      <w:r w:rsidR="001E31B5" w:rsidRPr="00BA5587">
        <w:rPr>
          <w:rFonts w:cs="Arial"/>
        </w:rPr>
        <w:t xml:space="preserve">the profit margin from the project </w:t>
      </w:r>
      <w:r w:rsidR="00877633" w:rsidRPr="00BA5587">
        <w:rPr>
          <w:rFonts w:cs="Arial"/>
        </w:rPr>
        <w:t xml:space="preserve">through which the </w:t>
      </w:r>
      <w:r w:rsidR="00C12097" w:rsidRPr="00BA5587">
        <w:rPr>
          <w:rFonts w:cs="Arial"/>
        </w:rPr>
        <w:t>discounting factors should be considered as well.</w:t>
      </w:r>
      <w:r w:rsidR="00103F95" w:rsidRPr="00BA5587">
        <w:rPr>
          <w:rFonts w:cs="Arial"/>
        </w:rPr>
        <w:t xml:space="preserve"> </w:t>
      </w:r>
      <w:r w:rsidR="00A651E5" w:rsidRPr="00BA5587">
        <w:rPr>
          <w:rFonts w:cs="Arial"/>
        </w:rPr>
        <w:t xml:space="preserve">In this case, the NPV is higher in the project B that is 3.43 million </w:t>
      </w:r>
      <w:r w:rsidR="005C23E1" w:rsidRPr="00BA5587">
        <w:rPr>
          <w:rFonts w:cs="Arial"/>
        </w:rPr>
        <w:t>pounds</w:t>
      </w:r>
      <w:r w:rsidR="00A651E5" w:rsidRPr="00BA5587">
        <w:rPr>
          <w:rFonts w:cs="Arial"/>
        </w:rPr>
        <w:t xml:space="preserve"> whereas the project A has been showing the NPV of 2.71 million pound after considering the same time period for both the projects A and B. </w:t>
      </w:r>
      <w:r w:rsidR="005C23E1" w:rsidRPr="00BA5587">
        <w:rPr>
          <w:rFonts w:cs="Arial"/>
        </w:rPr>
        <w:t>under the NPV process, the project will be higher profitable in the four years duration after investing the 50 million pounds</w:t>
      </w:r>
      <w:r w:rsidR="002538E5" w:rsidRPr="00BA5587">
        <w:rPr>
          <w:rFonts w:cs="Arial"/>
        </w:rPr>
        <w:t xml:space="preserve"> (</w:t>
      </w:r>
      <w:proofErr w:type="spellStart"/>
      <w:r w:rsidR="002538E5" w:rsidRPr="00BA5587">
        <w:rPr>
          <w:rFonts w:cs="Arial"/>
          <w:color w:val="222222"/>
          <w:shd w:val="clear" w:color="auto" w:fill="FFFFFF"/>
        </w:rPr>
        <w:t>Godbole</w:t>
      </w:r>
      <w:proofErr w:type="spellEnd"/>
      <w:r w:rsidR="002538E5" w:rsidRPr="00BA5587">
        <w:rPr>
          <w:rFonts w:cs="Arial"/>
          <w:color w:val="222222"/>
          <w:shd w:val="clear" w:color="auto" w:fill="FFFFFF"/>
        </w:rPr>
        <w:t xml:space="preserve"> and </w:t>
      </w:r>
      <w:proofErr w:type="spellStart"/>
      <w:r w:rsidR="002538E5" w:rsidRPr="00BA5587">
        <w:rPr>
          <w:rFonts w:cs="Arial"/>
          <w:color w:val="222222"/>
          <w:shd w:val="clear" w:color="auto" w:fill="FFFFFF"/>
        </w:rPr>
        <w:t>Jayraj</w:t>
      </w:r>
      <w:proofErr w:type="spellEnd"/>
      <w:r w:rsidR="002538E5" w:rsidRPr="00BA5587">
        <w:rPr>
          <w:rFonts w:cs="Arial"/>
          <w:color w:val="222222"/>
          <w:shd w:val="clear" w:color="auto" w:fill="FFFFFF"/>
        </w:rPr>
        <w:t>, 2019</w:t>
      </w:r>
      <w:r w:rsidR="002538E5" w:rsidRPr="00BA5587">
        <w:rPr>
          <w:rFonts w:cs="Arial"/>
        </w:rPr>
        <w:t>)</w:t>
      </w:r>
      <w:r w:rsidR="005C23E1" w:rsidRPr="00BA5587">
        <w:rPr>
          <w:rFonts w:cs="Arial"/>
        </w:rPr>
        <w:t xml:space="preserve">. Therefore, it can be specified that after considering the time value of the money, the accurate results will be showed the </w:t>
      </w:r>
      <w:r w:rsidR="00806147" w:rsidRPr="00BA5587">
        <w:rPr>
          <w:rFonts w:cs="Arial"/>
        </w:rPr>
        <w:t xml:space="preserve">higher profitability for the project B and the profit margin is quite higher in the project B in compared with the project A after considering the </w:t>
      </w:r>
      <w:r w:rsidR="00FE7752" w:rsidRPr="00BA5587">
        <w:rPr>
          <w:rFonts w:cs="Arial"/>
        </w:rPr>
        <w:t xml:space="preserve">same life time for the projects. </w:t>
      </w:r>
    </w:p>
    <w:p w14:paraId="50161BD1" w14:textId="31FA7A6D" w:rsidR="000A7F9C" w:rsidRPr="00BA5587" w:rsidRDefault="00A16144" w:rsidP="00A16144">
      <w:pPr>
        <w:pStyle w:val="Heading2"/>
        <w:numPr>
          <w:ilvl w:val="1"/>
          <w:numId w:val="1"/>
        </w:numPr>
        <w:rPr>
          <w:rFonts w:cs="Arial"/>
        </w:rPr>
      </w:pPr>
      <w:bookmarkStart w:id="14" w:name="_Toc51356199"/>
      <w:r w:rsidRPr="00BA5587">
        <w:rPr>
          <w:rFonts w:cs="Arial"/>
        </w:rPr>
        <w:t>Advantages and limitations of investment appraisals techniques</w:t>
      </w:r>
      <w:bookmarkEnd w:id="14"/>
    </w:p>
    <w:p w14:paraId="226DFB4F" w14:textId="2F595607" w:rsidR="007F4919" w:rsidRPr="00BA5587" w:rsidRDefault="007F4919" w:rsidP="007F4919">
      <w:pPr>
        <w:rPr>
          <w:rFonts w:cs="Arial"/>
        </w:rPr>
      </w:pPr>
      <w:r w:rsidRPr="00BA5587">
        <w:rPr>
          <w:rFonts w:cs="Arial"/>
        </w:rPr>
        <w:t>The advantage</w:t>
      </w:r>
      <w:r w:rsidR="00961E31" w:rsidRPr="00BA5587">
        <w:rPr>
          <w:rFonts w:cs="Arial"/>
        </w:rPr>
        <w:t>s and the limitations</w:t>
      </w:r>
      <w:r w:rsidRPr="00BA5587">
        <w:rPr>
          <w:rFonts w:cs="Arial"/>
        </w:rPr>
        <w:t xml:space="preserve"> of the PBP will be </w:t>
      </w:r>
      <w:r w:rsidR="00961E31" w:rsidRPr="00BA5587">
        <w:rPr>
          <w:rFonts w:cs="Arial"/>
        </w:rPr>
        <w:t>stated below:</w:t>
      </w:r>
    </w:p>
    <w:tbl>
      <w:tblPr>
        <w:tblStyle w:val="TableGrid"/>
        <w:tblW w:w="0" w:type="auto"/>
        <w:tblLook w:val="04A0" w:firstRow="1" w:lastRow="0" w:firstColumn="1" w:lastColumn="0" w:noHBand="0" w:noVBand="1"/>
      </w:tblPr>
      <w:tblGrid>
        <w:gridCol w:w="4508"/>
        <w:gridCol w:w="4508"/>
      </w:tblGrid>
      <w:tr w:rsidR="00961E31" w:rsidRPr="00BA5587" w14:paraId="0A568E0F" w14:textId="77777777" w:rsidTr="00961E31">
        <w:tc>
          <w:tcPr>
            <w:tcW w:w="4508" w:type="dxa"/>
          </w:tcPr>
          <w:p w14:paraId="4B973BBA" w14:textId="5212E2D7" w:rsidR="00961E31" w:rsidRPr="00BA5587" w:rsidRDefault="00961E31" w:rsidP="00961E31">
            <w:pPr>
              <w:jc w:val="center"/>
              <w:rPr>
                <w:rFonts w:cs="Arial"/>
                <w:b/>
                <w:bCs/>
              </w:rPr>
            </w:pPr>
            <w:r w:rsidRPr="00BA5587">
              <w:rPr>
                <w:rFonts w:cs="Arial"/>
                <w:b/>
                <w:bCs/>
              </w:rPr>
              <w:t>Advantages</w:t>
            </w:r>
          </w:p>
        </w:tc>
        <w:tc>
          <w:tcPr>
            <w:tcW w:w="4508" w:type="dxa"/>
          </w:tcPr>
          <w:p w14:paraId="03DB2CE9" w14:textId="6DE23126" w:rsidR="00961E31" w:rsidRPr="00BA5587" w:rsidRDefault="00961E31" w:rsidP="00961E31">
            <w:pPr>
              <w:jc w:val="center"/>
              <w:rPr>
                <w:rFonts w:cs="Arial"/>
                <w:b/>
                <w:bCs/>
              </w:rPr>
            </w:pPr>
            <w:r w:rsidRPr="00BA5587">
              <w:rPr>
                <w:rFonts w:cs="Arial"/>
                <w:b/>
                <w:bCs/>
              </w:rPr>
              <w:t>Limitations</w:t>
            </w:r>
          </w:p>
        </w:tc>
      </w:tr>
      <w:tr w:rsidR="00961E31" w:rsidRPr="00BA5587" w14:paraId="1AD50590" w14:textId="77777777" w:rsidTr="00961E31">
        <w:tc>
          <w:tcPr>
            <w:tcW w:w="4508" w:type="dxa"/>
          </w:tcPr>
          <w:p w14:paraId="35949DC2" w14:textId="4A249F2A" w:rsidR="00961E31" w:rsidRPr="00BA5587" w:rsidRDefault="00AF4C67" w:rsidP="007F4919">
            <w:pPr>
              <w:rPr>
                <w:rFonts w:cs="Arial"/>
              </w:rPr>
            </w:pPr>
            <w:r w:rsidRPr="00BA5587">
              <w:rPr>
                <w:rFonts w:cs="Arial"/>
              </w:rPr>
              <w:t>The PBP method is easy to understand.</w:t>
            </w:r>
          </w:p>
        </w:tc>
        <w:tc>
          <w:tcPr>
            <w:tcW w:w="4508" w:type="dxa"/>
          </w:tcPr>
          <w:p w14:paraId="2174D9D2" w14:textId="4A443B06" w:rsidR="00961E31" w:rsidRPr="00BA5587" w:rsidRDefault="00F2013B" w:rsidP="007F4919">
            <w:pPr>
              <w:rPr>
                <w:rFonts w:cs="Arial"/>
              </w:rPr>
            </w:pPr>
            <w:r w:rsidRPr="00BA5587">
              <w:rPr>
                <w:rFonts w:cs="Arial"/>
              </w:rPr>
              <w:t>Time value of money has been ignored.</w:t>
            </w:r>
          </w:p>
        </w:tc>
      </w:tr>
      <w:tr w:rsidR="00961E31" w:rsidRPr="00BA5587" w14:paraId="698F6C7A" w14:textId="77777777" w:rsidTr="00961E31">
        <w:tc>
          <w:tcPr>
            <w:tcW w:w="4508" w:type="dxa"/>
          </w:tcPr>
          <w:p w14:paraId="79432898" w14:textId="774F4EF1" w:rsidR="00AF4C67" w:rsidRPr="00BA5587" w:rsidRDefault="00AF4C67" w:rsidP="007F4919">
            <w:pPr>
              <w:rPr>
                <w:rFonts w:cs="Arial"/>
              </w:rPr>
            </w:pPr>
            <w:r w:rsidRPr="00BA5587">
              <w:rPr>
                <w:rFonts w:cs="Arial"/>
              </w:rPr>
              <w:t>This method has been associated the minimum costs.</w:t>
            </w:r>
          </w:p>
        </w:tc>
        <w:tc>
          <w:tcPr>
            <w:tcW w:w="4508" w:type="dxa"/>
          </w:tcPr>
          <w:p w14:paraId="207953C5" w14:textId="33BFEEE6" w:rsidR="00961E31" w:rsidRPr="00BA5587" w:rsidRDefault="00F2013B" w:rsidP="007F4919">
            <w:pPr>
              <w:rPr>
                <w:rFonts w:cs="Arial"/>
              </w:rPr>
            </w:pPr>
            <w:r w:rsidRPr="00BA5587">
              <w:rPr>
                <w:rFonts w:cs="Arial"/>
              </w:rPr>
              <w:t>The risk differences cannot be considered under this project that is risky and very risky project cannot be differentiated.</w:t>
            </w:r>
          </w:p>
        </w:tc>
      </w:tr>
      <w:tr w:rsidR="00961E31" w:rsidRPr="00BA5587" w14:paraId="398FB57A" w14:textId="77777777" w:rsidTr="00961E31">
        <w:tc>
          <w:tcPr>
            <w:tcW w:w="4508" w:type="dxa"/>
          </w:tcPr>
          <w:p w14:paraId="3E418233" w14:textId="1C371BE3" w:rsidR="00961E31" w:rsidRPr="00BA5587" w:rsidRDefault="00AF4C67" w:rsidP="007F4919">
            <w:pPr>
              <w:rPr>
                <w:rFonts w:cs="Arial"/>
              </w:rPr>
            </w:pPr>
            <w:r w:rsidRPr="00BA5587">
              <w:rPr>
                <w:rFonts w:cs="Arial"/>
              </w:rPr>
              <w:t>This is related with the small decision making in investments.</w:t>
            </w:r>
          </w:p>
        </w:tc>
        <w:tc>
          <w:tcPr>
            <w:tcW w:w="4508" w:type="dxa"/>
          </w:tcPr>
          <w:p w14:paraId="722CBE5C" w14:textId="4475DAF4" w:rsidR="00961E31" w:rsidRPr="00BA5587" w:rsidRDefault="00F2013B" w:rsidP="007F4919">
            <w:pPr>
              <w:rPr>
                <w:rFonts w:cs="Arial"/>
              </w:rPr>
            </w:pPr>
            <w:r w:rsidRPr="00BA5587">
              <w:rPr>
                <w:rFonts w:cs="Arial"/>
              </w:rPr>
              <w:t>This method will require the arbitrary cut off points.</w:t>
            </w:r>
          </w:p>
        </w:tc>
      </w:tr>
      <w:tr w:rsidR="00961E31" w:rsidRPr="00BA5587" w14:paraId="4E94C6BE" w14:textId="77777777" w:rsidTr="00961E31">
        <w:tc>
          <w:tcPr>
            <w:tcW w:w="4508" w:type="dxa"/>
          </w:tcPr>
          <w:p w14:paraId="5931CC15" w14:textId="7990BCF8" w:rsidR="00961E31" w:rsidRPr="00BA5587" w:rsidRDefault="00AF4C67" w:rsidP="007F4919">
            <w:pPr>
              <w:rPr>
                <w:rFonts w:cs="Arial"/>
              </w:rPr>
            </w:pPr>
            <w:r w:rsidRPr="00BA5587">
              <w:rPr>
                <w:rFonts w:cs="Arial"/>
              </w:rPr>
              <w:t>This method has been considered the uncertainty in respect with the later cash inflows</w:t>
            </w:r>
            <w:r w:rsidR="00186249" w:rsidRPr="00BA5587">
              <w:rPr>
                <w:rFonts w:cs="Arial"/>
              </w:rPr>
              <w:t xml:space="preserve"> (</w:t>
            </w:r>
            <w:proofErr w:type="spellStart"/>
            <w:r w:rsidR="00186249" w:rsidRPr="00BA5587">
              <w:rPr>
                <w:rFonts w:cs="Arial"/>
                <w:color w:val="222222"/>
                <w:shd w:val="clear" w:color="auto" w:fill="FFFFFF"/>
              </w:rPr>
              <w:t>Ogunbayo</w:t>
            </w:r>
            <w:proofErr w:type="spellEnd"/>
            <w:r w:rsidR="00186249" w:rsidRPr="00BA5587">
              <w:rPr>
                <w:rFonts w:cs="Arial"/>
                <w:color w:val="222222"/>
                <w:shd w:val="clear" w:color="auto" w:fill="FFFFFF"/>
              </w:rPr>
              <w:t xml:space="preserve"> et al., 2019</w:t>
            </w:r>
            <w:r w:rsidR="00186249" w:rsidRPr="00BA5587">
              <w:rPr>
                <w:rFonts w:cs="Arial"/>
              </w:rPr>
              <w:t>)</w:t>
            </w:r>
            <w:r w:rsidRPr="00BA5587">
              <w:rPr>
                <w:rFonts w:cs="Arial"/>
              </w:rPr>
              <w:t>.</w:t>
            </w:r>
          </w:p>
        </w:tc>
        <w:tc>
          <w:tcPr>
            <w:tcW w:w="4508" w:type="dxa"/>
          </w:tcPr>
          <w:p w14:paraId="666F1566" w14:textId="3913BEFE" w:rsidR="00961E31" w:rsidRPr="00BA5587" w:rsidRDefault="00F2013B" w:rsidP="007F4919">
            <w:pPr>
              <w:rPr>
                <w:rFonts w:cs="Arial"/>
              </w:rPr>
            </w:pPr>
            <w:r w:rsidRPr="00BA5587">
              <w:rPr>
                <w:rFonts w:cs="Arial"/>
              </w:rPr>
              <w:t>After the cut off dates, it ignores the cash inflows.</w:t>
            </w:r>
          </w:p>
        </w:tc>
      </w:tr>
      <w:tr w:rsidR="00AF4C67" w:rsidRPr="00BA5587" w14:paraId="68CEE0D0" w14:textId="77777777" w:rsidTr="00961E31">
        <w:tc>
          <w:tcPr>
            <w:tcW w:w="4508" w:type="dxa"/>
          </w:tcPr>
          <w:p w14:paraId="2290EB32" w14:textId="1EB96ACB" w:rsidR="00AF4C67" w:rsidRPr="00BA5587" w:rsidRDefault="00AF4C67" w:rsidP="007F4919">
            <w:pPr>
              <w:rPr>
                <w:rFonts w:cs="Arial"/>
              </w:rPr>
            </w:pPr>
            <w:r w:rsidRPr="00BA5587">
              <w:rPr>
                <w:rFonts w:cs="Arial"/>
              </w:rPr>
              <w:t xml:space="preserve">This method only </w:t>
            </w:r>
            <w:r w:rsidR="00F2013B" w:rsidRPr="00BA5587">
              <w:rPr>
                <w:rFonts w:cs="Arial"/>
              </w:rPr>
              <w:t>considers</w:t>
            </w:r>
            <w:r w:rsidRPr="00BA5587">
              <w:rPr>
                <w:rFonts w:cs="Arial"/>
              </w:rPr>
              <w:t xml:space="preserve"> the </w:t>
            </w:r>
            <w:r w:rsidR="00887DE2" w:rsidRPr="00BA5587">
              <w:rPr>
                <w:rFonts w:cs="Arial"/>
              </w:rPr>
              <w:t>cash flows before PBP and after that time span, the cash flows generally does not consider.</w:t>
            </w:r>
          </w:p>
        </w:tc>
        <w:tc>
          <w:tcPr>
            <w:tcW w:w="4508" w:type="dxa"/>
          </w:tcPr>
          <w:p w14:paraId="2C9B9C7B" w14:textId="4DE8E2E6" w:rsidR="00AF4C67" w:rsidRPr="00BA5587" w:rsidRDefault="00F2013B" w:rsidP="007F4919">
            <w:pPr>
              <w:rPr>
                <w:rFonts w:cs="Arial"/>
              </w:rPr>
            </w:pPr>
            <w:r w:rsidRPr="00BA5587">
              <w:rPr>
                <w:rFonts w:cs="Arial"/>
              </w:rPr>
              <w:t>Sometimes, it cannot find out a single answer.</w:t>
            </w:r>
          </w:p>
        </w:tc>
      </w:tr>
      <w:tr w:rsidR="00F2013B" w:rsidRPr="00BA5587" w14:paraId="469AF69E" w14:textId="77777777" w:rsidTr="00961E31">
        <w:tc>
          <w:tcPr>
            <w:tcW w:w="4508" w:type="dxa"/>
          </w:tcPr>
          <w:p w14:paraId="1D718A02" w14:textId="715254F3" w:rsidR="00F2013B" w:rsidRPr="00BA5587" w:rsidRDefault="00F2013B" w:rsidP="007F4919">
            <w:pPr>
              <w:rPr>
                <w:rFonts w:cs="Arial"/>
              </w:rPr>
            </w:pPr>
            <w:r w:rsidRPr="00BA5587">
              <w:rPr>
                <w:rFonts w:cs="Arial"/>
              </w:rPr>
              <w:t>This method is biased towards the liquidity position in connection with the investments.</w:t>
            </w:r>
          </w:p>
        </w:tc>
        <w:tc>
          <w:tcPr>
            <w:tcW w:w="4508" w:type="dxa"/>
          </w:tcPr>
          <w:p w14:paraId="27C834B6" w14:textId="2729F882" w:rsidR="00F2013B" w:rsidRPr="00BA5587" w:rsidRDefault="00F2013B" w:rsidP="007F4919">
            <w:pPr>
              <w:rPr>
                <w:rFonts w:cs="Arial"/>
              </w:rPr>
            </w:pPr>
            <w:r w:rsidRPr="00BA5587">
              <w:rPr>
                <w:rFonts w:cs="Arial"/>
              </w:rPr>
              <w:t>It will not be found out the equity value of the project.</w:t>
            </w:r>
          </w:p>
        </w:tc>
      </w:tr>
      <w:tr w:rsidR="00F2013B" w:rsidRPr="00BA5587" w14:paraId="7706A63B" w14:textId="77777777" w:rsidTr="00961E31">
        <w:tc>
          <w:tcPr>
            <w:tcW w:w="4508" w:type="dxa"/>
          </w:tcPr>
          <w:p w14:paraId="04584B5D" w14:textId="77777777" w:rsidR="00F2013B" w:rsidRPr="00BA5587" w:rsidRDefault="00F2013B" w:rsidP="007F4919">
            <w:pPr>
              <w:rPr>
                <w:rFonts w:cs="Arial"/>
              </w:rPr>
            </w:pPr>
          </w:p>
        </w:tc>
        <w:tc>
          <w:tcPr>
            <w:tcW w:w="4508" w:type="dxa"/>
          </w:tcPr>
          <w:p w14:paraId="4A4FEB67" w14:textId="3D568068" w:rsidR="00F2013B" w:rsidRPr="00BA5587" w:rsidRDefault="00F2013B" w:rsidP="007F4919">
            <w:pPr>
              <w:rPr>
                <w:rFonts w:cs="Arial"/>
              </w:rPr>
            </w:pPr>
            <w:r w:rsidRPr="00BA5587">
              <w:rPr>
                <w:rFonts w:cs="Arial"/>
              </w:rPr>
              <w:t>This process will nor provide the accurate answers as time value has not considered.</w:t>
            </w:r>
          </w:p>
        </w:tc>
      </w:tr>
      <w:tr w:rsidR="00F2013B" w:rsidRPr="00BA5587" w14:paraId="0E3D9EBA" w14:textId="77777777" w:rsidTr="00961E31">
        <w:tc>
          <w:tcPr>
            <w:tcW w:w="4508" w:type="dxa"/>
          </w:tcPr>
          <w:p w14:paraId="4A6DC259" w14:textId="77777777" w:rsidR="00F2013B" w:rsidRPr="00BA5587" w:rsidRDefault="00F2013B" w:rsidP="007F4919">
            <w:pPr>
              <w:rPr>
                <w:rFonts w:cs="Arial"/>
              </w:rPr>
            </w:pPr>
          </w:p>
        </w:tc>
        <w:tc>
          <w:tcPr>
            <w:tcW w:w="4508" w:type="dxa"/>
          </w:tcPr>
          <w:p w14:paraId="6FC5B1A9" w14:textId="7D8C354F" w:rsidR="00F2013B" w:rsidRPr="00BA5587" w:rsidRDefault="00F2013B" w:rsidP="007F4919">
            <w:pPr>
              <w:rPr>
                <w:rFonts w:cs="Arial"/>
              </w:rPr>
            </w:pPr>
            <w:r w:rsidRPr="00BA5587">
              <w:rPr>
                <w:rFonts w:cs="Arial"/>
              </w:rPr>
              <w:t>In case of long</w:t>
            </w:r>
            <w:r w:rsidR="00F5603C" w:rsidRPr="00BA5587">
              <w:rPr>
                <w:rFonts w:cs="Arial"/>
              </w:rPr>
              <w:t xml:space="preserve">- </w:t>
            </w:r>
            <w:r w:rsidRPr="00BA5587">
              <w:rPr>
                <w:rFonts w:cs="Arial"/>
              </w:rPr>
              <w:t xml:space="preserve">term projects, it will get biased as the cumulative </w:t>
            </w:r>
            <w:r w:rsidR="00F5603C" w:rsidRPr="00BA5587">
              <w:rPr>
                <w:rFonts w:cs="Arial"/>
              </w:rPr>
              <w:t>cash flows determination will not be the accurate option.</w:t>
            </w:r>
          </w:p>
        </w:tc>
      </w:tr>
    </w:tbl>
    <w:p w14:paraId="1146219D" w14:textId="219AC6AC" w:rsidR="00961E31" w:rsidRPr="00BA5587" w:rsidRDefault="00961E31" w:rsidP="007F4919">
      <w:pPr>
        <w:rPr>
          <w:rFonts w:cs="Arial"/>
        </w:rPr>
      </w:pPr>
    </w:p>
    <w:p w14:paraId="49C474FF" w14:textId="0C553F19" w:rsidR="00F5603C" w:rsidRPr="00BA5587" w:rsidRDefault="00F5603C" w:rsidP="007F4919">
      <w:pPr>
        <w:rPr>
          <w:rFonts w:cs="Arial"/>
        </w:rPr>
      </w:pPr>
      <w:r w:rsidRPr="00BA5587">
        <w:rPr>
          <w:rFonts w:cs="Arial"/>
        </w:rPr>
        <w:t>The benefits and the limitations of the ARR method has been shown in tabular form:</w:t>
      </w:r>
    </w:p>
    <w:tbl>
      <w:tblPr>
        <w:tblStyle w:val="TableGrid"/>
        <w:tblW w:w="0" w:type="auto"/>
        <w:tblLook w:val="04A0" w:firstRow="1" w:lastRow="0" w:firstColumn="1" w:lastColumn="0" w:noHBand="0" w:noVBand="1"/>
      </w:tblPr>
      <w:tblGrid>
        <w:gridCol w:w="4508"/>
        <w:gridCol w:w="4508"/>
      </w:tblGrid>
      <w:tr w:rsidR="00F5603C" w:rsidRPr="00BA5587" w14:paraId="4BC1926E" w14:textId="77777777" w:rsidTr="00F5603C">
        <w:tc>
          <w:tcPr>
            <w:tcW w:w="4508" w:type="dxa"/>
          </w:tcPr>
          <w:p w14:paraId="7B134669" w14:textId="11CB065B" w:rsidR="00F5603C" w:rsidRPr="00BA5587" w:rsidRDefault="00F5603C" w:rsidP="00F5603C">
            <w:pPr>
              <w:jc w:val="center"/>
              <w:rPr>
                <w:rFonts w:cs="Arial"/>
                <w:b/>
                <w:bCs/>
              </w:rPr>
            </w:pPr>
            <w:r w:rsidRPr="00BA5587">
              <w:rPr>
                <w:rFonts w:cs="Arial"/>
                <w:b/>
                <w:bCs/>
              </w:rPr>
              <w:t>Advantages</w:t>
            </w:r>
          </w:p>
        </w:tc>
        <w:tc>
          <w:tcPr>
            <w:tcW w:w="4508" w:type="dxa"/>
          </w:tcPr>
          <w:p w14:paraId="2D8112F8" w14:textId="400275C9" w:rsidR="00F5603C" w:rsidRPr="00BA5587" w:rsidRDefault="00F5603C" w:rsidP="00F5603C">
            <w:pPr>
              <w:jc w:val="center"/>
              <w:rPr>
                <w:rFonts w:cs="Arial"/>
                <w:b/>
                <w:bCs/>
              </w:rPr>
            </w:pPr>
            <w:r w:rsidRPr="00BA5587">
              <w:rPr>
                <w:rFonts w:cs="Arial"/>
                <w:b/>
                <w:bCs/>
              </w:rPr>
              <w:t>Limitations</w:t>
            </w:r>
          </w:p>
        </w:tc>
      </w:tr>
      <w:tr w:rsidR="00F5603C" w:rsidRPr="00BA5587" w14:paraId="7DB7856E" w14:textId="77777777" w:rsidTr="00F5603C">
        <w:tc>
          <w:tcPr>
            <w:tcW w:w="4508" w:type="dxa"/>
          </w:tcPr>
          <w:p w14:paraId="5C1B53BC" w14:textId="04305416" w:rsidR="00F5603C" w:rsidRPr="00BA5587" w:rsidRDefault="00F5603C" w:rsidP="007F4919">
            <w:pPr>
              <w:rPr>
                <w:rFonts w:cs="Arial"/>
              </w:rPr>
            </w:pPr>
            <w:r w:rsidRPr="00BA5587">
              <w:rPr>
                <w:rFonts w:cs="Arial"/>
              </w:rPr>
              <w:t xml:space="preserve">This process calculation is quite easy. </w:t>
            </w:r>
          </w:p>
        </w:tc>
        <w:tc>
          <w:tcPr>
            <w:tcW w:w="4508" w:type="dxa"/>
          </w:tcPr>
          <w:p w14:paraId="1F6841F8" w14:textId="27791E6C" w:rsidR="00F5603C" w:rsidRPr="00BA5587" w:rsidRDefault="00C508CB" w:rsidP="007F4919">
            <w:pPr>
              <w:rPr>
                <w:rFonts w:cs="Arial"/>
              </w:rPr>
            </w:pPr>
            <w:r w:rsidRPr="00BA5587">
              <w:rPr>
                <w:rFonts w:cs="Arial"/>
              </w:rPr>
              <w:t xml:space="preserve">It also ignores the time value of the money. </w:t>
            </w:r>
          </w:p>
        </w:tc>
      </w:tr>
      <w:tr w:rsidR="00F5603C" w:rsidRPr="00BA5587" w14:paraId="5F16FDB9" w14:textId="77777777" w:rsidTr="00F5603C">
        <w:tc>
          <w:tcPr>
            <w:tcW w:w="4508" w:type="dxa"/>
          </w:tcPr>
          <w:p w14:paraId="0486D1F6" w14:textId="7AA5AB64" w:rsidR="00F5603C" w:rsidRPr="00BA5587" w:rsidRDefault="00F469F7" w:rsidP="007F4919">
            <w:pPr>
              <w:rPr>
                <w:rFonts w:cs="Arial"/>
              </w:rPr>
            </w:pPr>
            <w:r w:rsidRPr="00BA5587">
              <w:rPr>
                <w:rFonts w:cs="Arial"/>
              </w:rPr>
              <w:t xml:space="preserve">Under this method, the whole economic life will be considered in the calculations. </w:t>
            </w:r>
          </w:p>
        </w:tc>
        <w:tc>
          <w:tcPr>
            <w:tcW w:w="4508" w:type="dxa"/>
          </w:tcPr>
          <w:p w14:paraId="43318DBA" w14:textId="0A083215" w:rsidR="00F5603C" w:rsidRPr="00BA5587" w:rsidRDefault="00C508CB" w:rsidP="007F4919">
            <w:pPr>
              <w:rPr>
                <w:rFonts w:cs="Arial"/>
              </w:rPr>
            </w:pPr>
            <w:r w:rsidRPr="00BA5587">
              <w:rPr>
                <w:rFonts w:cs="Arial"/>
              </w:rPr>
              <w:t>Under this method, it fails to consider the whole life of the project.</w:t>
            </w:r>
          </w:p>
        </w:tc>
      </w:tr>
      <w:tr w:rsidR="00F5603C" w:rsidRPr="00BA5587" w14:paraId="49904E45" w14:textId="77777777" w:rsidTr="00F5603C">
        <w:tc>
          <w:tcPr>
            <w:tcW w:w="4508" w:type="dxa"/>
          </w:tcPr>
          <w:p w14:paraId="1010844B" w14:textId="34832FB7" w:rsidR="00F5603C" w:rsidRPr="00BA5587" w:rsidRDefault="00F469F7" w:rsidP="007F4919">
            <w:pPr>
              <w:rPr>
                <w:rFonts w:cs="Arial"/>
              </w:rPr>
            </w:pPr>
            <w:r w:rsidRPr="00BA5587">
              <w:rPr>
                <w:rFonts w:cs="Arial"/>
              </w:rPr>
              <w:t>No different calculations will be required.</w:t>
            </w:r>
          </w:p>
        </w:tc>
        <w:tc>
          <w:tcPr>
            <w:tcW w:w="4508" w:type="dxa"/>
          </w:tcPr>
          <w:p w14:paraId="64AFDBCE" w14:textId="42B8EB01" w:rsidR="00F5603C" w:rsidRPr="00BA5587" w:rsidRDefault="00C508CB" w:rsidP="007F4919">
            <w:pPr>
              <w:rPr>
                <w:rFonts w:cs="Arial"/>
              </w:rPr>
            </w:pPr>
            <w:r w:rsidRPr="00BA5587">
              <w:rPr>
                <w:rFonts w:cs="Arial"/>
              </w:rPr>
              <w:t xml:space="preserve">The size of the investment cannot be determined. </w:t>
            </w:r>
          </w:p>
        </w:tc>
      </w:tr>
      <w:tr w:rsidR="00F5603C" w:rsidRPr="00BA5587" w14:paraId="4FD05BD2" w14:textId="77777777" w:rsidTr="00F5603C">
        <w:tc>
          <w:tcPr>
            <w:tcW w:w="4508" w:type="dxa"/>
          </w:tcPr>
          <w:p w14:paraId="40177E24" w14:textId="188517AB" w:rsidR="00F5603C" w:rsidRPr="00BA5587" w:rsidRDefault="00F469F7" w:rsidP="007F4919">
            <w:pPr>
              <w:rPr>
                <w:rFonts w:cs="Arial"/>
              </w:rPr>
            </w:pPr>
            <w:r w:rsidRPr="00BA5587">
              <w:rPr>
                <w:rFonts w:cs="Arial"/>
              </w:rPr>
              <w:t>This</w:t>
            </w:r>
            <w:r w:rsidR="00C508CB" w:rsidRPr="00BA5587">
              <w:rPr>
                <w:rFonts w:cs="Arial"/>
              </w:rPr>
              <w:t xml:space="preserve"> </w:t>
            </w:r>
            <w:r w:rsidRPr="00BA5587">
              <w:rPr>
                <w:rFonts w:cs="Arial"/>
              </w:rPr>
              <w:t xml:space="preserve">calculation Focus on the </w:t>
            </w:r>
            <w:r w:rsidR="00C508CB" w:rsidRPr="00BA5587">
              <w:rPr>
                <w:rFonts w:cs="Arial"/>
              </w:rPr>
              <w:t>accounting profit instead of the cash incomes.</w:t>
            </w:r>
          </w:p>
        </w:tc>
        <w:tc>
          <w:tcPr>
            <w:tcW w:w="4508" w:type="dxa"/>
          </w:tcPr>
          <w:p w14:paraId="604EF315" w14:textId="507BA3DA" w:rsidR="00F5603C" w:rsidRPr="00BA5587" w:rsidRDefault="00523D01" w:rsidP="007F4919">
            <w:pPr>
              <w:rPr>
                <w:rFonts w:cs="Arial"/>
              </w:rPr>
            </w:pPr>
            <w:r w:rsidRPr="00BA5587">
              <w:rPr>
                <w:rFonts w:cs="Arial"/>
              </w:rPr>
              <w:t>Under this method, all the answered affected by the accounting practices and policies and the changes in the depreciation method will not considered</w:t>
            </w:r>
            <w:r w:rsidR="00186249" w:rsidRPr="00BA5587">
              <w:rPr>
                <w:rFonts w:cs="Arial"/>
              </w:rPr>
              <w:t xml:space="preserve"> (</w:t>
            </w:r>
            <w:proofErr w:type="spellStart"/>
            <w:r w:rsidR="00186249" w:rsidRPr="00BA5587">
              <w:rPr>
                <w:rFonts w:cs="Arial"/>
                <w:color w:val="222222"/>
                <w:shd w:val="clear" w:color="auto" w:fill="FFFFFF"/>
              </w:rPr>
              <w:t>Alkaraan</w:t>
            </w:r>
            <w:proofErr w:type="spellEnd"/>
            <w:r w:rsidR="00186249" w:rsidRPr="00BA5587">
              <w:rPr>
                <w:rFonts w:cs="Arial"/>
                <w:color w:val="222222"/>
                <w:shd w:val="clear" w:color="auto" w:fill="FFFFFF"/>
              </w:rPr>
              <w:t>, 2020</w:t>
            </w:r>
            <w:r w:rsidR="00186249" w:rsidRPr="00BA5587">
              <w:rPr>
                <w:rFonts w:cs="Arial"/>
              </w:rPr>
              <w:t>)</w:t>
            </w:r>
            <w:r w:rsidRPr="00BA5587">
              <w:rPr>
                <w:rFonts w:cs="Arial"/>
              </w:rPr>
              <w:t>.</w:t>
            </w:r>
          </w:p>
        </w:tc>
      </w:tr>
      <w:tr w:rsidR="00F5603C" w:rsidRPr="00BA5587" w14:paraId="7D29A5BB" w14:textId="77777777" w:rsidTr="00F5603C">
        <w:tc>
          <w:tcPr>
            <w:tcW w:w="4508" w:type="dxa"/>
          </w:tcPr>
          <w:p w14:paraId="075F7669" w14:textId="77777777" w:rsidR="00F5603C" w:rsidRPr="00BA5587" w:rsidRDefault="00F5603C" w:rsidP="007F4919">
            <w:pPr>
              <w:rPr>
                <w:rFonts w:cs="Arial"/>
              </w:rPr>
            </w:pPr>
          </w:p>
        </w:tc>
        <w:tc>
          <w:tcPr>
            <w:tcW w:w="4508" w:type="dxa"/>
          </w:tcPr>
          <w:p w14:paraId="744E5BEE" w14:textId="1E867D79" w:rsidR="00F5603C" w:rsidRPr="00BA5587" w:rsidRDefault="00E02AB9" w:rsidP="007F4919">
            <w:pPr>
              <w:rPr>
                <w:rFonts w:cs="Arial"/>
              </w:rPr>
            </w:pPr>
            <w:r w:rsidRPr="00BA5587">
              <w:rPr>
                <w:rFonts w:cs="Arial"/>
              </w:rPr>
              <w:t>This method is not accurate as the depreciation has been considered and all the cash flows will not be considered.</w:t>
            </w:r>
            <w:r w:rsidR="00192542" w:rsidRPr="00BA5587">
              <w:rPr>
                <w:rFonts w:cs="Arial"/>
              </w:rPr>
              <w:t xml:space="preserve"> As the non- cash items </w:t>
            </w:r>
            <w:r w:rsidR="00F81321" w:rsidRPr="00BA5587">
              <w:rPr>
                <w:rFonts w:cs="Arial"/>
              </w:rPr>
              <w:t>have been considered within it.</w:t>
            </w:r>
          </w:p>
        </w:tc>
      </w:tr>
    </w:tbl>
    <w:p w14:paraId="5E3B0149" w14:textId="77777777" w:rsidR="00F81321" w:rsidRPr="00BA5587" w:rsidRDefault="00F81321" w:rsidP="007F4919">
      <w:pPr>
        <w:rPr>
          <w:rFonts w:cs="Arial"/>
        </w:rPr>
      </w:pPr>
    </w:p>
    <w:p w14:paraId="3D626392" w14:textId="250B93A7" w:rsidR="00F5603C" w:rsidRPr="00BA5587" w:rsidRDefault="00F81321" w:rsidP="007F4919">
      <w:pPr>
        <w:rPr>
          <w:rFonts w:cs="Arial"/>
        </w:rPr>
      </w:pPr>
      <w:r w:rsidRPr="00BA5587">
        <w:rPr>
          <w:rFonts w:cs="Arial"/>
        </w:rPr>
        <w:t xml:space="preserve">The </w:t>
      </w:r>
      <w:r w:rsidR="001442B8" w:rsidRPr="00BA5587">
        <w:rPr>
          <w:rFonts w:cs="Arial"/>
        </w:rPr>
        <w:t xml:space="preserve">advantages and the disadvantages of the Internal rate of return can be shown </w:t>
      </w:r>
      <w:r w:rsidR="00B76758" w:rsidRPr="00BA5587">
        <w:rPr>
          <w:rFonts w:cs="Arial"/>
        </w:rPr>
        <w:t>under the tabular form:</w:t>
      </w:r>
    </w:p>
    <w:tbl>
      <w:tblPr>
        <w:tblStyle w:val="TableGrid"/>
        <w:tblW w:w="0" w:type="auto"/>
        <w:tblLook w:val="04A0" w:firstRow="1" w:lastRow="0" w:firstColumn="1" w:lastColumn="0" w:noHBand="0" w:noVBand="1"/>
      </w:tblPr>
      <w:tblGrid>
        <w:gridCol w:w="4508"/>
        <w:gridCol w:w="4508"/>
      </w:tblGrid>
      <w:tr w:rsidR="00B76758" w:rsidRPr="00BA5587" w14:paraId="41B5876E" w14:textId="77777777" w:rsidTr="00B76758">
        <w:tc>
          <w:tcPr>
            <w:tcW w:w="4508" w:type="dxa"/>
          </w:tcPr>
          <w:p w14:paraId="47D8AF15" w14:textId="1897F6C4" w:rsidR="00B76758" w:rsidRPr="00BA5587" w:rsidRDefault="00B76758" w:rsidP="00B76758">
            <w:pPr>
              <w:jc w:val="center"/>
              <w:rPr>
                <w:rFonts w:cs="Arial"/>
                <w:b/>
                <w:bCs/>
              </w:rPr>
            </w:pPr>
            <w:r w:rsidRPr="00BA5587">
              <w:rPr>
                <w:rFonts w:cs="Arial"/>
                <w:b/>
                <w:bCs/>
              </w:rPr>
              <w:t>advantages</w:t>
            </w:r>
          </w:p>
        </w:tc>
        <w:tc>
          <w:tcPr>
            <w:tcW w:w="4508" w:type="dxa"/>
          </w:tcPr>
          <w:p w14:paraId="5EC1891A" w14:textId="390F3B44" w:rsidR="00B76758" w:rsidRPr="00BA5587" w:rsidRDefault="00B76758" w:rsidP="00B76758">
            <w:pPr>
              <w:jc w:val="center"/>
              <w:rPr>
                <w:rFonts w:cs="Arial"/>
                <w:b/>
                <w:bCs/>
              </w:rPr>
            </w:pPr>
            <w:r w:rsidRPr="00BA5587">
              <w:rPr>
                <w:rFonts w:cs="Arial"/>
                <w:b/>
                <w:bCs/>
              </w:rPr>
              <w:t>Limitations</w:t>
            </w:r>
          </w:p>
        </w:tc>
      </w:tr>
      <w:tr w:rsidR="00B76758" w:rsidRPr="00BA5587" w14:paraId="6CC2019D" w14:textId="77777777" w:rsidTr="00B76758">
        <w:tc>
          <w:tcPr>
            <w:tcW w:w="4508" w:type="dxa"/>
          </w:tcPr>
          <w:p w14:paraId="6C1970C2" w14:textId="39132F06" w:rsidR="00B76758" w:rsidRPr="00BA5587" w:rsidRDefault="00E03151" w:rsidP="007F4919">
            <w:pPr>
              <w:rPr>
                <w:rFonts w:cs="Arial"/>
              </w:rPr>
            </w:pPr>
            <w:r w:rsidRPr="00BA5587">
              <w:rPr>
                <w:rFonts w:cs="Arial"/>
              </w:rPr>
              <w:t>The major point is consideration of the time value of the money that is the future value of the money has been considered</w:t>
            </w:r>
            <w:r w:rsidR="00186249" w:rsidRPr="00BA5587">
              <w:rPr>
                <w:rFonts w:cs="Arial"/>
              </w:rPr>
              <w:t xml:space="preserve"> (</w:t>
            </w:r>
            <w:r w:rsidR="00186249" w:rsidRPr="00BA5587">
              <w:rPr>
                <w:rFonts w:cs="Arial"/>
                <w:color w:val="222222"/>
                <w:shd w:val="clear" w:color="auto" w:fill="FFFFFF"/>
              </w:rPr>
              <w:t xml:space="preserve">Bakri </w:t>
            </w:r>
            <w:proofErr w:type="spellStart"/>
            <w:r w:rsidR="00186249" w:rsidRPr="00BA5587">
              <w:rPr>
                <w:rFonts w:cs="Arial"/>
                <w:color w:val="222222"/>
                <w:shd w:val="clear" w:color="auto" w:fill="FFFFFF"/>
              </w:rPr>
              <w:t>Bakri</w:t>
            </w:r>
            <w:proofErr w:type="spellEnd"/>
            <w:r w:rsidR="00186249" w:rsidRPr="00BA5587">
              <w:rPr>
                <w:rFonts w:cs="Arial"/>
                <w:color w:val="222222"/>
                <w:shd w:val="clear" w:color="auto" w:fill="FFFFFF"/>
              </w:rPr>
              <w:t>, 2019</w:t>
            </w:r>
            <w:r w:rsidR="00186249" w:rsidRPr="00BA5587">
              <w:rPr>
                <w:rFonts w:cs="Arial"/>
              </w:rPr>
              <w:t>)</w:t>
            </w:r>
            <w:r w:rsidRPr="00BA5587">
              <w:rPr>
                <w:rFonts w:cs="Arial"/>
              </w:rPr>
              <w:t xml:space="preserve">. </w:t>
            </w:r>
          </w:p>
        </w:tc>
        <w:tc>
          <w:tcPr>
            <w:tcW w:w="4508" w:type="dxa"/>
          </w:tcPr>
          <w:p w14:paraId="2707AE9A" w14:textId="7A137AAE" w:rsidR="00B76758" w:rsidRPr="00BA5587" w:rsidRDefault="00510A32" w:rsidP="007F4919">
            <w:pPr>
              <w:rPr>
                <w:rFonts w:cs="Arial"/>
              </w:rPr>
            </w:pPr>
            <w:r w:rsidRPr="00BA5587">
              <w:rPr>
                <w:rFonts w:cs="Arial"/>
              </w:rPr>
              <w:t>Under this model, the economies of the scale within the organisation has been ignored.</w:t>
            </w:r>
          </w:p>
        </w:tc>
      </w:tr>
      <w:tr w:rsidR="00B76758" w:rsidRPr="00BA5587" w14:paraId="2CAED9CF" w14:textId="77777777" w:rsidTr="00B76758">
        <w:tc>
          <w:tcPr>
            <w:tcW w:w="4508" w:type="dxa"/>
          </w:tcPr>
          <w:p w14:paraId="69C4E2A9" w14:textId="4BAC7E9D" w:rsidR="00B76758" w:rsidRPr="00BA5587" w:rsidRDefault="008F2A20" w:rsidP="007F4919">
            <w:pPr>
              <w:rPr>
                <w:rFonts w:cs="Arial"/>
              </w:rPr>
            </w:pPr>
            <w:r w:rsidRPr="00BA5587">
              <w:rPr>
                <w:rFonts w:cs="Arial"/>
              </w:rPr>
              <w:t>Through this method, the results can be interpreted in simple manner.</w:t>
            </w:r>
          </w:p>
        </w:tc>
        <w:tc>
          <w:tcPr>
            <w:tcW w:w="4508" w:type="dxa"/>
          </w:tcPr>
          <w:p w14:paraId="41386CB3" w14:textId="7EBD01DD" w:rsidR="00B76758" w:rsidRPr="00BA5587" w:rsidRDefault="0018778E" w:rsidP="007F4919">
            <w:pPr>
              <w:rPr>
                <w:rFonts w:cs="Arial"/>
              </w:rPr>
            </w:pPr>
            <w:r w:rsidRPr="00BA5587">
              <w:rPr>
                <w:rFonts w:cs="Arial"/>
              </w:rPr>
              <w:t>Mutually exclusive projects cannot be judged under this project as both will show the same results.</w:t>
            </w:r>
          </w:p>
        </w:tc>
      </w:tr>
      <w:tr w:rsidR="00B76758" w:rsidRPr="00BA5587" w14:paraId="1B943F2F" w14:textId="77777777" w:rsidTr="00B76758">
        <w:tc>
          <w:tcPr>
            <w:tcW w:w="4508" w:type="dxa"/>
          </w:tcPr>
          <w:p w14:paraId="4AE69850" w14:textId="62416F26" w:rsidR="00B76758" w:rsidRPr="00BA5587" w:rsidRDefault="008F2A20" w:rsidP="007F4919">
            <w:pPr>
              <w:rPr>
                <w:rFonts w:cs="Arial"/>
              </w:rPr>
            </w:pPr>
            <w:r w:rsidRPr="00BA5587">
              <w:rPr>
                <w:rFonts w:cs="Arial"/>
              </w:rPr>
              <w:t xml:space="preserve">Under this method, no profit and no loss concept has been considered. </w:t>
            </w:r>
          </w:p>
        </w:tc>
        <w:tc>
          <w:tcPr>
            <w:tcW w:w="4508" w:type="dxa"/>
          </w:tcPr>
          <w:p w14:paraId="0B6E2529" w14:textId="134EE172" w:rsidR="00B76758" w:rsidRPr="00BA5587" w:rsidRDefault="0018778E" w:rsidP="007F4919">
            <w:pPr>
              <w:rPr>
                <w:rFonts w:cs="Arial"/>
              </w:rPr>
            </w:pPr>
            <w:r w:rsidRPr="00BA5587">
              <w:rPr>
                <w:rFonts w:cs="Arial"/>
              </w:rPr>
              <w:t xml:space="preserve">The assumptions are quite impractical as the </w:t>
            </w:r>
            <w:r w:rsidR="00942557" w:rsidRPr="00BA5587">
              <w:rPr>
                <w:rFonts w:cs="Arial"/>
              </w:rPr>
              <w:t>re</w:t>
            </w:r>
            <w:r w:rsidRPr="00BA5587">
              <w:rPr>
                <w:rFonts w:cs="Arial"/>
              </w:rPr>
              <w:t xml:space="preserve">investment rate </w:t>
            </w:r>
            <w:r w:rsidR="00B339E8" w:rsidRPr="00BA5587">
              <w:rPr>
                <w:rFonts w:cs="Arial"/>
              </w:rPr>
              <w:t>may be the IRR sometimes.</w:t>
            </w:r>
          </w:p>
        </w:tc>
      </w:tr>
      <w:tr w:rsidR="00B76758" w:rsidRPr="00BA5587" w14:paraId="662746E1" w14:textId="77777777" w:rsidTr="00B76758">
        <w:tc>
          <w:tcPr>
            <w:tcW w:w="4508" w:type="dxa"/>
          </w:tcPr>
          <w:p w14:paraId="2148A4C6" w14:textId="03668805" w:rsidR="00B76758" w:rsidRPr="00BA5587" w:rsidRDefault="00C02D7C" w:rsidP="007F4919">
            <w:pPr>
              <w:rPr>
                <w:rFonts w:cs="Arial"/>
              </w:rPr>
            </w:pPr>
            <w:r w:rsidRPr="00BA5587">
              <w:rPr>
                <w:rFonts w:cs="Arial"/>
              </w:rPr>
              <w:t xml:space="preserve">The required rate of return determination is not required under this model. </w:t>
            </w:r>
          </w:p>
        </w:tc>
        <w:tc>
          <w:tcPr>
            <w:tcW w:w="4508" w:type="dxa"/>
          </w:tcPr>
          <w:p w14:paraId="7AE60A55" w14:textId="2DC414DE" w:rsidR="00B76758" w:rsidRPr="00BA5587" w:rsidRDefault="00B339E8" w:rsidP="007F4919">
            <w:pPr>
              <w:rPr>
                <w:rFonts w:cs="Arial"/>
              </w:rPr>
            </w:pPr>
            <w:r w:rsidRPr="00BA5587">
              <w:rPr>
                <w:rFonts w:cs="Arial"/>
              </w:rPr>
              <w:t>Contingent project is ignored under the IRR method.</w:t>
            </w:r>
          </w:p>
        </w:tc>
      </w:tr>
      <w:tr w:rsidR="00822F08" w:rsidRPr="00BA5587" w14:paraId="452760A8" w14:textId="77777777" w:rsidTr="00B76758">
        <w:tc>
          <w:tcPr>
            <w:tcW w:w="4508" w:type="dxa"/>
          </w:tcPr>
          <w:p w14:paraId="032EB61E" w14:textId="0C46F012" w:rsidR="00822F08" w:rsidRPr="00BA5587" w:rsidRDefault="00822F08" w:rsidP="007F4919">
            <w:pPr>
              <w:rPr>
                <w:rFonts w:cs="Arial"/>
              </w:rPr>
            </w:pPr>
            <w:r w:rsidRPr="00BA5587">
              <w:rPr>
                <w:rFonts w:cs="Arial"/>
              </w:rPr>
              <w:t xml:space="preserve">Under this method, the estimation of the rough required rate of return will be possible. </w:t>
            </w:r>
          </w:p>
        </w:tc>
        <w:tc>
          <w:tcPr>
            <w:tcW w:w="4508" w:type="dxa"/>
          </w:tcPr>
          <w:p w14:paraId="320D594B" w14:textId="4BFDEB38" w:rsidR="00822F08" w:rsidRPr="00BA5587" w:rsidRDefault="00B339E8" w:rsidP="007F4919">
            <w:pPr>
              <w:rPr>
                <w:rFonts w:cs="Arial"/>
              </w:rPr>
            </w:pPr>
            <w:r w:rsidRPr="00BA5587">
              <w:rPr>
                <w:rFonts w:cs="Arial"/>
              </w:rPr>
              <w:t>Different terms of projects will not be considered under the IRR project.</w:t>
            </w:r>
          </w:p>
        </w:tc>
      </w:tr>
      <w:tr w:rsidR="00F76B68" w:rsidRPr="00BA5587" w14:paraId="7D90F280" w14:textId="77777777" w:rsidTr="00B76758">
        <w:tc>
          <w:tcPr>
            <w:tcW w:w="4508" w:type="dxa"/>
          </w:tcPr>
          <w:p w14:paraId="62CF6104" w14:textId="275560A7" w:rsidR="00F76B68" w:rsidRPr="00BA5587" w:rsidRDefault="00F76B68" w:rsidP="007F4919">
            <w:pPr>
              <w:rPr>
                <w:rFonts w:cs="Arial"/>
              </w:rPr>
            </w:pPr>
            <w:r w:rsidRPr="00BA5587">
              <w:rPr>
                <w:rFonts w:cs="Arial"/>
              </w:rPr>
              <w:t>the managers can visualize the results and the IRR will verify whether the project will be profitable or not</w:t>
            </w:r>
            <w:r w:rsidR="000D3C64" w:rsidRPr="00BA5587">
              <w:rPr>
                <w:rFonts w:cs="Arial"/>
              </w:rPr>
              <w:t xml:space="preserve"> (</w:t>
            </w:r>
            <w:r w:rsidR="000D3C64" w:rsidRPr="00BA5587">
              <w:rPr>
                <w:rFonts w:cs="Arial"/>
                <w:color w:val="222222"/>
                <w:shd w:val="clear" w:color="auto" w:fill="FFFFFF"/>
              </w:rPr>
              <w:t>Sinha and Datta, 2020</w:t>
            </w:r>
            <w:r w:rsidR="000D3C64" w:rsidRPr="00BA5587">
              <w:rPr>
                <w:rFonts w:cs="Arial"/>
              </w:rPr>
              <w:t>)</w:t>
            </w:r>
            <w:r w:rsidRPr="00BA5587">
              <w:rPr>
                <w:rFonts w:cs="Arial"/>
              </w:rPr>
              <w:t xml:space="preserve">. </w:t>
            </w:r>
          </w:p>
        </w:tc>
        <w:tc>
          <w:tcPr>
            <w:tcW w:w="4508" w:type="dxa"/>
          </w:tcPr>
          <w:p w14:paraId="48C9B77C" w14:textId="2570EE41" w:rsidR="00F76B68" w:rsidRPr="00BA5587" w:rsidRDefault="00B339E8" w:rsidP="007F4919">
            <w:pPr>
              <w:rPr>
                <w:rFonts w:cs="Arial"/>
              </w:rPr>
            </w:pPr>
            <w:r w:rsidRPr="00BA5587">
              <w:rPr>
                <w:rFonts w:cs="Arial"/>
              </w:rPr>
              <w:t xml:space="preserve">Under this method, the mixture of positive and negative cash flows </w:t>
            </w:r>
            <w:r w:rsidR="00DB22C6" w:rsidRPr="00BA5587">
              <w:rPr>
                <w:rFonts w:cs="Arial"/>
              </w:rPr>
              <w:t>has</w:t>
            </w:r>
            <w:r w:rsidRPr="00BA5587">
              <w:rPr>
                <w:rFonts w:cs="Arial"/>
              </w:rPr>
              <w:t xml:space="preserve"> been considered.</w:t>
            </w:r>
            <w:r w:rsidR="00DB22C6" w:rsidRPr="00BA5587">
              <w:rPr>
                <w:rFonts w:cs="Arial"/>
              </w:rPr>
              <w:t xml:space="preserve"> </w:t>
            </w:r>
          </w:p>
        </w:tc>
      </w:tr>
    </w:tbl>
    <w:p w14:paraId="482C2976" w14:textId="280AFEE8" w:rsidR="00B76758" w:rsidRPr="00BA5587" w:rsidRDefault="00B76758" w:rsidP="007F4919">
      <w:pPr>
        <w:rPr>
          <w:rFonts w:cs="Arial"/>
        </w:rPr>
      </w:pPr>
    </w:p>
    <w:p w14:paraId="48E1E060" w14:textId="1000EB56" w:rsidR="00DB22C6" w:rsidRPr="00BA5587" w:rsidRDefault="00DB22C6" w:rsidP="007F4919">
      <w:pPr>
        <w:rPr>
          <w:rFonts w:cs="Arial"/>
        </w:rPr>
      </w:pPr>
      <w:r w:rsidRPr="00BA5587">
        <w:rPr>
          <w:rFonts w:cs="Arial"/>
        </w:rPr>
        <w:t>The NPV disadvantages and advantages:</w:t>
      </w:r>
    </w:p>
    <w:tbl>
      <w:tblPr>
        <w:tblStyle w:val="TableGrid"/>
        <w:tblW w:w="0" w:type="auto"/>
        <w:tblLook w:val="04A0" w:firstRow="1" w:lastRow="0" w:firstColumn="1" w:lastColumn="0" w:noHBand="0" w:noVBand="1"/>
      </w:tblPr>
      <w:tblGrid>
        <w:gridCol w:w="4508"/>
        <w:gridCol w:w="4508"/>
      </w:tblGrid>
      <w:tr w:rsidR="00DB22C6" w:rsidRPr="00BA5587" w14:paraId="03F1287F" w14:textId="77777777" w:rsidTr="00DB22C6">
        <w:tc>
          <w:tcPr>
            <w:tcW w:w="4508" w:type="dxa"/>
          </w:tcPr>
          <w:p w14:paraId="0ECE0C2C" w14:textId="4626616A" w:rsidR="00DB22C6" w:rsidRPr="00BA5587" w:rsidRDefault="00DB22C6" w:rsidP="00DB22C6">
            <w:pPr>
              <w:jc w:val="center"/>
              <w:rPr>
                <w:rFonts w:cs="Arial"/>
                <w:b/>
                <w:bCs/>
              </w:rPr>
            </w:pPr>
            <w:r w:rsidRPr="00BA5587">
              <w:rPr>
                <w:rFonts w:cs="Arial"/>
                <w:b/>
                <w:bCs/>
              </w:rPr>
              <w:t>Benefits</w:t>
            </w:r>
          </w:p>
        </w:tc>
        <w:tc>
          <w:tcPr>
            <w:tcW w:w="4508" w:type="dxa"/>
          </w:tcPr>
          <w:p w14:paraId="11B5BBC5" w14:textId="593137C6" w:rsidR="00DB22C6" w:rsidRPr="00BA5587" w:rsidRDefault="00DB22C6" w:rsidP="00DB22C6">
            <w:pPr>
              <w:jc w:val="center"/>
              <w:rPr>
                <w:rFonts w:cs="Arial"/>
                <w:b/>
                <w:bCs/>
              </w:rPr>
            </w:pPr>
            <w:r w:rsidRPr="00BA5587">
              <w:rPr>
                <w:rFonts w:cs="Arial"/>
                <w:b/>
                <w:bCs/>
              </w:rPr>
              <w:t>Limitations</w:t>
            </w:r>
          </w:p>
        </w:tc>
      </w:tr>
      <w:tr w:rsidR="00DB22C6" w:rsidRPr="00BA5587" w14:paraId="6A067D08" w14:textId="77777777" w:rsidTr="00DB22C6">
        <w:tc>
          <w:tcPr>
            <w:tcW w:w="4508" w:type="dxa"/>
          </w:tcPr>
          <w:p w14:paraId="55AB3EE4" w14:textId="022E409C" w:rsidR="00DB22C6" w:rsidRPr="00BA5587" w:rsidRDefault="007E0462" w:rsidP="007F4919">
            <w:pPr>
              <w:rPr>
                <w:rFonts w:cs="Arial"/>
              </w:rPr>
            </w:pPr>
            <w:r w:rsidRPr="00BA5587">
              <w:rPr>
                <w:rFonts w:cs="Arial"/>
              </w:rPr>
              <w:t>In decision making process, it will promote the accurate results.</w:t>
            </w:r>
          </w:p>
        </w:tc>
        <w:tc>
          <w:tcPr>
            <w:tcW w:w="4508" w:type="dxa"/>
          </w:tcPr>
          <w:p w14:paraId="259897DB" w14:textId="13C9FAD0" w:rsidR="00DB22C6" w:rsidRPr="00BA5587" w:rsidRDefault="006A4E23" w:rsidP="007F4919">
            <w:pPr>
              <w:rPr>
                <w:rFonts w:cs="Arial"/>
              </w:rPr>
            </w:pPr>
            <w:r w:rsidRPr="00BA5587">
              <w:rPr>
                <w:rFonts w:cs="Arial"/>
              </w:rPr>
              <w:t>There are hidden costs under this NPV method.</w:t>
            </w:r>
          </w:p>
        </w:tc>
      </w:tr>
      <w:tr w:rsidR="00DB22C6" w:rsidRPr="00BA5587" w14:paraId="731C623E" w14:textId="77777777" w:rsidTr="00DB22C6">
        <w:tc>
          <w:tcPr>
            <w:tcW w:w="4508" w:type="dxa"/>
          </w:tcPr>
          <w:p w14:paraId="15F778E5" w14:textId="5E3E5170" w:rsidR="00DB22C6" w:rsidRPr="00BA5587" w:rsidRDefault="007E0462" w:rsidP="007F4919">
            <w:pPr>
              <w:rPr>
                <w:rFonts w:cs="Arial"/>
              </w:rPr>
            </w:pPr>
            <w:r w:rsidRPr="00BA5587">
              <w:rPr>
                <w:rFonts w:cs="Arial"/>
              </w:rPr>
              <w:t>The time value for money will be considered within this NPV.</w:t>
            </w:r>
          </w:p>
        </w:tc>
        <w:tc>
          <w:tcPr>
            <w:tcW w:w="4508" w:type="dxa"/>
          </w:tcPr>
          <w:p w14:paraId="51E5ACA0" w14:textId="5AEC1AE5" w:rsidR="00DB22C6" w:rsidRPr="00BA5587" w:rsidRDefault="006A4E23" w:rsidP="007F4919">
            <w:pPr>
              <w:rPr>
                <w:rFonts w:cs="Arial"/>
              </w:rPr>
            </w:pPr>
            <w:r w:rsidRPr="00BA5587">
              <w:rPr>
                <w:rFonts w:cs="Arial"/>
              </w:rPr>
              <w:t>Different sizes projects cannot be compared under this method.</w:t>
            </w:r>
          </w:p>
        </w:tc>
      </w:tr>
      <w:tr w:rsidR="00DB22C6" w:rsidRPr="00BA5587" w14:paraId="558AF4A4" w14:textId="77777777" w:rsidTr="00DB22C6">
        <w:tc>
          <w:tcPr>
            <w:tcW w:w="4508" w:type="dxa"/>
          </w:tcPr>
          <w:p w14:paraId="22F1E8D9" w14:textId="197821B2" w:rsidR="00DB22C6" w:rsidRPr="00BA5587" w:rsidRDefault="007028CE" w:rsidP="007F4919">
            <w:pPr>
              <w:rPr>
                <w:rFonts w:cs="Arial"/>
              </w:rPr>
            </w:pPr>
            <w:r w:rsidRPr="00BA5587">
              <w:rPr>
                <w:rFonts w:cs="Arial"/>
              </w:rPr>
              <w:t xml:space="preserve">The profit margin can be known by the management. </w:t>
            </w:r>
          </w:p>
        </w:tc>
        <w:tc>
          <w:tcPr>
            <w:tcW w:w="4508" w:type="dxa"/>
          </w:tcPr>
          <w:p w14:paraId="357E9E48" w14:textId="58DF3A5B" w:rsidR="00DB22C6" w:rsidRPr="00BA5587" w:rsidRDefault="006A4E23" w:rsidP="007F4919">
            <w:pPr>
              <w:rPr>
                <w:rFonts w:cs="Arial"/>
              </w:rPr>
            </w:pPr>
            <w:r w:rsidRPr="00BA5587">
              <w:rPr>
                <w:rFonts w:cs="Arial"/>
              </w:rPr>
              <w:t>There are no guidelines in calculating the required rate of return</w:t>
            </w:r>
            <w:r w:rsidR="008B52F4" w:rsidRPr="00BA5587">
              <w:rPr>
                <w:rFonts w:cs="Arial"/>
              </w:rPr>
              <w:t xml:space="preserve"> (</w:t>
            </w:r>
            <w:proofErr w:type="spellStart"/>
            <w:r w:rsidR="008B52F4" w:rsidRPr="00BA5587">
              <w:rPr>
                <w:rFonts w:cs="Arial"/>
                <w:color w:val="222222"/>
                <w:shd w:val="clear" w:color="auto" w:fill="FFFFFF"/>
              </w:rPr>
              <w:t>Wijnen</w:t>
            </w:r>
            <w:proofErr w:type="spellEnd"/>
            <w:r w:rsidR="008B52F4" w:rsidRPr="00BA5587">
              <w:rPr>
                <w:rFonts w:cs="Arial"/>
                <w:color w:val="222222"/>
                <w:shd w:val="clear" w:color="auto" w:fill="FFFFFF"/>
              </w:rPr>
              <w:t xml:space="preserve"> et al., 2020</w:t>
            </w:r>
            <w:r w:rsidR="008B52F4" w:rsidRPr="00BA5587">
              <w:rPr>
                <w:rFonts w:cs="Arial"/>
              </w:rPr>
              <w:t>)</w:t>
            </w:r>
            <w:r w:rsidRPr="00BA5587">
              <w:rPr>
                <w:rFonts w:cs="Arial"/>
              </w:rPr>
              <w:t>.</w:t>
            </w:r>
          </w:p>
        </w:tc>
      </w:tr>
      <w:tr w:rsidR="00184862" w:rsidRPr="00BA5587" w14:paraId="5883E659" w14:textId="77777777" w:rsidTr="00DB22C6">
        <w:tc>
          <w:tcPr>
            <w:tcW w:w="4508" w:type="dxa"/>
          </w:tcPr>
          <w:p w14:paraId="397A9336" w14:textId="41F18D52" w:rsidR="00184862" w:rsidRPr="00BA5587" w:rsidRDefault="00434C70" w:rsidP="007F4919">
            <w:pPr>
              <w:rPr>
                <w:rFonts w:cs="Arial"/>
              </w:rPr>
            </w:pPr>
            <w:r w:rsidRPr="00BA5587">
              <w:rPr>
                <w:rFonts w:cs="Arial"/>
              </w:rPr>
              <w:t>The wealth management can be possible by the managers.</w:t>
            </w:r>
          </w:p>
        </w:tc>
        <w:tc>
          <w:tcPr>
            <w:tcW w:w="4508" w:type="dxa"/>
          </w:tcPr>
          <w:p w14:paraId="2E6E4CC5" w14:textId="3D788BEF" w:rsidR="00184862" w:rsidRPr="00BA5587" w:rsidRDefault="00434C70" w:rsidP="007F4919">
            <w:pPr>
              <w:rPr>
                <w:rFonts w:cs="Arial"/>
              </w:rPr>
            </w:pPr>
            <w:r w:rsidRPr="00BA5587">
              <w:rPr>
                <w:rFonts w:cs="Arial"/>
              </w:rPr>
              <w:t xml:space="preserve">Under this method, no effects will observe on the ROE and EPS. </w:t>
            </w:r>
          </w:p>
        </w:tc>
      </w:tr>
    </w:tbl>
    <w:p w14:paraId="0E50FB44" w14:textId="77777777" w:rsidR="00DB22C6" w:rsidRPr="00BA5587" w:rsidRDefault="00DB22C6" w:rsidP="007F4919">
      <w:pPr>
        <w:rPr>
          <w:rFonts w:cs="Arial"/>
        </w:rPr>
      </w:pPr>
    </w:p>
    <w:p w14:paraId="395DB9E1" w14:textId="58BD0812" w:rsidR="00A16144" w:rsidRPr="00BA5587" w:rsidRDefault="00A16144" w:rsidP="00A16144">
      <w:pPr>
        <w:pStyle w:val="Heading2"/>
        <w:numPr>
          <w:ilvl w:val="1"/>
          <w:numId w:val="1"/>
        </w:numPr>
        <w:rPr>
          <w:rFonts w:cs="Arial"/>
        </w:rPr>
      </w:pPr>
      <w:bookmarkStart w:id="15" w:name="_Toc51356200"/>
      <w:r w:rsidRPr="00BA5587">
        <w:rPr>
          <w:rFonts w:cs="Arial"/>
        </w:rPr>
        <w:t>Non- financial factors</w:t>
      </w:r>
      <w:bookmarkEnd w:id="15"/>
    </w:p>
    <w:p w14:paraId="66EB7D38" w14:textId="4F0B03EC" w:rsidR="00923521" w:rsidRPr="00BA5587" w:rsidRDefault="00923521" w:rsidP="00923521">
      <w:pPr>
        <w:rPr>
          <w:rFonts w:cs="Arial"/>
        </w:rPr>
      </w:pPr>
      <w:r w:rsidRPr="00BA5587">
        <w:rPr>
          <w:rFonts w:cs="Arial"/>
        </w:rPr>
        <w:t xml:space="preserve">Tesco Plc need to focus on the </w:t>
      </w:r>
      <w:r w:rsidR="0072284A" w:rsidRPr="00BA5587">
        <w:rPr>
          <w:rFonts w:cs="Arial"/>
        </w:rPr>
        <w:t>employee’s</w:t>
      </w:r>
      <w:r w:rsidRPr="00BA5587">
        <w:rPr>
          <w:rFonts w:cs="Arial"/>
        </w:rPr>
        <w:t xml:space="preserve"> retention rate through motivating the employees as the skilled and experienced employees are </w:t>
      </w:r>
      <w:r w:rsidR="0072284A" w:rsidRPr="00BA5587">
        <w:rPr>
          <w:rFonts w:cs="Arial"/>
        </w:rPr>
        <w:t>treated as the assets of eth company under the retail industry.</w:t>
      </w:r>
    </w:p>
    <w:p w14:paraId="64EC81FA" w14:textId="4C97A56F" w:rsidR="0072284A" w:rsidRPr="00BA5587" w:rsidRDefault="0072284A" w:rsidP="00923521">
      <w:pPr>
        <w:rPr>
          <w:rFonts w:cs="Arial"/>
        </w:rPr>
      </w:pPr>
      <w:r w:rsidRPr="00BA5587">
        <w:rPr>
          <w:rFonts w:cs="Arial"/>
        </w:rPr>
        <w:t xml:space="preserve">The company should consider the sustainable development factors through reducing the wastages within the operations and the production processes as this will promote the </w:t>
      </w:r>
      <w:r w:rsidR="006E2C4A" w:rsidRPr="00BA5587">
        <w:rPr>
          <w:rFonts w:cs="Arial"/>
        </w:rPr>
        <w:t>lower costs incurred by the company and the recycling and re- use of the products will help in growing the sustainable development.</w:t>
      </w:r>
      <w:r w:rsidR="00FA4AEE" w:rsidRPr="00BA5587">
        <w:rPr>
          <w:rFonts w:cs="Arial"/>
        </w:rPr>
        <w:t xml:space="preserve"> </w:t>
      </w:r>
    </w:p>
    <w:p w14:paraId="70B2758D" w14:textId="41330F41" w:rsidR="00B54B52" w:rsidRPr="00BA5587" w:rsidRDefault="00B54B52" w:rsidP="00923521">
      <w:pPr>
        <w:rPr>
          <w:rFonts w:cs="Arial"/>
        </w:rPr>
      </w:pPr>
      <w:r w:rsidRPr="00BA5587">
        <w:rPr>
          <w:rFonts w:cs="Arial"/>
        </w:rPr>
        <w:t>The ethical norms need to be maintained among the employees and the other managers to keep the working environment in positive manner and the employees should be encouraged by providing several benefits by retaining them within the company.</w:t>
      </w:r>
    </w:p>
    <w:p w14:paraId="1CE0C009" w14:textId="575A171C" w:rsidR="00A16144" w:rsidRPr="00BA5587" w:rsidRDefault="00A16144" w:rsidP="00A16144">
      <w:pPr>
        <w:pStyle w:val="Heading1"/>
        <w:numPr>
          <w:ilvl w:val="0"/>
          <w:numId w:val="1"/>
        </w:numPr>
        <w:rPr>
          <w:rFonts w:cs="Arial"/>
        </w:rPr>
      </w:pPr>
      <w:bookmarkStart w:id="16" w:name="_Toc51356201"/>
      <w:r w:rsidRPr="00BA5587">
        <w:rPr>
          <w:rFonts w:cs="Arial"/>
        </w:rPr>
        <w:t>Conclusion</w:t>
      </w:r>
      <w:bookmarkEnd w:id="16"/>
    </w:p>
    <w:p w14:paraId="36356A4F" w14:textId="507BB8F2" w:rsidR="00B54B52" w:rsidRPr="00BA5587" w:rsidRDefault="00B54B52" w:rsidP="00B54B52">
      <w:pPr>
        <w:rPr>
          <w:rFonts w:cs="Arial"/>
        </w:rPr>
      </w:pPr>
      <w:r w:rsidRPr="00BA5587">
        <w:rPr>
          <w:rFonts w:cs="Arial"/>
        </w:rPr>
        <w:t>It can be concluded that Tesco Plc though maintaining its market shares under the retail and groceries industries but the firm need to maintain adequate level of liquid assets in compared with the short- term liabilities as the firm should focus on the well balancing the assets and liabilities in such manner through which the firm can meet all the short- term dues from its liquid assets that is cash or the cash equivalents.</w:t>
      </w:r>
    </w:p>
    <w:p w14:paraId="4ADB9EF2" w14:textId="77777777" w:rsidR="00A16144" w:rsidRPr="00BA5587" w:rsidRDefault="00A16144">
      <w:pPr>
        <w:spacing w:line="259" w:lineRule="auto"/>
        <w:jc w:val="left"/>
        <w:rPr>
          <w:rFonts w:eastAsiaTheme="majorEastAsia" w:cs="Arial"/>
          <w:b/>
          <w:szCs w:val="32"/>
        </w:rPr>
      </w:pPr>
      <w:r w:rsidRPr="00BA5587">
        <w:rPr>
          <w:rFonts w:cs="Arial"/>
        </w:rPr>
        <w:br w:type="page"/>
      </w:r>
    </w:p>
    <w:p w14:paraId="2F379499" w14:textId="6268211D" w:rsidR="00A16144" w:rsidRPr="00BA5587" w:rsidRDefault="00A16144" w:rsidP="00A16144">
      <w:pPr>
        <w:pStyle w:val="Heading1"/>
        <w:rPr>
          <w:rFonts w:cs="Arial"/>
        </w:rPr>
      </w:pPr>
      <w:bookmarkStart w:id="17" w:name="_Toc51356202"/>
      <w:r w:rsidRPr="00BA5587">
        <w:rPr>
          <w:rFonts w:cs="Arial"/>
        </w:rPr>
        <w:t>References</w:t>
      </w:r>
      <w:bookmarkEnd w:id="17"/>
    </w:p>
    <w:p w14:paraId="762FA0E6" w14:textId="77777777" w:rsidR="00761056" w:rsidRPr="00BA5587" w:rsidRDefault="00761056" w:rsidP="00761056">
      <w:pPr>
        <w:rPr>
          <w:rFonts w:cs="Arial"/>
          <w:color w:val="222222"/>
          <w:shd w:val="clear" w:color="auto" w:fill="FFFFFF"/>
        </w:rPr>
      </w:pPr>
      <w:proofErr w:type="spellStart"/>
      <w:r w:rsidRPr="00BA5587">
        <w:rPr>
          <w:rFonts w:cs="Arial"/>
          <w:color w:val="222222"/>
          <w:shd w:val="clear" w:color="auto" w:fill="FFFFFF"/>
        </w:rPr>
        <w:t>Alkaraan</w:t>
      </w:r>
      <w:proofErr w:type="spellEnd"/>
      <w:r w:rsidRPr="00BA5587">
        <w:rPr>
          <w:rFonts w:cs="Arial"/>
          <w:color w:val="222222"/>
          <w:shd w:val="clear" w:color="auto" w:fill="FFFFFF"/>
        </w:rPr>
        <w:t>, F., 2020. Strategic investment decision-making practices in large manufacturing companies. </w:t>
      </w:r>
      <w:proofErr w:type="spellStart"/>
      <w:r w:rsidRPr="00BA5587">
        <w:rPr>
          <w:rFonts w:cs="Arial"/>
          <w:i/>
          <w:iCs/>
          <w:color w:val="222222"/>
          <w:shd w:val="clear" w:color="auto" w:fill="FFFFFF"/>
        </w:rPr>
        <w:t>Meditari</w:t>
      </w:r>
      <w:proofErr w:type="spellEnd"/>
      <w:r w:rsidRPr="00BA5587">
        <w:rPr>
          <w:rFonts w:cs="Arial"/>
          <w:i/>
          <w:iCs/>
          <w:color w:val="222222"/>
          <w:shd w:val="clear" w:color="auto" w:fill="FFFFFF"/>
        </w:rPr>
        <w:t xml:space="preserve"> Accountancy Research</w:t>
      </w:r>
      <w:r w:rsidRPr="00BA5587">
        <w:rPr>
          <w:rFonts w:cs="Arial"/>
          <w:color w:val="222222"/>
          <w:shd w:val="clear" w:color="auto" w:fill="FFFFFF"/>
        </w:rPr>
        <w:t>.</w:t>
      </w:r>
    </w:p>
    <w:p w14:paraId="1C3C809B" w14:textId="77777777" w:rsidR="00761056" w:rsidRPr="00BA5587" w:rsidRDefault="00761056" w:rsidP="00761056">
      <w:pPr>
        <w:rPr>
          <w:rFonts w:cs="Arial"/>
          <w:color w:val="222222"/>
          <w:shd w:val="clear" w:color="auto" w:fill="FFFFFF"/>
        </w:rPr>
      </w:pPr>
      <w:bookmarkStart w:id="18" w:name="_Hlk51355463"/>
      <w:proofErr w:type="spellStart"/>
      <w:r w:rsidRPr="00BA5587">
        <w:rPr>
          <w:rFonts w:cs="Arial"/>
          <w:color w:val="222222"/>
          <w:shd w:val="clear" w:color="auto" w:fill="FFFFFF"/>
        </w:rPr>
        <w:t>Andal</w:t>
      </w:r>
      <w:proofErr w:type="spellEnd"/>
      <w:r w:rsidRPr="00BA5587">
        <w:rPr>
          <w:rFonts w:cs="Arial"/>
          <w:color w:val="222222"/>
          <w:shd w:val="clear" w:color="auto" w:fill="FFFFFF"/>
        </w:rPr>
        <w:t xml:space="preserve">, D.V., </w:t>
      </w:r>
      <w:proofErr w:type="spellStart"/>
      <w:r w:rsidRPr="00BA5587">
        <w:rPr>
          <w:rFonts w:cs="Arial"/>
          <w:color w:val="222222"/>
          <w:shd w:val="clear" w:color="auto" w:fill="FFFFFF"/>
        </w:rPr>
        <w:t>Suganya</w:t>
      </w:r>
      <w:proofErr w:type="spellEnd"/>
      <w:r w:rsidRPr="00BA5587">
        <w:rPr>
          <w:rFonts w:cs="Arial"/>
          <w:color w:val="222222"/>
          <w:shd w:val="clear" w:color="auto" w:fill="FFFFFF"/>
        </w:rPr>
        <w:t>, D.S. and Shree, V., 2020</w:t>
      </w:r>
      <w:bookmarkEnd w:id="18"/>
      <w:r w:rsidRPr="00BA5587">
        <w:rPr>
          <w:rFonts w:cs="Arial"/>
          <w:color w:val="222222"/>
          <w:shd w:val="clear" w:color="auto" w:fill="FFFFFF"/>
        </w:rPr>
        <w:t>. Financial Performance Analysis of Puma. </w:t>
      </w:r>
      <w:r w:rsidRPr="00BA5587">
        <w:rPr>
          <w:rFonts w:cs="Arial"/>
          <w:i/>
          <w:iCs/>
          <w:color w:val="222222"/>
          <w:shd w:val="clear" w:color="auto" w:fill="FFFFFF"/>
        </w:rPr>
        <w:t>International Journal of Management (IJM)</w:t>
      </w:r>
      <w:r w:rsidRPr="00BA5587">
        <w:rPr>
          <w:rFonts w:cs="Arial"/>
          <w:color w:val="222222"/>
          <w:shd w:val="clear" w:color="auto" w:fill="FFFFFF"/>
        </w:rPr>
        <w:t>, </w:t>
      </w:r>
      <w:r w:rsidRPr="00BA5587">
        <w:rPr>
          <w:rFonts w:cs="Arial"/>
          <w:i/>
          <w:iCs/>
          <w:color w:val="222222"/>
          <w:shd w:val="clear" w:color="auto" w:fill="FFFFFF"/>
        </w:rPr>
        <w:t>10</w:t>
      </w:r>
      <w:r w:rsidRPr="00BA5587">
        <w:rPr>
          <w:rFonts w:cs="Arial"/>
          <w:color w:val="222222"/>
          <w:shd w:val="clear" w:color="auto" w:fill="FFFFFF"/>
        </w:rPr>
        <w:t>(6), p.2019.</w:t>
      </w:r>
    </w:p>
    <w:p w14:paraId="581E8742" w14:textId="77777777" w:rsidR="00761056" w:rsidRPr="00BA5587" w:rsidRDefault="00761056" w:rsidP="00761056">
      <w:pPr>
        <w:rPr>
          <w:rFonts w:cs="Arial"/>
          <w:color w:val="222222"/>
          <w:shd w:val="clear" w:color="auto" w:fill="FFFFFF"/>
        </w:rPr>
      </w:pPr>
      <w:bookmarkStart w:id="19" w:name="_Hlk51355526"/>
      <w:r w:rsidRPr="00BA5587">
        <w:rPr>
          <w:rFonts w:cs="Arial"/>
          <w:color w:val="222222"/>
          <w:shd w:val="clear" w:color="auto" w:fill="FFFFFF"/>
        </w:rPr>
        <w:t xml:space="preserve">Anthony, P., </w:t>
      </w:r>
      <w:proofErr w:type="spellStart"/>
      <w:r w:rsidRPr="00BA5587">
        <w:rPr>
          <w:rFonts w:cs="Arial"/>
          <w:color w:val="222222"/>
          <w:shd w:val="clear" w:color="auto" w:fill="FFFFFF"/>
        </w:rPr>
        <w:t>Behnoee</w:t>
      </w:r>
      <w:proofErr w:type="spellEnd"/>
      <w:r w:rsidRPr="00BA5587">
        <w:rPr>
          <w:rFonts w:cs="Arial"/>
          <w:color w:val="222222"/>
          <w:shd w:val="clear" w:color="auto" w:fill="FFFFFF"/>
        </w:rPr>
        <w:t xml:space="preserve">, B., </w:t>
      </w:r>
      <w:proofErr w:type="spellStart"/>
      <w:r w:rsidRPr="00BA5587">
        <w:rPr>
          <w:rFonts w:cs="Arial"/>
          <w:color w:val="222222"/>
          <w:shd w:val="clear" w:color="auto" w:fill="FFFFFF"/>
        </w:rPr>
        <w:t>Hassanpour</w:t>
      </w:r>
      <w:proofErr w:type="spellEnd"/>
      <w:r w:rsidRPr="00BA5587">
        <w:rPr>
          <w:rFonts w:cs="Arial"/>
          <w:color w:val="222222"/>
          <w:shd w:val="clear" w:color="auto" w:fill="FFFFFF"/>
        </w:rPr>
        <w:t xml:space="preserve">, M. and </w:t>
      </w:r>
      <w:proofErr w:type="spellStart"/>
      <w:r w:rsidRPr="00BA5587">
        <w:rPr>
          <w:rFonts w:cs="Arial"/>
          <w:color w:val="222222"/>
          <w:shd w:val="clear" w:color="auto" w:fill="FFFFFF"/>
        </w:rPr>
        <w:t>Pamucar</w:t>
      </w:r>
      <w:proofErr w:type="spellEnd"/>
      <w:r w:rsidRPr="00BA5587">
        <w:rPr>
          <w:rFonts w:cs="Arial"/>
          <w:color w:val="222222"/>
          <w:shd w:val="clear" w:color="auto" w:fill="FFFFFF"/>
        </w:rPr>
        <w:t>, D., 2019</w:t>
      </w:r>
      <w:bookmarkEnd w:id="19"/>
      <w:r w:rsidRPr="00BA5587">
        <w:rPr>
          <w:rFonts w:cs="Arial"/>
          <w:color w:val="222222"/>
          <w:shd w:val="clear" w:color="auto" w:fill="FFFFFF"/>
        </w:rPr>
        <w:t>. Financial performance evaluation of seven Indian chemical companies. </w:t>
      </w:r>
      <w:r w:rsidRPr="00BA5587">
        <w:rPr>
          <w:rFonts w:cs="Arial"/>
          <w:i/>
          <w:iCs/>
          <w:color w:val="222222"/>
          <w:shd w:val="clear" w:color="auto" w:fill="FFFFFF"/>
        </w:rPr>
        <w:t>Decision Making: Applications in Management and Engineering</w:t>
      </w:r>
      <w:r w:rsidRPr="00BA5587">
        <w:rPr>
          <w:rFonts w:cs="Arial"/>
          <w:color w:val="222222"/>
          <w:shd w:val="clear" w:color="auto" w:fill="FFFFFF"/>
        </w:rPr>
        <w:t>, </w:t>
      </w:r>
      <w:r w:rsidRPr="00BA5587">
        <w:rPr>
          <w:rFonts w:cs="Arial"/>
          <w:i/>
          <w:iCs/>
          <w:color w:val="222222"/>
          <w:shd w:val="clear" w:color="auto" w:fill="FFFFFF"/>
        </w:rPr>
        <w:t>2</w:t>
      </w:r>
      <w:r w:rsidRPr="00BA5587">
        <w:rPr>
          <w:rFonts w:cs="Arial"/>
          <w:color w:val="222222"/>
          <w:shd w:val="clear" w:color="auto" w:fill="FFFFFF"/>
        </w:rPr>
        <w:t>(2), pp.81-99.</w:t>
      </w:r>
    </w:p>
    <w:p w14:paraId="2637DDB9" w14:textId="77777777" w:rsidR="00761056" w:rsidRPr="00BA5587" w:rsidRDefault="00761056" w:rsidP="00761056">
      <w:pPr>
        <w:rPr>
          <w:rFonts w:cs="Arial"/>
          <w:color w:val="222222"/>
          <w:shd w:val="clear" w:color="auto" w:fill="FFFFFF"/>
        </w:rPr>
      </w:pPr>
      <w:bookmarkStart w:id="20" w:name="_Hlk51355770"/>
      <w:proofErr w:type="spellStart"/>
      <w:r w:rsidRPr="00BA5587">
        <w:rPr>
          <w:rFonts w:cs="Arial"/>
          <w:color w:val="222222"/>
          <w:shd w:val="clear" w:color="auto" w:fill="FFFFFF"/>
        </w:rPr>
        <w:t>Awadari</w:t>
      </w:r>
      <w:proofErr w:type="spellEnd"/>
      <w:r w:rsidRPr="00BA5587">
        <w:rPr>
          <w:rFonts w:cs="Arial"/>
          <w:color w:val="222222"/>
          <w:shd w:val="clear" w:color="auto" w:fill="FFFFFF"/>
        </w:rPr>
        <w:t xml:space="preserve">, A.C. and </w:t>
      </w:r>
      <w:proofErr w:type="spellStart"/>
      <w:r w:rsidRPr="00BA5587">
        <w:rPr>
          <w:rFonts w:cs="Arial"/>
          <w:color w:val="222222"/>
          <w:shd w:val="clear" w:color="auto" w:fill="FFFFFF"/>
        </w:rPr>
        <w:t>Kanwal</w:t>
      </w:r>
      <w:proofErr w:type="spellEnd"/>
      <w:r w:rsidRPr="00BA5587">
        <w:rPr>
          <w:rFonts w:cs="Arial"/>
          <w:color w:val="222222"/>
          <w:shd w:val="clear" w:color="auto" w:fill="FFFFFF"/>
        </w:rPr>
        <w:t>, S., 2019</w:t>
      </w:r>
      <w:bookmarkEnd w:id="20"/>
      <w:r w:rsidRPr="00BA5587">
        <w:rPr>
          <w:rFonts w:cs="Arial"/>
          <w:color w:val="222222"/>
          <w:shd w:val="clear" w:color="auto" w:fill="FFFFFF"/>
        </w:rPr>
        <w:t>. Employee participation in organizational change: A case of Tesco PLC. </w:t>
      </w:r>
      <w:r w:rsidRPr="00BA5587">
        <w:rPr>
          <w:rFonts w:cs="Arial"/>
          <w:i/>
          <w:iCs/>
          <w:color w:val="222222"/>
          <w:shd w:val="clear" w:color="auto" w:fill="FFFFFF"/>
        </w:rPr>
        <w:t>International Journal of Financial, Accounting, and Management</w:t>
      </w:r>
      <w:r w:rsidRPr="00BA5587">
        <w:rPr>
          <w:rFonts w:cs="Arial"/>
          <w:color w:val="222222"/>
          <w:shd w:val="clear" w:color="auto" w:fill="FFFFFF"/>
        </w:rPr>
        <w:t>, </w:t>
      </w:r>
      <w:r w:rsidRPr="00BA5587">
        <w:rPr>
          <w:rFonts w:cs="Arial"/>
          <w:i/>
          <w:iCs/>
          <w:color w:val="222222"/>
          <w:shd w:val="clear" w:color="auto" w:fill="FFFFFF"/>
        </w:rPr>
        <w:t>1</w:t>
      </w:r>
      <w:r w:rsidRPr="00BA5587">
        <w:rPr>
          <w:rFonts w:cs="Arial"/>
          <w:color w:val="222222"/>
          <w:shd w:val="clear" w:color="auto" w:fill="FFFFFF"/>
        </w:rPr>
        <w:t>(2), pp.91-99.</w:t>
      </w:r>
    </w:p>
    <w:p w14:paraId="4841C784" w14:textId="77777777" w:rsidR="00761056" w:rsidRPr="00BA5587" w:rsidRDefault="00761056" w:rsidP="00761056">
      <w:pPr>
        <w:rPr>
          <w:rFonts w:cs="Arial"/>
          <w:color w:val="222222"/>
          <w:shd w:val="clear" w:color="auto" w:fill="FFFFFF"/>
        </w:rPr>
      </w:pPr>
      <w:bookmarkStart w:id="21" w:name="_Hlk51355305"/>
      <w:r w:rsidRPr="00BA5587">
        <w:rPr>
          <w:rFonts w:cs="Arial"/>
          <w:color w:val="222222"/>
          <w:shd w:val="clear" w:color="auto" w:fill="FFFFFF"/>
        </w:rPr>
        <w:t xml:space="preserve">Bakri </w:t>
      </w:r>
      <w:proofErr w:type="spellStart"/>
      <w:r w:rsidRPr="00BA5587">
        <w:rPr>
          <w:rFonts w:cs="Arial"/>
          <w:color w:val="222222"/>
          <w:shd w:val="clear" w:color="auto" w:fill="FFFFFF"/>
        </w:rPr>
        <w:t>Bakri</w:t>
      </w:r>
      <w:proofErr w:type="spellEnd"/>
      <w:r w:rsidRPr="00BA5587">
        <w:rPr>
          <w:rFonts w:cs="Arial"/>
          <w:color w:val="222222"/>
          <w:shd w:val="clear" w:color="auto" w:fill="FFFFFF"/>
        </w:rPr>
        <w:t>, A., 2019</w:t>
      </w:r>
      <w:bookmarkEnd w:id="21"/>
      <w:r w:rsidRPr="00BA5587">
        <w:rPr>
          <w:rFonts w:cs="Arial"/>
          <w:color w:val="222222"/>
          <w:shd w:val="clear" w:color="auto" w:fill="FFFFFF"/>
        </w:rPr>
        <w:t>. </w:t>
      </w:r>
      <w:r w:rsidRPr="00BA5587">
        <w:rPr>
          <w:rFonts w:cs="Arial"/>
          <w:i/>
          <w:iCs/>
          <w:color w:val="222222"/>
          <w:shd w:val="clear" w:color="auto" w:fill="FFFFFF"/>
        </w:rPr>
        <w:t>Capital investment appraisal: the case of Lebanon</w:t>
      </w:r>
      <w:r w:rsidRPr="00BA5587">
        <w:rPr>
          <w:rFonts w:cs="Arial"/>
          <w:color w:val="222222"/>
          <w:shd w:val="clear" w:color="auto" w:fill="FFFFFF"/>
        </w:rPr>
        <w:t> (Doctoral dissertation, University of Dundee).</w:t>
      </w:r>
    </w:p>
    <w:p w14:paraId="1E8FED78" w14:textId="77777777" w:rsidR="00761056" w:rsidRPr="00BA5587" w:rsidRDefault="00761056" w:rsidP="00761056">
      <w:pPr>
        <w:rPr>
          <w:rFonts w:cs="Arial"/>
          <w:color w:val="222222"/>
          <w:shd w:val="clear" w:color="auto" w:fill="FFFFFF"/>
        </w:rPr>
      </w:pPr>
      <w:bookmarkStart w:id="22" w:name="_Hlk51355737"/>
      <w:r w:rsidRPr="00BA5587">
        <w:rPr>
          <w:rFonts w:cs="Arial"/>
          <w:color w:val="222222"/>
          <w:shd w:val="clear" w:color="auto" w:fill="FFFFFF"/>
        </w:rPr>
        <w:t>Bilbao-</w:t>
      </w:r>
      <w:proofErr w:type="spellStart"/>
      <w:r w:rsidRPr="00BA5587">
        <w:rPr>
          <w:rFonts w:cs="Arial"/>
          <w:color w:val="222222"/>
          <w:shd w:val="clear" w:color="auto" w:fill="FFFFFF"/>
        </w:rPr>
        <w:t>Terol</w:t>
      </w:r>
      <w:proofErr w:type="spellEnd"/>
      <w:r w:rsidRPr="00BA5587">
        <w:rPr>
          <w:rFonts w:cs="Arial"/>
          <w:color w:val="222222"/>
          <w:shd w:val="clear" w:color="auto" w:fill="FFFFFF"/>
        </w:rPr>
        <w:t xml:space="preserve">, A., Arenas-Parra, M., Alvarez-Otero, S. and </w:t>
      </w:r>
      <w:proofErr w:type="spellStart"/>
      <w:r w:rsidRPr="00BA5587">
        <w:rPr>
          <w:rFonts w:cs="Arial"/>
          <w:color w:val="222222"/>
          <w:shd w:val="clear" w:color="auto" w:fill="FFFFFF"/>
        </w:rPr>
        <w:t>Cañal-Fernández</w:t>
      </w:r>
      <w:proofErr w:type="spellEnd"/>
      <w:r w:rsidRPr="00BA5587">
        <w:rPr>
          <w:rFonts w:cs="Arial"/>
          <w:color w:val="222222"/>
          <w:shd w:val="clear" w:color="auto" w:fill="FFFFFF"/>
        </w:rPr>
        <w:t>, V., 2019</w:t>
      </w:r>
      <w:bookmarkEnd w:id="22"/>
      <w:r w:rsidRPr="00BA5587">
        <w:rPr>
          <w:rFonts w:cs="Arial"/>
          <w:color w:val="222222"/>
          <w:shd w:val="clear" w:color="auto" w:fill="FFFFFF"/>
        </w:rPr>
        <w:t>. Integrating corporate social responsibility and financial performance. </w:t>
      </w:r>
      <w:r w:rsidRPr="00BA5587">
        <w:rPr>
          <w:rFonts w:cs="Arial"/>
          <w:i/>
          <w:iCs/>
          <w:color w:val="222222"/>
          <w:shd w:val="clear" w:color="auto" w:fill="FFFFFF"/>
        </w:rPr>
        <w:t>Management Decision</w:t>
      </w:r>
      <w:r w:rsidRPr="00BA5587">
        <w:rPr>
          <w:rFonts w:cs="Arial"/>
          <w:color w:val="222222"/>
          <w:shd w:val="clear" w:color="auto" w:fill="FFFFFF"/>
        </w:rPr>
        <w:t>.</w:t>
      </w:r>
    </w:p>
    <w:p w14:paraId="1295D842" w14:textId="77777777" w:rsidR="00761056" w:rsidRPr="00BA5587" w:rsidRDefault="00761056" w:rsidP="00761056">
      <w:pPr>
        <w:rPr>
          <w:rFonts w:cs="Arial"/>
          <w:color w:val="222222"/>
          <w:shd w:val="clear" w:color="auto" w:fill="FFFFFF"/>
        </w:rPr>
      </w:pPr>
      <w:bookmarkStart w:id="23" w:name="_Hlk51355371"/>
      <w:r w:rsidRPr="00BA5587">
        <w:rPr>
          <w:rFonts w:cs="Arial"/>
          <w:color w:val="222222"/>
          <w:shd w:val="clear" w:color="auto" w:fill="FFFFFF"/>
        </w:rPr>
        <w:t>Chen, X., 2020</w:t>
      </w:r>
      <w:bookmarkEnd w:id="23"/>
      <w:r w:rsidRPr="00BA5587">
        <w:rPr>
          <w:rFonts w:cs="Arial"/>
          <w:color w:val="222222"/>
          <w:shd w:val="clear" w:color="auto" w:fill="FFFFFF"/>
        </w:rPr>
        <w:t>. Exploring the sources of financial performance in Chinese banks: a comparative analysis of different types of banks. </w:t>
      </w:r>
      <w:r w:rsidRPr="00BA5587">
        <w:rPr>
          <w:rFonts w:cs="Arial"/>
          <w:i/>
          <w:iCs/>
          <w:color w:val="222222"/>
          <w:shd w:val="clear" w:color="auto" w:fill="FFFFFF"/>
        </w:rPr>
        <w:t>The North American Journal of Economics and Finance</w:t>
      </w:r>
      <w:r w:rsidRPr="00BA5587">
        <w:rPr>
          <w:rFonts w:cs="Arial"/>
          <w:color w:val="222222"/>
          <w:shd w:val="clear" w:color="auto" w:fill="FFFFFF"/>
        </w:rPr>
        <w:t>, </w:t>
      </w:r>
      <w:r w:rsidRPr="00BA5587">
        <w:rPr>
          <w:rFonts w:cs="Arial"/>
          <w:i/>
          <w:iCs/>
          <w:color w:val="222222"/>
          <w:shd w:val="clear" w:color="auto" w:fill="FFFFFF"/>
        </w:rPr>
        <w:t>51</w:t>
      </w:r>
      <w:r w:rsidRPr="00BA5587">
        <w:rPr>
          <w:rFonts w:cs="Arial"/>
          <w:color w:val="222222"/>
          <w:shd w:val="clear" w:color="auto" w:fill="FFFFFF"/>
        </w:rPr>
        <w:t>, p.101076.</w:t>
      </w:r>
    </w:p>
    <w:p w14:paraId="19961047" w14:textId="77777777" w:rsidR="00761056" w:rsidRPr="00BA5587" w:rsidRDefault="00761056" w:rsidP="00761056">
      <w:pPr>
        <w:rPr>
          <w:rFonts w:cs="Arial"/>
          <w:color w:val="222222"/>
          <w:shd w:val="clear" w:color="auto" w:fill="FFFFFF"/>
        </w:rPr>
      </w:pPr>
      <w:bookmarkStart w:id="24" w:name="_Hlk51355414"/>
      <w:r w:rsidRPr="00BA5587">
        <w:rPr>
          <w:rFonts w:cs="Arial"/>
          <w:color w:val="222222"/>
          <w:shd w:val="clear" w:color="auto" w:fill="FFFFFF"/>
        </w:rPr>
        <w:t>Ghosh, J., 2020</w:t>
      </w:r>
      <w:bookmarkEnd w:id="24"/>
      <w:r w:rsidRPr="00BA5587">
        <w:rPr>
          <w:rFonts w:cs="Arial"/>
          <w:color w:val="222222"/>
          <w:shd w:val="clear" w:color="auto" w:fill="FFFFFF"/>
        </w:rPr>
        <w:t>. Financial Performance Analysis of Dhaka Bank Limited.</w:t>
      </w:r>
    </w:p>
    <w:p w14:paraId="2CFB4564" w14:textId="77777777" w:rsidR="00761056" w:rsidRPr="00BA5587" w:rsidRDefault="00761056" w:rsidP="00761056">
      <w:pPr>
        <w:rPr>
          <w:rFonts w:cs="Arial"/>
          <w:color w:val="222222"/>
          <w:shd w:val="clear" w:color="auto" w:fill="FFFFFF"/>
        </w:rPr>
      </w:pPr>
      <w:r w:rsidRPr="00BA5587">
        <w:rPr>
          <w:rFonts w:cs="Arial"/>
          <w:color w:val="222222"/>
          <w:shd w:val="clear" w:color="auto" w:fill="FFFFFF"/>
        </w:rPr>
        <w:t xml:space="preserve">Godbole, S.B. and </w:t>
      </w:r>
      <w:proofErr w:type="spellStart"/>
      <w:r w:rsidRPr="00BA5587">
        <w:rPr>
          <w:rFonts w:cs="Arial"/>
          <w:color w:val="222222"/>
          <w:shd w:val="clear" w:color="auto" w:fill="FFFFFF"/>
        </w:rPr>
        <w:t>Jayraj</w:t>
      </w:r>
      <w:proofErr w:type="spellEnd"/>
      <w:r w:rsidRPr="00BA5587">
        <w:rPr>
          <w:rFonts w:cs="Arial"/>
          <w:color w:val="222222"/>
          <w:shd w:val="clear" w:color="auto" w:fill="FFFFFF"/>
        </w:rPr>
        <w:t>, G.K., 2019. PROJECT ECONOMIC APPRAISAL TECHNIQUES IN CONSTRUCTION INDUSTRY-A COMPARATIVE STUDY.</w:t>
      </w:r>
    </w:p>
    <w:p w14:paraId="3EA1DFC0" w14:textId="77777777" w:rsidR="00761056" w:rsidRPr="00BA5587" w:rsidRDefault="00761056" w:rsidP="00761056">
      <w:pPr>
        <w:rPr>
          <w:rFonts w:cs="Arial"/>
          <w:color w:val="222222"/>
          <w:shd w:val="clear" w:color="auto" w:fill="FFFFFF"/>
        </w:rPr>
      </w:pPr>
      <w:bookmarkStart w:id="25" w:name="_Hlk51355801"/>
      <w:r w:rsidRPr="00BA5587">
        <w:rPr>
          <w:rFonts w:cs="Arial"/>
          <w:color w:val="222222"/>
          <w:shd w:val="clear" w:color="auto" w:fill="FFFFFF"/>
        </w:rPr>
        <w:t>Guo, L. and Wang, Z., 2019</w:t>
      </w:r>
      <w:bookmarkEnd w:id="25"/>
      <w:r w:rsidRPr="00BA5587">
        <w:rPr>
          <w:rFonts w:cs="Arial"/>
          <w:color w:val="222222"/>
          <w:shd w:val="clear" w:color="auto" w:fill="FFFFFF"/>
        </w:rPr>
        <w:t xml:space="preserve">. Ratio analysis of J Sainsbury plc financial performance between 2015 and 2018 in comparison with Tesco and </w:t>
      </w:r>
      <w:proofErr w:type="spellStart"/>
      <w:r w:rsidRPr="00BA5587">
        <w:rPr>
          <w:rFonts w:cs="Arial"/>
          <w:color w:val="222222"/>
          <w:shd w:val="clear" w:color="auto" w:fill="FFFFFF"/>
        </w:rPr>
        <w:t>Morrisons</w:t>
      </w:r>
      <w:proofErr w:type="spellEnd"/>
      <w:r w:rsidRPr="00BA5587">
        <w:rPr>
          <w:rFonts w:cs="Arial"/>
          <w:color w:val="222222"/>
          <w:shd w:val="clear" w:color="auto" w:fill="FFFFFF"/>
        </w:rPr>
        <w:t>. </w:t>
      </w:r>
      <w:r w:rsidRPr="00BA5587">
        <w:rPr>
          <w:rFonts w:cs="Arial"/>
          <w:i/>
          <w:iCs/>
          <w:color w:val="222222"/>
          <w:shd w:val="clear" w:color="auto" w:fill="FFFFFF"/>
        </w:rPr>
        <w:t>American Journal of Industrial and Business Management</w:t>
      </w:r>
      <w:r w:rsidRPr="00BA5587">
        <w:rPr>
          <w:rFonts w:cs="Arial"/>
          <w:color w:val="222222"/>
          <w:shd w:val="clear" w:color="auto" w:fill="FFFFFF"/>
        </w:rPr>
        <w:t>, </w:t>
      </w:r>
      <w:r w:rsidRPr="00BA5587">
        <w:rPr>
          <w:rFonts w:cs="Arial"/>
          <w:i/>
          <w:iCs/>
          <w:color w:val="222222"/>
          <w:shd w:val="clear" w:color="auto" w:fill="FFFFFF"/>
        </w:rPr>
        <w:t>9</w:t>
      </w:r>
      <w:r w:rsidRPr="00BA5587">
        <w:rPr>
          <w:rFonts w:cs="Arial"/>
          <w:color w:val="222222"/>
          <w:shd w:val="clear" w:color="auto" w:fill="FFFFFF"/>
        </w:rPr>
        <w:t>(2), pp.325-341.</w:t>
      </w:r>
    </w:p>
    <w:p w14:paraId="63119B18" w14:textId="77777777" w:rsidR="00761056" w:rsidRPr="00BA5587" w:rsidRDefault="00761056" w:rsidP="00761056">
      <w:pPr>
        <w:rPr>
          <w:rFonts w:cs="Arial"/>
          <w:color w:val="222222"/>
          <w:shd w:val="clear" w:color="auto" w:fill="FFFFFF"/>
        </w:rPr>
      </w:pPr>
      <w:bookmarkStart w:id="26" w:name="_Hlk51355582"/>
      <w:r w:rsidRPr="00BA5587">
        <w:rPr>
          <w:rFonts w:cs="Arial"/>
          <w:color w:val="222222"/>
          <w:shd w:val="clear" w:color="auto" w:fill="FFFFFF"/>
        </w:rPr>
        <w:t>Hang, M., Geyer</w:t>
      </w:r>
      <w:r w:rsidRPr="00BA5587">
        <w:rPr>
          <w:rFonts w:ascii="Cambria Math" w:hAnsi="Cambria Math" w:cs="Cambria Math"/>
          <w:color w:val="222222"/>
          <w:shd w:val="clear" w:color="auto" w:fill="FFFFFF"/>
        </w:rPr>
        <w:t>‐</w:t>
      </w:r>
      <w:proofErr w:type="spellStart"/>
      <w:r w:rsidRPr="00BA5587">
        <w:rPr>
          <w:rFonts w:cs="Arial"/>
          <w:color w:val="222222"/>
          <w:shd w:val="clear" w:color="auto" w:fill="FFFFFF"/>
        </w:rPr>
        <w:t>Klingeberg</w:t>
      </w:r>
      <w:proofErr w:type="spellEnd"/>
      <w:r w:rsidRPr="00BA5587">
        <w:rPr>
          <w:rFonts w:cs="Arial"/>
          <w:color w:val="222222"/>
          <w:shd w:val="clear" w:color="auto" w:fill="FFFFFF"/>
        </w:rPr>
        <w:t>, J. and Rathgeber, A.W., 2019</w:t>
      </w:r>
      <w:bookmarkEnd w:id="26"/>
      <w:r w:rsidRPr="00BA5587">
        <w:rPr>
          <w:rFonts w:cs="Arial"/>
          <w:color w:val="222222"/>
          <w:shd w:val="clear" w:color="auto" w:fill="FFFFFF"/>
        </w:rPr>
        <w:t>. It is merely a matter of time: A meta</w:t>
      </w:r>
      <w:r w:rsidRPr="00BA5587">
        <w:rPr>
          <w:rFonts w:ascii="Cambria Math" w:hAnsi="Cambria Math" w:cs="Cambria Math"/>
          <w:color w:val="222222"/>
          <w:shd w:val="clear" w:color="auto" w:fill="FFFFFF"/>
        </w:rPr>
        <w:t>‐</w:t>
      </w:r>
      <w:r w:rsidRPr="00BA5587">
        <w:rPr>
          <w:rFonts w:cs="Arial"/>
          <w:color w:val="222222"/>
          <w:shd w:val="clear" w:color="auto" w:fill="FFFFFF"/>
        </w:rPr>
        <w:t>analysis of the causality between environmental performance and financial performance. </w:t>
      </w:r>
      <w:r w:rsidRPr="00BA5587">
        <w:rPr>
          <w:rFonts w:cs="Arial"/>
          <w:i/>
          <w:iCs/>
          <w:color w:val="222222"/>
          <w:shd w:val="clear" w:color="auto" w:fill="FFFFFF"/>
        </w:rPr>
        <w:t>Business Strategy and the Environment</w:t>
      </w:r>
      <w:r w:rsidRPr="00BA5587">
        <w:rPr>
          <w:rFonts w:cs="Arial"/>
          <w:color w:val="222222"/>
          <w:shd w:val="clear" w:color="auto" w:fill="FFFFFF"/>
        </w:rPr>
        <w:t>, </w:t>
      </w:r>
      <w:r w:rsidRPr="00BA5587">
        <w:rPr>
          <w:rFonts w:cs="Arial"/>
          <w:i/>
          <w:iCs/>
          <w:color w:val="222222"/>
          <w:shd w:val="clear" w:color="auto" w:fill="FFFFFF"/>
        </w:rPr>
        <w:t>28</w:t>
      </w:r>
      <w:r w:rsidRPr="00BA5587">
        <w:rPr>
          <w:rFonts w:cs="Arial"/>
          <w:color w:val="222222"/>
          <w:shd w:val="clear" w:color="auto" w:fill="FFFFFF"/>
        </w:rPr>
        <w:t>(2), pp.257-273.</w:t>
      </w:r>
    </w:p>
    <w:p w14:paraId="3577D976" w14:textId="77777777" w:rsidR="00761056" w:rsidRPr="00BA5587" w:rsidRDefault="00761056" w:rsidP="00761056">
      <w:pPr>
        <w:rPr>
          <w:rFonts w:cs="Arial"/>
          <w:color w:val="222222"/>
          <w:shd w:val="clear" w:color="auto" w:fill="FFFFFF"/>
        </w:rPr>
      </w:pPr>
      <w:bookmarkStart w:id="27" w:name="_Hlk51355699"/>
      <w:proofErr w:type="spellStart"/>
      <w:r w:rsidRPr="00BA5587">
        <w:rPr>
          <w:rFonts w:cs="Arial"/>
          <w:color w:val="222222"/>
          <w:shd w:val="clear" w:color="auto" w:fill="FFFFFF"/>
        </w:rPr>
        <w:t>Laisasikorn</w:t>
      </w:r>
      <w:proofErr w:type="spellEnd"/>
      <w:r w:rsidRPr="00BA5587">
        <w:rPr>
          <w:rFonts w:cs="Arial"/>
          <w:color w:val="222222"/>
          <w:shd w:val="clear" w:color="auto" w:fill="FFFFFF"/>
        </w:rPr>
        <w:t xml:space="preserve">, K. and </w:t>
      </w:r>
      <w:proofErr w:type="spellStart"/>
      <w:r w:rsidRPr="00BA5587">
        <w:rPr>
          <w:rFonts w:cs="Arial"/>
          <w:color w:val="222222"/>
          <w:shd w:val="clear" w:color="auto" w:fill="FFFFFF"/>
        </w:rPr>
        <w:t>Rompho</w:t>
      </w:r>
      <w:proofErr w:type="spellEnd"/>
      <w:r w:rsidRPr="00BA5587">
        <w:rPr>
          <w:rFonts w:cs="Arial"/>
          <w:color w:val="222222"/>
          <w:shd w:val="clear" w:color="auto" w:fill="FFFFFF"/>
        </w:rPr>
        <w:t>, N., 2019</w:t>
      </w:r>
      <w:bookmarkEnd w:id="27"/>
      <w:r w:rsidRPr="00BA5587">
        <w:rPr>
          <w:rFonts w:cs="Arial"/>
          <w:color w:val="222222"/>
          <w:shd w:val="clear" w:color="auto" w:fill="FFFFFF"/>
        </w:rPr>
        <w:t>. A study of the relationship between a successful enterprise risk management system, a performance measurement system and the financial performance of Thai listed companies. </w:t>
      </w:r>
      <w:r w:rsidRPr="00BA5587">
        <w:rPr>
          <w:rFonts w:cs="Arial"/>
          <w:i/>
          <w:iCs/>
          <w:color w:val="222222"/>
          <w:shd w:val="clear" w:color="auto" w:fill="FFFFFF"/>
        </w:rPr>
        <w:t>American Journal of Business</w:t>
      </w:r>
      <w:r w:rsidRPr="00BA5587">
        <w:rPr>
          <w:rFonts w:cs="Arial"/>
          <w:color w:val="222222"/>
          <w:shd w:val="clear" w:color="auto" w:fill="FFFFFF"/>
        </w:rPr>
        <w:t>, </w:t>
      </w:r>
      <w:r w:rsidRPr="00BA5587">
        <w:rPr>
          <w:rFonts w:cs="Arial"/>
          <w:i/>
          <w:iCs/>
          <w:color w:val="222222"/>
          <w:shd w:val="clear" w:color="auto" w:fill="FFFFFF"/>
        </w:rPr>
        <w:t>10</w:t>
      </w:r>
      <w:r w:rsidRPr="00BA5587">
        <w:rPr>
          <w:rFonts w:cs="Arial"/>
          <w:color w:val="222222"/>
          <w:shd w:val="clear" w:color="auto" w:fill="FFFFFF"/>
        </w:rPr>
        <w:t>(2).</w:t>
      </w:r>
    </w:p>
    <w:p w14:paraId="51DE535E" w14:textId="77777777" w:rsidR="00761056" w:rsidRPr="00BA5587" w:rsidRDefault="00761056" w:rsidP="00761056">
      <w:pPr>
        <w:rPr>
          <w:rFonts w:cs="Arial"/>
          <w:color w:val="222222"/>
          <w:shd w:val="clear" w:color="auto" w:fill="FFFFFF"/>
        </w:rPr>
      </w:pPr>
      <w:bookmarkStart w:id="28" w:name="_Hlk51355184"/>
      <w:proofErr w:type="spellStart"/>
      <w:r w:rsidRPr="00BA5587">
        <w:rPr>
          <w:rFonts w:cs="Arial"/>
          <w:color w:val="222222"/>
          <w:shd w:val="clear" w:color="auto" w:fill="FFFFFF"/>
        </w:rPr>
        <w:t>Ndanyenbah</w:t>
      </w:r>
      <w:proofErr w:type="spellEnd"/>
      <w:r w:rsidRPr="00BA5587">
        <w:rPr>
          <w:rFonts w:cs="Arial"/>
          <w:color w:val="222222"/>
          <w:shd w:val="clear" w:color="auto" w:fill="FFFFFF"/>
        </w:rPr>
        <w:t xml:space="preserve">, T.Y. and </w:t>
      </w:r>
      <w:proofErr w:type="spellStart"/>
      <w:r w:rsidRPr="00BA5587">
        <w:rPr>
          <w:rFonts w:cs="Arial"/>
          <w:color w:val="222222"/>
          <w:shd w:val="clear" w:color="auto" w:fill="FFFFFF"/>
        </w:rPr>
        <w:t>Zakaria</w:t>
      </w:r>
      <w:proofErr w:type="spellEnd"/>
      <w:r w:rsidRPr="00BA5587">
        <w:rPr>
          <w:rFonts w:cs="Arial"/>
          <w:color w:val="222222"/>
          <w:shd w:val="clear" w:color="auto" w:fill="FFFFFF"/>
        </w:rPr>
        <w:t>, A., 2019</w:t>
      </w:r>
      <w:bookmarkEnd w:id="28"/>
      <w:r w:rsidRPr="00BA5587">
        <w:rPr>
          <w:rFonts w:cs="Arial"/>
          <w:color w:val="222222"/>
          <w:shd w:val="clear" w:color="auto" w:fill="FFFFFF"/>
        </w:rPr>
        <w:t>. Application of Investment Appraisal Techniques by Small and Medium Enterprises (SMEs) Operators in the Tamale Metropolis, Ghana.</w:t>
      </w:r>
    </w:p>
    <w:p w14:paraId="59310C46" w14:textId="77777777" w:rsidR="00761056" w:rsidRPr="00BA5587" w:rsidRDefault="00761056" w:rsidP="00761056">
      <w:pPr>
        <w:rPr>
          <w:rFonts w:cs="Arial"/>
          <w:color w:val="222222"/>
          <w:shd w:val="clear" w:color="auto" w:fill="FFFFFF"/>
        </w:rPr>
      </w:pPr>
      <w:proofErr w:type="spellStart"/>
      <w:r w:rsidRPr="00BA5587">
        <w:rPr>
          <w:rFonts w:cs="Arial"/>
          <w:color w:val="222222"/>
          <w:shd w:val="clear" w:color="auto" w:fill="FFFFFF"/>
        </w:rPr>
        <w:t>Ogunbayo</w:t>
      </w:r>
      <w:proofErr w:type="spellEnd"/>
      <w:r w:rsidRPr="00BA5587">
        <w:rPr>
          <w:rFonts w:cs="Arial"/>
          <w:color w:val="222222"/>
          <w:shd w:val="clear" w:color="auto" w:fill="FFFFFF"/>
        </w:rPr>
        <w:t xml:space="preserve">, O.T., </w:t>
      </w:r>
      <w:proofErr w:type="spellStart"/>
      <w:r w:rsidRPr="00BA5587">
        <w:rPr>
          <w:rFonts w:cs="Arial"/>
          <w:color w:val="222222"/>
          <w:shd w:val="clear" w:color="auto" w:fill="FFFFFF"/>
        </w:rPr>
        <w:t>Odebode</w:t>
      </w:r>
      <w:proofErr w:type="spellEnd"/>
      <w:r w:rsidRPr="00BA5587">
        <w:rPr>
          <w:rFonts w:cs="Arial"/>
          <w:color w:val="222222"/>
          <w:shd w:val="clear" w:color="auto" w:fill="FFFFFF"/>
        </w:rPr>
        <w:t xml:space="preserve">, A.A., </w:t>
      </w:r>
      <w:proofErr w:type="spellStart"/>
      <w:r w:rsidRPr="00BA5587">
        <w:rPr>
          <w:rFonts w:cs="Arial"/>
          <w:color w:val="222222"/>
          <w:shd w:val="clear" w:color="auto" w:fill="FFFFFF"/>
        </w:rPr>
        <w:t>Oyedele</w:t>
      </w:r>
      <w:proofErr w:type="spellEnd"/>
      <w:r w:rsidRPr="00BA5587">
        <w:rPr>
          <w:rFonts w:cs="Arial"/>
          <w:color w:val="222222"/>
          <w:shd w:val="clear" w:color="auto" w:fill="FFFFFF"/>
        </w:rPr>
        <w:t xml:space="preserve">, J.B. and </w:t>
      </w:r>
      <w:proofErr w:type="spellStart"/>
      <w:r w:rsidRPr="00BA5587">
        <w:rPr>
          <w:rFonts w:cs="Arial"/>
          <w:color w:val="222222"/>
          <w:shd w:val="clear" w:color="auto" w:fill="FFFFFF"/>
        </w:rPr>
        <w:t>Ayodele</w:t>
      </w:r>
      <w:proofErr w:type="spellEnd"/>
      <w:r w:rsidRPr="00BA5587">
        <w:rPr>
          <w:rFonts w:cs="Arial"/>
          <w:color w:val="222222"/>
          <w:shd w:val="clear" w:color="auto" w:fill="FFFFFF"/>
        </w:rPr>
        <w:t>, O.T., 2019. The significance of real estate development process analysis to residential property investment appraisal in Abuja, Nigeria. </w:t>
      </w:r>
      <w:r w:rsidRPr="00BA5587">
        <w:rPr>
          <w:rFonts w:cs="Arial"/>
          <w:i/>
          <w:iCs/>
          <w:color w:val="222222"/>
          <w:shd w:val="clear" w:color="auto" w:fill="FFFFFF"/>
        </w:rPr>
        <w:t>International Journal of Construction Management</w:t>
      </w:r>
      <w:r w:rsidRPr="00BA5587">
        <w:rPr>
          <w:rFonts w:cs="Arial"/>
          <w:color w:val="222222"/>
          <w:shd w:val="clear" w:color="auto" w:fill="FFFFFF"/>
        </w:rPr>
        <w:t>, </w:t>
      </w:r>
      <w:r w:rsidRPr="00BA5587">
        <w:rPr>
          <w:rFonts w:cs="Arial"/>
          <w:i/>
          <w:iCs/>
          <w:color w:val="222222"/>
          <w:shd w:val="clear" w:color="auto" w:fill="FFFFFF"/>
        </w:rPr>
        <w:t>19</w:t>
      </w:r>
      <w:r w:rsidRPr="00BA5587">
        <w:rPr>
          <w:rFonts w:cs="Arial"/>
          <w:color w:val="222222"/>
          <w:shd w:val="clear" w:color="auto" w:fill="FFFFFF"/>
        </w:rPr>
        <w:t>(3), pp.270-279.</w:t>
      </w:r>
    </w:p>
    <w:p w14:paraId="49B0AC13" w14:textId="77777777" w:rsidR="00761056" w:rsidRPr="00BA5587" w:rsidRDefault="00761056" w:rsidP="00761056">
      <w:pPr>
        <w:rPr>
          <w:rFonts w:cs="Arial"/>
          <w:color w:val="222222"/>
          <w:shd w:val="clear" w:color="auto" w:fill="FFFFFF"/>
        </w:rPr>
      </w:pPr>
      <w:bookmarkStart w:id="29" w:name="_Hlk51355434"/>
      <w:proofErr w:type="spellStart"/>
      <w:r w:rsidRPr="00BA5587">
        <w:rPr>
          <w:rFonts w:cs="Arial"/>
          <w:color w:val="222222"/>
          <w:shd w:val="clear" w:color="auto" w:fill="FFFFFF"/>
        </w:rPr>
        <w:t>Przychodzen</w:t>
      </w:r>
      <w:proofErr w:type="spellEnd"/>
      <w:r w:rsidRPr="00BA5587">
        <w:rPr>
          <w:rFonts w:cs="Arial"/>
          <w:color w:val="222222"/>
          <w:shd w:val="clear" w:color="auto" w:fill="FFFFFF"/>
        </w:rPr>
        <w:t>, W., Leyva</w:t>
      </w:r>
      <w:r w:rsidRPr="00BA5587">
        <w:rPr>
          <w:rFonts w:ascii="Cambria Math" w:hAnsi="Cambria Math" w:cs="Cambria Math"/>
          <w:color w:val="222222"/>
          <w:shd w:val="clear" w:color="auto" w:fill="FFFFFF"/>
        </w:rPr>
        <w:t>‐</w:t>
      </w:r>
      <w:r w:rsidRPr="00BA5587">
        <w:rPr>
          <w:rFonts w:cs="Arial"/>
          <w:color w:val="222222"/>
          <w:shd w:val="clear" w:color="auto" w:fill="FFFFFF"/>
        </w:rPr>
        <w:t xml:space="preserve">de la </w:t>
      </w:r>
      <w:proofErr w:type="spellStart"/>
      <w:r w:rsidRPr="00BA5587">
        <w:rPr>
          <w:rFonts w:cs="Arial"/>
          <w:color w:val="222222"/>
          <w:shd w:val="clear" w:color="auto" w:fill="FFFFFF"/>
        </w:rPr>
        <w:t>Hiz</w:t>
      </w:r>
      <w:proofErr w:type="spellEnd"/>
      <w:r w:rsidRPr="00BA5587">
        <w:rPr>
          <w:rFonts w:cs="Arial"/>
          <w:color w:val="222222"/>
          <w:shd w:val="clear" w:color="auto" w:fill="FFFFFF"/>
        </w:rPr>
        <w:t xml:space="preserve">, D.I. and </w:t>
      </w:r>
      <w:proofErr w:type="spellStart"/>
      <w:r w:rsidRPr="00BA5587">
        <w:rPr>
          <w:rFonts w:cs="Arial"/>
          <w:color w:val="222222"/>
          <w:shd w:val="clear" w:color="auto" w:fill="FFFFFF"/>
        </w:rPr>
        <w:t>Przychodzen</w:t>
      </w:r>
      <w:proofErr w:type="spellEnd"/>
      <w:r w:rsidRPr="00BA5587">
        <w:rPr>
          <w:rFonts w:cs="Arial"/>
          <w:color w:val="222222"/>
          <w:shd w:val="clear" w:color="auto" w:fill="FFFFFF"/>
        </w:rPr>
        <w:t>, J., 2020</w:t>
      </w:r>
      <w:bookmarkEnd w:id="29"/>
      <w:r w:rsidRPr="00BA5587">
        <w:rPr>
          <w:rFonts w:cs="Arial"/>
          <w:color w:val="222222"/>
          <w:shd w:val="clear" w:color="auto" w:fill="FFFFFF"/>
        </w:rPr>
        <w:t>. First</w:t>
      </w:r>
      <w:r w:rsidRPr="00BA5587">
        <w:rPr>
          <w:rFonts w:ascii="Cambria Math" w:hAnsi="Cambria Math" w:cs="Cambria Math"/>
          <w:color w:val="222222"/>
          <w:shd w:val="clear" w:color="auto" w:fill="FFFFFF"/>
        </w:rPr>
        <w:t>‐</w:t>
      </w:r>
      <w:r w:rsidRPr="00BA5587">
        <w:rPr>
          <w:rFonts w:cs="Arial"/>
          <w:color w:val="222222"/>
          <w:shd w:val="clear" w:color="auto" w:fill="FFFFFF"/>
        </w:rPr>
        <w:t>mover advantages in green innovation—Opportunities and threats for financial performance: A longitudinal analysis. </w:t>
      </w:r>
      <w:r w:rsidRPr="00BA5587">
        <w:rPr>
          <w:rFonts w:cs="Arial"/>
          <w:i/>
          <w:iCs/>
          <w:color w:val="222222"/>
          <w:shd w:val="clear" w:color="auto" w:fill="FFFFFF"/>
        </w:rPr>
        <w:t>Corporate Social Responsibility and Environmental Management</w:t>
      </w:r>
      <w:r w:rsidRPr="00BA5587">
        <w:rPr>
          <w:rFonts w:cs="Arial"/>
          <w:color w:val="222222"/>
          <w:shd w:val="clear" w:color="auto" w:fill="FFFFFF"/>
        </w:rPr>
        <w:t>, </w:t>
      </w:r>
      <w:r w:rsidRPr="00BA5587">
        <w:rPr>
          <w:rFonts w:cs="Arial"/>
          <w:i/>
          <w:iCs/>
          <w:color w:val="222222"/>
          <w:shd w:val="clear" w:color="auto" w:fill="FFFFFF"/>
        </w:rPr>
        <w:t>27</w:t>
      </w:r>
      <w:r w:rsidRPr="00BA5587">
        <w:rPr>
          <w:rFonts w:cs="Arial"/>
          <w:color w:val="222222"/>
          <w:shd w:val="clear" w:color="auto" w:fill="FFFFFF"/>
        </w:rPr>
        <w:t>(1), pp.339-357.</w:t>
      </w:r>
    </w:p>
    <w:p w14:paraId="19C63C28" w14:textId="77777777" w:rsidR="00761056" w:rsidRPr="00BA5587" w:rsidRDefault="00761056" w:rsidP="00761056">
      <w:pPr>
        <w:rPr>
          <w:rFonts w:cs="Arial"/>
          <w:color w:val="222222"/>
          <w:shd w:val="clear" w:color="auto" w:fill="FFFFFF"/>
        </w:rPr>
      </w:pPr>
      <w:bookmarkStart w:id="30" w:name="_Hlk51355553"/>
      <w:r w:rsidRPr="00BA5587">
        <w:rPr>
          <w:rFonts w:cs="Arial"/>
          <w:color w:val="222222"/>
          <w:shd w:val="clear" w:color="auto" w:fill="FFFFFF"/>
        </w:rPr>
        <w:t xml:space="preserve">Rafi, M.A., Ahmed, E., Natasha, M.T., </w:t>
      </w:r>
      <w:proofErr w:type="spellStart"/>
      <w:r w:rsidRPr="00BA5587">
        <w:rPr>
          <w:rFonts w:cs="Arial"/>
          <w:color w:val="222222"/>
          <w:shd w:val="clear" w:color="auto" w:fill="FFFFFF"/>
        </w:rPr>
        <w:t>Mahruf</w:t>
      </w:r>
      <w:proofErr w:type="spellEnd"/>
      <w:r w:rsidRPr="00BA5587">
        <w:rPr>
          <w:rFonts w:cs="Arial"/>
          <w:color w:val="222222"/>
          <w:shd w:val="clear" w:color="auto" w:fill="FFFFFF"/>
        </w:rPr>
        <w:t>, R. and Ahmed, F., 2020</w:t>
      </w:r>
      <w:bookmarkEnd w:id="30"/>
      <w:r w:rsidRPr="00BA5587">
        <w:rPr>
          <w:rFonts w:cs="Arial"/>
          <w:color w:val="222222"/>
          <w:shd w:val="clear" w:color="auto" w:fill="FFFFFF"/>
        </w:rPr>
        <w:t>. Financial Performance Analysis of Some Selected Investment Banks of Bangladesh. </w:t>
      </w:r>
      <w:r w:rsidRPr="00BA5587">
        <w:rPr>
          <w:rFonts w:cs="Arial"/>
          <w:i/>
          <w:iCs/>
          <w:color w:val="222222"/>
          <w:shd w:val="clear" w:color="auto" w:fill="FFFFFF"/>
        </w:rPr>
        <w:t>Journal of Internet Banking and Commerce</w:t>
      </w:r>
      <w:r w:rsidRPr="00BA5587">
        <w:rPr>
          <w:rFonts w:cs="Arial"/>
          <w:color w:val="222222"/>
          <w:shd w:val="clear" w:color="auto" w:fill="FFFFFF"/>
        </w:rPr>
        <w:t>, </w:t>
      </w:r>
      <w:r w:rsidRPr="00BA5587">
        <w:rPr>
          <w:rFonts w:cs="Arial"/>
          <w:i/>
          <w:iCs/>
          <w:color w:val="222222"/>
          <w:shd w:val="clear" w:color="auto" w:fill="FFFFFF"/>
        </w:rPr>
        <w:t>25</w:t>
      </w:r>
      <w:r w:rsidRPr="00BA5587">
        <w:rPr>
          <w:rFonts w:cs="Arial"/>
          <w:color w:val="222222"/>
          <w:shd w:val="clear" w:color="auto" w:fill="FFFFFF"/>
        </w:rPr>
        <w:t>(3), pp.1-13.</w:t>
      </w:r>
    </w:p>
    <w:p w14:paraId="64FE898B" w14:textId="77777777" w:rsidR="00761056" w:rsidRPr="00BA5587" w:rsidRDefault="00761056" w:rsidP="00761056">
      <w:pPr>
        <w:rPr>
          <w:rFonts w:cs="Arial"/>
          <w:color w:val="222222"/>
          <w:shd w:val="clear" w:color="auto" w:fill="FFFFFF"/>
        </w:rPr>
      </w:pPr>
      <w:bookmarkStart w:id="31" w:name="_Hlk51355394"/>
      <w:r w:rsidRPr="00BA5587">
        <w:rPr>
          <w:rFonts w:cs="Arial"/>
          <w:color w:val="222222"/>
          <w:shd w:val="clear" w:color="auto" w:fill="FFFFFF"/>
        </w:rPr>
        <w:t>Rahman, M., 2019</w:t>
      </w:r>
      <w:bookmarkEnd w:id="31"/>
      <w:r w:rsidRPr="00BA5587">
        <w:rPr>
          <w:rFonts w:cs="Arial"/>
          <w:color w:val="222222"/>
          <w:shd w:val="clear" w:color="auto" w:fill="FFFFFF"/>
        </w:rPr>
        <w:t xml:space="preserve">. Financial performance analysis of </w:t>
      </w:r>
      <w:proofErr w:type="spellStart"/>
      <w:r w:rsidRPr="00BA5587">
        <w:rPr>
          <w:rFonts w:cs="Arial"/>
          <w:color w:val="222222"/>
          <w:shd w:val="clear" w:color="auto" w:fill="FFFFFF"/>
        </w:rPr>
        <w:t>janata</w:t>
      </w:r>
      <w:proofErr w:type="spellEnd"/>
      <w:r w:rsidRPr="00BA5587">
        <w:rPr>
          <w:rFonts w:cs="Arial"/>
          <w:color w:val="222222"/>
          <w:shd w:val="clear" w:color="auto" w:fill="FFFFFF"/>
        </w:rPr>
        <w:t xml:space="preserve"> bank limited.</w:t>
      </w:r>
    </w:p>
    <w:p w14:paraId="13EF907C" w14:textId="77777777" w:rsidR="00761056" w:rsidRPr="00BA5587" w:rsidRDefault="00761056" w:rsidP="00761056">
      <w:pPr>
        <w:rPr>
          <w:rFonts w:cs="Arial"/>
          <w:color w:val="222222"/>
          <w:shd w:val="clear" w:color="auto" w:fill="FFFFFF"/>
        </w:rPr>
      </w:pPr>
      <w:bookmarkStart w:id="32" w:name="_Hlk51355339"/>
      <w:r w:rsidRPr="00BA5587">
        <w:rPr>
          <w:rFonts w:cs="Arial"/>
          <w:color w:val="222222"/>
          <w:shd w:val="clear" w:color="auto" w:fill="FFFFFF"/>
        </w:rPr>
        <w:t>Sinha, R. and Datta, M., 2020</w:t>
      </w:r>
      <w:bookmarkEnd w:id="32"/>
      <w:r w:rsidRPr="00BA5587">
        <w:rPr>
          <w:rFonts w:cs="Arial"/>
          <w:color w:val="222222"/>
          <w:shd w:val="clear" w:color="auto" w:fill="FFFFFF"/>
        </w:rPr>
        <w:t>. Investment Appraisal of Sustainability Projects: An Assortment of Financial Measures. In </w:t>
      </w:r>
      <w:r w:rsidRPr="00BA5587">
        <w:rPr>
          <w:rFonts w:cs="Arial"/>
          <w:i/>
          <w:iCs/>
          <w:color w:val="222222"/>
          <w:shd w:val="clear" w:color="auto" w:fill="FFFFFF"/>
        </w:rPr>
        <w:t>Social, Economic, and Environmental Impacts Between Sustainable Financial Systems and Financial Markets</w:t>
      </w:r>
      <w:r w:rsidRPr="00BA5587">
        <w:rPr>
          <w:rFonts w:cs="Arial"/>
          <w:color w:val="222222"/>
          <w:shd w:val="clear" w:color="auto" w:fill="FFFFFF"/>
        </w:rPr>
        <w:t> (pp. 43-56). IGI Global.</w:t>
      </w:r>
    </w:p>
    <w:p w14:paraId="6886A99B" w14:textId="77777777" w:rsidR="00761056" w:rsidRPr="00BA5587" w:rsidRDefault="00761056" w:rsidP="00761056">
      <w:pPr>
        <w:rPr>
          <w:rFonts w:cs="Arial"/>
          <w:color w:val="222222"/>
          <w:shd w:val="clear" w:color="auto" w:fill="FFFFFF"/>
        </w:rPr>
      </w:pPr>
      <w:bookmarkStart w:id="33" w:name="_Hlk51355640"/>
      <w:r w:rsidRPr="00BA5587">
        <w:rPr>
          <w:rFonts w:cs="Arial"/>
          <w:color w:val="222222"/>
          <w:shd w:val="clear" w:color="auto" w:fill="FFFFFF"/>
        </w:rPr>
        <w:t xml:space="preserve">Tahir, M., Ibrahim, S. and </w:t>
      </w:r>
      <w:proofErr w:type="spellStart"/>
      <w:r w:rsidRPr="00BA5587">
        <w:rPr>
          <w:rFonts w:cs="Arial"/>
          <w:color w:val="222222"/>
          <w:shd w:val="clear" w:color="auto" w:fill="FFFFFF"/>
        </w:rPr>
        <w:t>Nurullah</w:t>
      </w:r>
      <w:proofErr w:type="spellEnd"/>
      <w:r w:rsidRPr="00BA5587">
        <w:rPr>
          <w:rFonts w:cs="Arial"/>
          <w:color w:val="222222"/>
          <w:shd w:val="clear" w:color="auto" w:fill="FFFFFF"/>
        </w:rPr>
        <w:t>, M., 2019</w:t>
      </w:r>
      <w:bookmarkEnd w:id="33"/>
      <w:r w:rsidRPr="00BA5587">
        <w:rPr>
          <w:rFonts w:cs="Arial"/>
          <w:color w:val="222222"/>
          <w:shd w:val="clear" w:color="auto" w:fill="FFFFFF"/>
        </w:rPr>
        <w:t>. Getting compensation right-The choice of performance measures in CEO bonus contracts and earnings management. </w:t>
      </w:r>
      <w:r w:rsidRPr="00BA5587">
        <w:rPr>
          <w:rFonts w:cs="Arial"/>
          <w:i/>
          <w:iCs/>
          <w:color w:val="222222"/>
          <w:shd w:val="clear" w:color="auto" w:fill="FFFFFF"/>
        </w:rPr>
        <w:t>The British Accounting Review</w:t>
      </w:r>
      <w:r w:rsidRPr="00BA5587">
        <w:rPr>
          <w:rFonts w:cs="Arial"/>
          <w:color w:val="222222"/>
          <w:shd w:val="clear" w:color="auto" w:fill="FFFFFF"/>
        </w:rPr>
        <w:t>, </w:t>
      </w:r>
      <w:r w:rsidRPr="00BA5587">
        <w:rPr>
          <w:rFonts w:cs="Arial"/>
          <w:i/>
          <w:iCs/>
          <w:color w:val="222222"/>
          <w:shd w:val="clear" w:color="auto" w:fill="FFFFFF"/>
        </w:rPr>
        <w:t>51</w:t>
      </w:r>
      <w:r w:rsidRPr="00BA5587">
        <w:rPr>
          <w:rFonts w:cs="Arial"/>
          <w:color w:val="222222"/>
          <w:shd w:val="clear" w:color="auto" w:fill="FFFFFF"/>
        </w:rPr>
        <w:t>(2), pp.148-169.</w:t>
      </w:r>
    </w:p>
    <w:p w14:paraId="112580DE" w14:textId="77777777" w:rsidR="00761056" w:rsidRPr="00BA5587" w:rsidRDefault="00761056" w:rsidP="00761056">
      <w:pPr>
        <w:rPr>
          <w:rFonts w:cs="Arial"/>
          <w:shd w:val="clear" w:color="auto" w:fill="FFFFFF"/>
        </w:rPr>
      </w:pPr>
      <w:bookmarkStart w:id="34" w:name="_Hlk51355825"/>
      <w:proofErr w:type="spellStart"/>
      <w:r w:rsidRPr="00BA5587">
        <w:rPr>
          <w:rFonts w:cs="Arial"/>
          <w:shd w:val="clear" w:color="auto" w:fill="FFFFFF"/>
        </w:rPr>
        <w:t>tescoplc</w:t>
      </w:r>
      <w:proofErr w:type="spellEnd"/>
      <w:r w:rsidRPr="00BA5587">
        <w:rPr>
          <w:rFonts w:cs="Arial"/>
          <w:shd w:val="clear" w:color="auto" w:fill="FFFFFF"/>
        </w:rPr>
        <w:t>, 2020</w:t>
      </w:r>
      <w:bookmarkEnd w:id="34"/>
      <w:r w:rsidRPr="00BA5587">
        <w:rPr>
          <w:rFonts w:cs="Arial"/>
          <w:shd w:val="clear" w:color="auto" w:fill="FFFFFF"/>
        </w:rPr>
        <w:t>. </w:t>
      </w:r>
      <w:r w:rsidRPr="00BA5587">
        <w:rPr>
          <w:rFonts w:cs="Arial"/>
          <w:i/>
          <w:iCs/>
          <w:shd w:val="clear" w:color="auto" w:fill="FFFFFF"/>
        </w:rPr>
        <w:t>Annual Report 2020</w:t>
      </w:r>
      <w:r w:rsidRPr="00BA5587">
        <w:rPr>
          <w:rFonts w:cs="Arial"/>
          <w:shd w:val="clear" w:color="auto" w:fill="FFFFFF"/>
        </w:rPr>
        <w:t>. [online] Tesco PLC. Available at: &lt;https://www.tescoplc.com/investors/reports-results-and-presentations/annual-report-2020/&gt; [Accessed 17 September 2020].</w:t>
      </w:r>
    </w:p>
    <w:p w14:paraId="66CD8B27" w14:textId="77777777" w:rsidR="00761056" w:rsidRPr="00BA5587" w:rsidRDefault="00761056" w:rsidP="00761056">
      <w:pPr>
        <w:rPr>
          <w:rFonts w:cs="Arial"/>
          <w:color w:val="222222"/>
          <w:shd w:val="clear" w:color="auto" w:fill="FFFFFF"/>
        </w:rPr>
      </w:pPr>
      <w:bookmarkStart w:id="35" w:name="_Hlk51355499"/>
      <w:proofErr w:type="spellStart"/>
      <w:r w:rsidRPr="00BA5587">
        <w:rPr>
          <w:rFonts w:cs="Arial"/>
          <w:color w:val="222222"/>
          <w:shd w:val="clear" w:color="auto" w:fill="FFFFFF"/>
        </w:rPr>
        <w:t>Tzouvanas</w:t>
      </w:r>
      <w:proofErr w:type="spellEnd"/>
      <w:r w:rsidRPr="00BA5587">
        <w:rPr>
          <w:rFonts w:cs="Arial"/>
          <w:color w:val="222222"/>
          <w:shd w:val="clear" w:color="auto" w:fill="FFFFFF"/>
        </w:rPr>
        <w:t xml:space="preserve">, P., </w:t>
      </w:r>
      <w:proofErr w:type="spellStart"/>
      <w:r w:rsidRPr="00BA5587">
        <w:rPr>
          <w:rFonts w:cs="Arial"/>
          <w:color w:val="222222"/>
          <w:shd w:val="clear" w:color="auto" w:fill="FFFFFF"/>
        </w:rPr>
        <w:t>Kizys</w:t>
      </w:r>
      <w:proofErr w:type="spellEnd"/>
      <w:r w:rsidRPr="00BA5587">
        <w:rPr>
          <w:rFonts w:cs="Arial"/>
          <w:color w:val="222222"/>
          <w:shd w:val="clear" w:color="auto" w:fill="FFFFFF"/>
        </w:rPr>
        <w:t xml:space="preserve">, R., </w:t>
      </w:r>
      <w:proofErr w:type="spellStart"/>
      <w:r w:rsidRPr="00BA5587">
        <w:rPr>
          <w:rFonts w:cs="Arial"/>
          <w:color w:val="222222"/>
          <w:shd w:val="clear" w:color="auto" w:fill="FFFFFF"/>
        </w:rPr>
        <w:t>Chatziantoniou</w:t>
      </w:r>
      <w:proofErr w:type="spellEnd"/>
      <w:r w:rsidRPr="00BA5587">
        <w:rPr>
          <w:rFonts w:cs="Arial"/>
          <w:color w:val="222222"/>
          <w:shd w:val="clear" w:color="auto" w:fill="FFFFFF"/>
        </w:rPr>
        <w:t xml:space="preserve">, I. and </w:t>
      </w:r>
      <w:proofErr w:type="spellStart"/>
      <w:r w:rsidRPr="00BA5587">
        <w:rPr>
          <w:rFonts w:cs="Arial"/>
          <w:color w:val="222222"/>
          <w:shd w:val="clear" w:color="auto" w:fill="FFFFFF"/>
        </w:rPr>
        <w:t>Sagitova</w:t>
      </w:r>
      <w:proofErr w:type="spellEnd"/>
      <w:r w:rsidRPr="00BA5587">
        <w:rPr>
          <w:rFonts w:cs="Arial"/>
          <w:color w:val="222222"/>
          <w:shd w:val="clear" w:color="auto" w:fill="FFFFFF"/>
        </w:rPr>
        <w:t>, R., 2019</w:t>
      </w:r>
      <w:bookmarkEnd w:id="35"/>
      <w:r w:rsidRPr="00BA5587">
        <w:rPr>
          <w:rFonts w:cs="Arial"/>
          <w:color w:val="222222"/>
          <w:shd w:val="clear" w:color="auto" w:fill="FFFFFF"/>
        </w:rPr>
        <w:t>. Environmental and financial performance in the European manufacturing sector: An analysis of extreme tail dependency. </w:t>
      </w:r>
      <w:r w:rsidRPr="00BA5587">
        <w:rPr>
          <w:rFonts w:cs="Arial"/>
          <w:i/>
          <w:iCs/>
          <w:color w:val="222222"/>
          <w:shd w:val="clear" w:color="auto" w:fill="FFFFFF"/>
        </w:rPr>
        <w:t>The British Accounting Review</w:t>
      </w:r>
      <w:r w:rsidRPr="00BA5587">
        <w:rPr>
          <w:rFonts w:cs="Arial"/>
          <w:color w:val="222222"/>
          <w:shd w:val="clear" w:color="auto" w:fill="FFFFFF"/>
        </w:rPr>
        <w:t>, p.100863.</w:t>
      </w:r>
    </w:p>
    <w:p w14:paraId="76605472" w14:textId="77777777" w:rsidR="00761056" w:rsidRPr="00BA5587" w:rsidRDefault="00761056" w:rsidP="00761056">
      <w:pPr>
        <w:rPr>
          <w:rFonts w:cs="Arial"/>
          <w:color w:val="222222"/>
          <w:shd w:val="clear" w:color="auto" w:fill="FFFFFF"/>
        </w:rPr>
      </w:pPr>
      <w:bookmarkStart w:id="36" w:name="_Hlk51355670"/>
      <w:r w:rsidRPr="00BA5587">
        <w:rPr>
          <w:rFonts w:cs="Arial"/>
          <w:color w:val="222222"/>
          <w:shd w:val="clear" w:color="auto" w:fill="FFFFFF"/>
        </w:rPr>
        <w:t xml:space="preserve">Vilas, A.F., Redondo, R.P.D., Crockett, K., </w:t>
      </w:r>
      <w:proofErr w:type="spellStart"/>
      <w:r w:rsidRPr="00BA5587">
        <w:rPr>
          <w:rFonts w:cs="Arial"/>
          <w:color w:val="222222"/>
          <w:shd w:val="clear" w:color="auto" w:fill="FFFFFF"/>
        </w:rPr>
        <w:t>Owda</w:t>
      </w:r>
      <w:proofErr w:type="spellEnd"/>
      <w:r w:rsidRPr="00BA5587">
        <w:rPr>
          <w:rFonts w:cs="Arial"/>
          <w:color w:val="222222"/>
          <w:shd w:val="clear" w:color="auto" w:fill="FFFFFF"/>
        </w:rPr>
        <w:t>, M. and Evans, L., 2019</w:t>
      </w:r>
      <w:bookmarkEnd w:id="36"/>
      <w:r w:rsidRPr="00BA5587">
        <w:rPr>
          <w:rFonts w:cs="Arial"/>
          <w:color w:val="222222"/>
          <w:shd w:val="clear" w:color="auto" w:fill="FFFFFF"/>
        </w:rPr>
        <w:t>. Twitter permeability to financial events: an experiment towards a model for sensing irregularities. </w:t>
      </w:r>
      <w:r w:rsidRPr="00BA5587">
        <w:rPr>
          <w:rFonts w:cs="Arial"/>
          <w:i/>
          <w:iCs/>
          <w:color w:val="222222"/>
          <w:shd w:val="clear" w:color="auto" w:fill="FFFFFF"/>
        </w:rPr>
        <w:t>Multimedia Tools and Applications</w:t>
      </w:r>
      <w:r w:rsidRPr="00BA5587">
        <w:rPr>
          <w:rFonts w:cs="Arial"/>
          <w:color w:val="222222"/>
          <w:shd w:val="clear" w:color="auto" w:fill="FFFFFF"/>
        </w:rPr>
        <w:t>, </w:t>
      </w:r>
      <w:r w:rsidRPr="00BA5587">
        <w:rPr>
          <w:rFonts w:cs="Arial"/>
          <w:i/>
          <w:iCs/>
          <w:color w:val="222222"/>
          <w:shd w:val="clear" w:color="auto" w:fill="FFFFFF"/>
        </w:rPr>
        <w:t>78</w:t>
      </w:r>
      <w:r w:rsidRPr="00BA5587">
        <w:rPr>
          <w:rFonts w:cs="Arial"/>
          <w:color w:val="222222"/>
          <w:shd w:val="clear" w:color="auto" w:fill="FFFFFF"/>
        </w:rPr>
        <w:t>(7), pp.9217-9245.</w:t>
      </w:r>
    </w:p>
    <w:p w14:paraId="68948E3A" w14:textId="77777777" w:rsidR="00761056" w:rsidRPr="00BA5587" w:rsidRDefault="00761056" w:rsidP="00761056">
      <w:pPr>
        <w:rPr>
          <w:rFonts w:cs="Arial"/>
        </w:rPr>
      </w:pPr>
      <w:proofErr w:type="spellStart"/>
      <w:r w:rsidRPr="00BA5587">
        <w:rPr>
          <w:rFonts w:cs="Arial"/>
          <w:color w:val="222222"/>
          <w:shd w:val="clear" w:color="auto" w:fill="FFFFFF"/>
        </w:rPr>
        <w:t>Wijnen</w:t>
      </w:r>
      <w:proofErr w:type="spellEnd"/>
      <w:r w:rsidRPr="00BA5587">
        <w:rPr>
          <w:rFonts w:cs="Arial"/>
          <w:color w:val="222222"/>
          <w:shd w:val="clear" w:color="auto" w:fill="FFFFFF"/>
        </w:rPr>
        <w:t xml:space="preserve">, B.F., </w:t>
      </w:r>
      <w:proofErr w:type="spellStart"/>
      <w:r w:rsidRPr="00BA5587">
        <w:rPr>
          <w:rFonts w:cs="Arial"/>
          <w:color w:val="222222"/>
          <w:shd w:val="clear" w:color="auto" w:fill="FFFFFF"/>
        </w:rPr>
        <w:t>Lokkerbol</w:t>
      </w:r>
      <w:proofErr w:type="spellEnd"/>
      <w:r w:rsidRPr="00BA5587">
        <w:rPr>
          <w:rFonts w:cs="Arial"/>
          <w:color w:val="222222"/>
          <w:shd w:val="clear" w:color="auto" w:fill="FFFFFF"/>
        </w:rPr>
        <w:t xml:space="preserve">, J., Boot, C., </w:t>
      </w:r>
      <w:proofErr w:type="spellStart"/>
      <w:r w:rsidRPr="00BA5587">
        <w:rPr>
          <w:rFonts w:cs="Arial"/>
          <w:color w:val="222222"/>
          <w:shd w:val="clear" w:color="auto" w:fill="FFFFFF"/>
        </w:rPr>
        <w:t>Havermans</w:t>
      </w:r>
      <w:proofErr w:type="spellEnd"/>
      <w:r w:rsidRPr="00BA5587">
        <w:rPr>
          <w:rFonts w:cs="Arial"/>
          <w:color w:val="222222"/>
          <w:shd w:val="clear" w:color="auto" w:fill="FFFFFF"/>
        </w:rPr>
        <w:t>, B.M., van der Beek, A.J. and Smit, F., 2020. Implementing interventions to reduce work-related stress among health-care workers: an investment appraisal from the employer’s perspective. </w:t>
      </w:r>
      <w:r w:rsidRPr="00BA5587">
        <w:rPr>
          <w:rFonts w:cs="Arial"/>
          <w:i/>
          <w:iCs/>
          <w:color w:val="222222"/>
          <w:shd w:val="clear" w:color="auto" w:fill="FFFFFF"/>
        </w:rPr>
        <w:t>International Archives of Occupational and Environmental Health</w:t>
      </w:r>
      <w:r w:rsidRPr="00BA5587">
        <w:rPr>
          <w:rFonts w:cs="Arial"/>
          <w:color w:val="222222"/>
          <w:shd w:val="clear" w:color="auto" w:fill="FFFFFF"/>
        </w:rPr>
        <w:t>, </w:t>
      </w:r>
      <w:r w:rsidRPr="00BA5587">
        <w:rPr>
          <w:rFonts w:cs="Arial"/>
          <w:i/>
          <w:iCs/>
          <w:color w:val="222222"/>
          <w:shd w:val="clear" w:color="auto" w:fill="FFFFFF"/>
        </w:rPr>
        <w:t>93</w:t>
      </w:r>
      <w:r w:rsidRPr="00BA5587">
        <w:rPr>
          <w:rFonts w:cs="Arial"/>
          <w:color w:val="222222"/>
          <w:shd w:val="clear" w:color="auto" w:fill="FFFFFF"/>
        </w:rPr>
        <w:t>(1), pp.123-132.</w:t>
      </w:r>
    </w:p>
    <w:p w14:paraId="262127CE" w14:textId="77777777" w:rsidR="00761056" w:rsidRPr="00BA5587" w:rsidRDefault="00761056" w:rsidP="00761056">
      <w:pPr>
        <w:rPr>
          <w:rFonts w:cs="Arial"/>
          <w:color w:val="222222"/>
          <w:shd w:val="clear" w:color="auto" w:fill="FFFFFF"/>
        </w:rPr>
      </w:pPr>
      <w:bookmarkStart w:id="37" w:name="_Hlk51355613"/>
      <w:proofErr w:type="spellStart"/>
      <w:r w:rsidRPr="00BA5587">
        <w:rPr>
          <w:rFonts w:cs="Arial"/>
          <w:color w:val="222222"/>
          <w:shd w:val="clear" w:color="auto" w:fill="FFFFFF"/>
        </w:rPr>
        <w:t>Xie</w:t>
      </w:r>
      <w:proofErr w:type="spellEnd"/>
      <w:r w:rsidRPr="00BA5587">
        <w:rPr>
          <w:rFonts w:cs="Arial"/>
          <w:color w:val="222222"/>
          <w:shd w:val="clear" w:color="auto" w:fill="FFFFFF"/>
        </w:rPr>
        <w:t xml:space="preserve">, X., </w:t>
      </w:r>
      <w:proofErr w:type="spellStart"/>
      <w:r w:rsidRPr="00BA5587">
        <w:rPr>
          <w:rFonts w:cs="Arial"/>
          <w:color w:val="222222"/>
          <w:shd w:val="clear" w:color="auto" w:fill="FFFFFF"/>
        </w:rPr>
        <w:t>Huo</w:t>
      </w:r>
      <w:proofErr w:type="spellEnd"/>
      <w:r w:rsidRPr="00BA5587">
        <w:rPr>
          <w:rFonts w:cs="Arial"/>
          <w:color w:val="222222"/>
          <w:shd w:val="clear" w:color="auto" w:fill="FFFFFF"/>
        </w:rPr>
        <w:t>, J. and Zou, H., 2019</w:t>
      </w:r>
      <w:bookmarkEnd w:id="37"/>
      <w:r w:rsidRPr="00BA5587">
        <w:rPr>
          <w:rFonts w:cs="Arial"/>
          <w:color w:val="222222"/>
          <w:shd w:val="clear" w:color="auto" w:fill="FFFFFF"/>
        </w:rPr>
        <w:t>. Green process innovation, green product innovation, and corporate financial performance: A content analysis method. </w:t>
      </w:r>
      <w:r w:rsidRPr="00BA5587">
        <w:rPr>
          <w:rFonts w:cs="Arial"/>
          <w:i/>
          <w:iCs/>
          <w:color w:val="222222"/>
          <w:shd w:val="clear" w:color="auto" w:fill="FFFFFF"/>
        </w:rPr>
        <w:t>Journal of Business Research</w:t>
      </w:r>
      <w:r w:rsidRPr="00BA5587">
        <w:rPr>
          <w:rFonts w:cs="Arial"/>
          <w:color w:val="222222"/>
          <w:shd w:val="clear" w:color="auto" w:fill="FFFFFF"/>
        </w:rPr>
        <w:t>, </w:t>
      </w:r>
      <w:r w:rsidRPr="00BA5587">
        <w:rPr>
          <w:rFonts w:cs="Arial"/>
          <w:i/>
          <w:iCs/>
          <w:color w:val="222222"/>
          <w:shd w:val="clear" w:color="auto" w:fill="FFFFFF"/>
        </w:rPr>
        <w:t>101</w:t>
      </w:r>
      <w:r w:rsidRPr="00BA5587">
        <w:rPr>
          <w:rFonts w:cs="Arial"/>
          <w:color w:val="222222"/>
          <w:shd w:val="clear" w:color="auto" w:fill="FFFFFF"/>
        </w:rPr>
        <w:t>, pp.697-706.</w:t>
      </w:r>
    </w:p>
    <w:p w14:paraId="4FCB32E5" w14:textId="5AC5226F" w:rsidR="007E7348" w:rsidRPr="00BA5587" w:rsidRDefault="007E7348">
      <w:pPr>
        <w:spacing w:line="259" w:lineRule="auto"/>
        <w:jc w:val="left"/>
        <w:rPr>
          <w:rFonts w:cs="Arial"/>
        </w:rPr>
      </w:pPr>
      <w:r w:rsidRPr="00BA5587">
        <w:rPr>
          <w:rFonts w:cs="Arial"/>
        </w:rPr>
        <w:br w:type="page"/>
      </w:r>
    </w:p>
    <w:p w14:paraId="57C6E440" w14:textId="114114C0" w:rsidR="00A16144" w:rsidRPr="00BA5587" w:rsidRDefault="007E7348" w:rsidP="007E7348">
      <w:pPr>
        <w:pStyle w:val="Heading1"/>
        <w:rPr>
          <w:rFonts w:cs="Arial"/>
        </w:rPr>
      </w:pPr>
      <w:bookmarkStart w:id="38" w:name="_Toc51356203"/>
      <w:r w:rsidRPr="00BA5587">
        <w:rPr>
          <w:rFonts w:cs="Arial"/>
        </w:rPr>
        <w:t>Appendix: showing the Investment appraisals under several methods</w:t>
      </w:r>
      <w:bookmarkEnd w:id="38"/>
    </w:p>
    <w:p w14:paraId="4F1ABD88" w14:textId="77777777" w:rsidR="007E7348" w:rsidRPr="00BA5587" w:rsidRDefault="007E7348" w:rsidP="007E7348">
      <w:pPr>
        <w:rPr>
          <w:rFonts w:cs="Arial"/>
        </w:rPr>
      </w:pPr>
    </w:p>
    <w:p w14:paraId="340313D9" w14:textId="5F356D32" w:rsidR="007E7348" w:rsidRPr="00BA5587" w:rsidRDefault="007E7348" w:rsidP="007E7348">
      <w:pPr>
        <w:jc w:val="center"/>
        <w:rPr>
          <w:rFonts w:cs="Arial"/>
        </w:rPr>
      </w:pPr>
      <w:r w:rsidRPr="00BA5587">
        <w:rPr>
          <w:rFonts w:cs="Arial"/>
          <w:noProof/>
          <w:lang w:val="bg-BG" w:eastAsia="bg-BG"/>
        </w:rPr>
        <w:drawing>
          <wp:inline distT="0" distB="0" distL="0" distR="0" wp14:anchorId="1FAB034A" wp14:editId="596D227D">
            <wp:extent cx="6239828" cy="1301750"/>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43852" cy="1302590"/>
                    </a:xfrm>
                    <a:prstGeom prst="rect">
                      <a:avLst/>
                    </a:prstGeom>
                  </pic:spPr>
                </pic:pic>
              </a:graphicData>
            </a:graphic>
          </wp:inline>
        </w:drawing>
      </w:r>
    </w:p>
    <w:p w14:paraId="0BDBA4F6" w14:textId="77777777" w:rsidR="007E7348" w:rsidRPr="00BA5587" w:rsidRDefault="007E7348" w:rsidP="007E7348">
      <w:pPr>
        <w:rPr>
          <w:rFonts w:cs="Arial"/>
        </w:rPr>
      </w:pPr>
    </w:p>
    <w:p w14:paraId="335CA111" w14:textId="77777777" w:rsidR="00E941F3" w:rsidRPr="00BA5587" w:rsidRDefault="00E941F3" w:rsidP="00E941F3">
      <w:pPr>
        <w:rPr>
          <w:rFonts w:cs="Arial"/>
        </w:rPr>
      </w:pPr>
    </w:p>
    <w:sectPr w:rsidR="00E941F3" w:rsidRPr="00BA5587" w:rsidSect="00E941F3">
      <w:footerReference w:type="default" r:id="rId21"/>
      <w:pgSz w:w="11906" w:h="16838"/>
      <w:pgMar w:top="1440" w:right="1440" w:bottom="1440" w:left="1440" w:header="708" w:footer="708" w:gutter="0"/>
      <w:pgBorders w:offsetFrom="page">
        <w:top w:val="dotDash" w:sz="4" w:space="24" w:color="auto" w:shadow="1"/>
        <w:left w:val="dotDash" w:sz="4" w:space="24" w:color="auto" w:shadow="1"/>
        <w:bottom w:val="dotDash" w:sz="4" w:space="24" w:color="auto" w:shadow="1"/>
        <w:right w:val="dotDash" w:sz="4" w:space="24" w:color="auto" w:shadow="1"/>
      </w:pgBorders>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4860E7" w14:textId="77777777" w:rsidR="009A09EA" w:rsidRDefault="009A09EA" w:rsidP="00E941F3">
      <w:pPr>
        <w:spacing w:after="0" w:line="240" w:lineRule="auto"/>
      </w:pPr>
      <w:r>
        <w:separator/>
      </w:r>
    </w:p>
  </w:endnote>
  <w:endnote w:type="continuationSeparator" w:id="0">
    <w:p w14:paraId="47422898" w14:textId="77777777" w:rsidR="009A09EA" w:rsidRDefault="009A09EA" w:rsidP="00E94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 w:name="Cambria Math">
    <w:panose1 w:val="02040503050406030204"/>
    <w:charset w:val="CC"/>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18899903"/>
      <w:docPartObj>
        <w:docPartGallery w:val="Page Numbers (Bottom of Page)"/>
        <w:docPartUnique/>
      </w:docPartObj>
    </w:sdtPr>
    <w:sdtEndPr>
      <w:rPr>
        <w:noProof/>
      </w:rPr>
    </w:sdtEndPr>
    <w:sdtContent>
      <w:p w14:paraId="5636DC80" w14:textId="0CAD9C4E" w:rsidR="00961E31" w:rsidRDefault="00961E31">
        <w:pPr>
          <w:pStyle w:val="Footer"/>
          <w:jc w:val="right"/>
        </w:pPr>
        <w:r>
          <w:fldChar w:fldCharType="begin"/>
        </w:r>
        <w:r>
          <w:instrText xml:space="preserve"> PAGE   \* MERGEFORMAT </w:instrText>
        </w:r>
        <w:r>
          <w:fldChar w:fldCharType="separate"/>
        </w:r>
        <w:r w:rsidR="00702286">
          <w:rPr>
            <w:noProof/>
          </w:rPr>
          <w:t>7</w:t>
        </w:r>
        <w:r>
          <w:rPr>
            <w:noProof/>
          </w:rPr>
          <w:fldChar w:fldCharType="end"/>
        </w:r>
      </w:p>
    </w:sdtContent>
  </w:sdt>
  <w:p w14:paraId="2545BA34" w14:textId="77777777" w:rsidR="00961E31" w:rsidRDefault="00961E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294154B" w14:textId="77777777" w:rsidR="009A09EA" w:rsidRDefault="009A09EA" w:rsidP="00E941F3">
      <w:pPr>
        <w:spacing w:after="0" w:line="240" w:lineRule="auto"/>
      </w:pPr>
      <w:r>
        <w:separator/>
      </w:r>
    </w:p>
  </w:footnote>
  <w:footnote w:type="continuationSeparator" w:id="0">
    <w:p w14:paraId="0798FCDB" w14:textId="77777777" w:rsidR="009A09EA" w:rsidRDefault="009A09EA" w:rsidP="00E941F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46524DB"/>
    <w:multiLevelType w:val="multilevel"/>
    <w:tmpl w:val="2EACC6E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4208"/>
    <w:rsid w:val="00001E6F"/>
    <w:rsid w:val="00006929"/>
    <w:rsid w:val="00007BA9"/>
    <w:rsid w:val="000118C1"/>
    <w:rsid w:val="00024507"/>
    <w:rsid w:val="0003694C"/>
    <w:rsid w:val="00037C2F"/>
    <w:rsid w:val="00037EAB"/>
    <w:rsid w:val="000418E1"/>
    <w:rsid w:val="0005336E"/>
    <w:rsid w:val="00061675"/>
    <w:rsid w:val="00064A47"/>
    <w:rsid w:val="00074556"/>
    <w:rsid w:val="00077980"/>
    <w:rsid w:val="000856FB"/>
    <w:rsid w:val="00094EE7"/>
    <w:rsid w:val="00095D7D"/>
    <w:rsid w:val="00097E08"/>
    <w:rsid w:val="000A2C52"/>
    <w:rsid w:val="000A7047"/>
    <w:rsid w:val="000A7F9C"/>
    <w:rsid w:val="000C1F14"/>
    <w:rsid w:val="000C5244"/>
    <w:rsid w:val="000D3C64"/>
    <w:rsid w:val="000F30A7"/>
    <w:rsid w:val="00103F95"/>
    <w:rsid w:val="001040A4"/>
    <w:rsid w:val="00104577"/>
    <w:rsid w:val="00112482"/>
    <w:rsid w:val="00126CD1"/>
    <w:rsid w:val="00137EC1"/>
    <w:rsid w:val="00140A17"/>
    <w:rsid w:val="001442B8"/>
    <w:rsid w:val="00145142"/>
    <w:rsid w:val="00152E8F"/>
    <w:rsid w:val="00156F9B"/>
    <w:rsid w:val="00162D66"/>
    <w:rsid w:val="00175CA7"/>
    <w:rsid w:val="001809BA"/>
    <w:rsid w:val="0018143B"/>
    <w:rsid w:val="00184862"/>
    <w:rsid w:val="00186249"/>
    <w:rsid w:val="0018778E"/>
    <w:rsid w:val="00192542"/>
    <w:rsid w:val="001B04AD"/>
    <w:rsid w:val="001D3FA0"/>
    <w:rsid w:val="001E31B5"/>
    <w:rsid w:val="001F1B62"/>
    <w:rsid w:val="001F32F9"/>
    <w:rsid w:val="00205A89"/>
    <w:rsid w:val="00241361"/>
    <w:rsid w:val="00242F3B"/>
    <w:rsid w:val="00252BF2"/>
    <w:rsid w:val="00253581"/>
    <w:rsid w:val="002538E5"/>
    <w:rsid w:val="00253E12"/>
    <w:rsid w:val="002549FA"/>
    <w:rsid w:val="00254E66"/>
    <w:rsid w:val="00263550"/>
    <w:rsid w:val="00272F3C"/>
    <w:rsid w:val="00273C8B"/>
    <w:rsid w:val="00274C06"/>
    <w:rsid w:val="0028455E"/>
    <w:rsid w:val="002864D5"/>
    <w:rsid w:val="0029700D"/>
    <w:rsid w:val="002A0554"/>
    <w:rsid w:val="002B5042"/>
    <w:rsid w:val="002B6534"/>
    <w:rsid w:val="002C137C"/>
    <w:rsid w:val="002C4A38"/>
    <w:rsid w:val="002C7434"/>
    <w:rsid w:val="002D2556"/>
    <w:rsid w:val="002D2584"/>
    <w:rsid w:val="002D5A90"/>
    <w:rsid w:val="002D6EF3"/>
    <w:rsid w:val="002E277C"/>
    <w:rsid w:val="002E593C"/>
    <w:rsid w:val="002F11FF"/>
    <w:rsid w:val="002F17FC"/>
    <w:rsid w:val="002F3F4B"/>
    <w:rsid w:val="00307EFC"/>
    <w:rsid w:val="00311F2C"/>
    <w:rsid w:val="00314485"/>
    <w:rsid w:val="00326FE2"/>
    <w:rsid w:val="00337FF9"/>
    <w:rsid w:val="003410EC"/>
    <w:rsid w:val="00347534"/>
    <w:rsid w:val="003556BD"/>
    <w:rsid w:val="00384111"/>
    <w:rsid w:val="00387D74"/>
    <w:rsid w:val="00391CDD"/>
    <w:rsid w:val="00394766"/>
    <w:rsid w:val="003B0AFF"/>
    <w:rsid w:val="003B0BF3"/>
    <w:rsid w:val="003C37F3"/>
    <w:rsid w:val="003D5EE3"/>
    <w:rsid w:val="003F1E68"/>
    <w:rsid w:val="003F3A78"/>
    <w:rsid w:val="003F3F2C"/>
    <w:rsid w:val="00400B70"/>
    <w:rsid w:val="00434C70"/>
    <w:rsid w:val="00434F58"/>
    <w:rsid w:val="004419CD"/>
    <w:rsid w:val="0044303F"/>
    <w:rsid w:val="00451CA2"/>
    <w:rsid w:val="0046350F"/>
    <w:rsid w:val="00477180"/>
    <w:rsid w:val="004A71E2"/>
    <w:rsid w:val="004A71E4"/>
    <w:rsid w:val="004C38A7"/>
    <w:rsid w:val="004D7F92"/>
    <w:rsid w:val="004F508B"/>
    <w:rsid w:val="004F6EF5"/>
    <w:rsid w:val="005011DB"/>
    <w:rsid w:val="005079AC"/>
    <w:rsid w:val="00510A32"/>
    <w:rsid w:val="00514208"/>
    <w:rsid w:val="005179FD"/>
    <w:rsid w:val="005220DF"/>
    <w:rsid w:val="00523D01"/>
    <w:rsid w:val="00524A4C"/>
    <w:rsid w:val="00530D6B"/>
    <w:rsid w:val="00540734"/>
    <w:rsid w:val="00541F88"/>
    <w:rsid w:val="00555119"/>
    <w:rsid w:val="005763C8"/>
    <w:rsid w:val="005922BF"/>
    <w:rsid w:val="00597D4E"/>
    <w:rsid w:val="005A68F2"/>
    <w:rsid w:val="005A7996"/>
    <w:rsid w:val="005B26B4"/>
    <w:rsid w:val="005C0C9F"/>
    <w:rsid w:val="005C23E1"/>
    <w:rsid w:val="005C3C56"/>
    <w:rsid w:val="005E5519"/>
    <w:rsid w:val="00601D9D"/>
    <w:rsid w:val="00602721"/>
    <w:rsid w:val="00607859"/>
    <w:rsid w:val="0061251E"/>
    <w:rsid w:val="00614501"/>
    <w:rsid w:val="00615654"/>
    <w:rsid w:val="00621A1C"/>
    <w:rsid w:val="00625E23"/>
    <w:rsid w:val="00631453"/>
    <w:rsid w:val="006328FB"/>
    <w:rsid w:val="00637AD3"/>
    <w:rsid w:val="006412A7"/>
    <w:rsid w:val="00642D34"/>
    <w:rsid w:val="00655201"/>
    <w:rsid w:val="00655925"/>
    <w:rsid w:val="006566BD"/>
    <w:rsid w:val="006656FA"/>
    <w:rsid w:val="006672D5"/>
    <w:rsid w:val="0068073C"/>
    <w:rsid w:val="006818A0"/>
    <w:rsid w:val="00684207"/>
    <w:rsid w:val="0068646C"/>
    <w:rsid w:val="006A4E23"/>
    <w:rsid w:val="006A7B07"/>
    <w:rsid w:val="006B6417"/>
    <w:rsid w:val="006E2C4A"/>
    <w:rsid w:val="006E4ADB"/>
    <w:rsid w:val="006F2A28"/>
    <w:rsid w:val="006F69C1"/>
    <w:rsid w:val="00702286"/>
    <w:rsid w:val="007028CE"/>
    <w:rsid w:val="00704488"/>
    <w:rsid w:val="00710660"/>
    <w:rsid w:val="007119F6"/>
    <w:rsid w:val="00712B57"/>
    <w:rsid w:val="00714D90"/>
    <w:rsid w:val="0072284A"/>
    <w:rsid w:val="00722F18"/>
    <w:rsid w:val="00740E45"/>
    <w:rsid w:val="00753001"/>
    <w:rsid w:val="00761056"/>
    <w:rsid w:val="007613E9"/>
    <w:rsid w:val="007649F7"/>
    <w:rsid w:val="00766843"/>
    <w:rsid w:val="00784DE8"/>
    <w:rsid w:val="00785B72"/>
    <w:rsid w:val="00791247"/>
    <w:rsid w:val="007A0958"/>
    <w:rsid w:val="007A1DFA"/>
    <w:rsid w:val="007A2ED8"/>
    <w:rsid w:val="007B22AC"/>
    <w:rsid w:val="007B382D"/>
    <w:rsid w:val="007B4B38"/>
    <w:rsid w:val="007C3D56"/>
    <w:rsid w:val="007D1BBC"/>
    <w:rsid w:val="007D6DB0"/>
    <w:rsid w:val="007D768C"/>
    <w:rsid w:val="007E0462"/>
    <w:rsid w:val="007E134B"/>
    <w:rsid w:val="007E1656"/>
    <w:rsid w:val="007E7348"/>
    <w:rsid w:val="007F31FC"/>
    <w:rsid w:val="007F4919"/>
    <w:rsid w:val="00806147"/>
    <w:rsid w:val="00807BE0"/>
    <w:rsid w:val="008208BB"/>
    <w:rsid w:val="00822F08"/>
    <w:rsid w:val="008256FE"/>
    <w:rsid w:val="008270DC"/>
    <w:rsid w:val="00827502"/>
    <w:rsid w:val="00832880"/>
    <w:rsid w:val="00841DB3"/>
    <w:rsid w:val="0085422B"/>
    <w:rsid w:val="008574FB"/>
    <w:rsid w:val="00861A15"/>
    <w:rsid w:val="00863C8A"/>
    <w:rsid w:val="008644EE"/>
    <w:rsid w:val="00866BE8"/>
    <w:rsid w:val="00871108"/>
    <w:rsid w:val="00877633"/>
    <w:rsid w:val="00884D16"/>
    <w:rsid w:val="00887DE2"/>
    <w:rsid w:val="00897B90"/>
    <w:rsid w:val="008A592B"/>
    <w:rsid w:val="008B340F"/>
    <w:rsid w:val="008B52F4"/>
    <w:rsid w:val="008C0118"/>
    <w:rsid w:val="008C74B4"/>
    <w:rsid w:val="008D19B0"/>
    <w:rsid w:val="008F2A20"/>
    <w:rsid w:val="008F6A79"/>
    <w:rsid w:val="00907E23"/>
    <w:rsid w:val="00914350"/>
    <w:rsid w:val="00923521"/>
    <w:rsid w:val="00927B32"/>
    <w:rsid w:val="0093353C"/>
    <w:rsid w:val="00942557"/>
    <w:rsid w:val="0094336F"/>
    <w:rsid w:val="009575F5"/>
    <w:rsid w:val="00961E31"/>
    <w:rsid w:val="009741F9"/>
    <w:rsid w:val="009A00AB"/>
    <w:rsid w:val="009A09EA"/>
    <w:rsid w:val="009A676B"/>
    <w:rsid w:val="009C22C8"/>
    <w:rsid w:val="009C5F72"/>
    <w:rsid w:val="009D1683"/>
    <w:rsid w:val="009D4373"/>
    <w:rsid w:val="009D4923"/>
    <w:rsid w:val="009E488D"/>
    <w:rsid w:val="009E686C"/>
    <w:rsid w:val="009E7E21"/>
    <w:rsid w:val="009F483E"/>
    <w:rsid w:val="00A076E9"/>
    <w:rsid w:val="00A158A4"/>
    <w:rsid w:val="00A159C4"/>
    <w:rsid w:val="00A16144"/>
    <w:rsid w:val="00A16E0E"/>
    <w:rsid w:val="00A2745A"/>
    <w:rsid w:val="00A417E3"/>
    <w:rsid w:val="00A4773C"/>
    <w:rsid w:val="00A52B1F"/>
    <w:rsid w:val="00A52F49"/>
    <w:rsid w:val="00A5638E"/>
    <w:rsid w:val="00A651E5"/>
    <w:rsid w:val="00A706F8"/>
    <w:rsid w:val="00A8136B"/>
    <w:rsid w:val="00A85789"/>
    <w:rsid w:val="00A90200"/>
    <w:rsid w:val="00A92441"/>
    <w:rsid w:val="00A954DC"/>
    <w:rsid w:val="00A97302"/>
    <w:rsid w:val="00AA06A7"/>
    <w:rsid w:val="00AA6869"/>
    <w:rsid w:val="00AB6D3E"/>
    <w:rsid w:val="00AC2F54"/>
    <w:rsid w:val="00AC32EE"/>
    <w:rsid w:val="00AD556E"/>
    <w:rsid w:val="00AF0AB2"/>
    <w:rsid w:val="00AF3D30"/>
    <w:rsid w:val="00AF4C67"/>
    <w:rsid w:val="00B020E3"/>
    <w:rsid w:val="00B14218"/>
    <w:rsid w:val="00B16003"/>
    <w:rsid w:val="00B16B9E"/>
    <w:rsid w:val="00B17333"/>
    <w:rsid w:val="00B2554C"/>
    <w:rsid w:val="00B25D5F"/>
    <w:rsid w:val="00B27BBC"/>
    <w:rsid w:val="00B339E8"/>
    <w:rsid w:val="00B43886"/>
    <w:rsid w:val="00B533FB"/>
    <w:rsid w:val="00B53937"/>
    <w:rsid w:val="00B54B52"/>
    <w:rsid w:val="00B54FDC"/>
    <w:rsid w:val="00B70CFD"/>
    <w:rsid w:val="00B76758"/>
    <w:rsid w:val="00BA34FD"/>
    <w:rsid w:val="00BA5587"/>
    <w:rsid w:val="00BB1416"/>
    <w:rsid w:val="00BC0BDD"/>
    <w:rsid w:val="00BD5E2A"/>
    <w:rsid w:val="00BD6E26"/>
    <w:rsid w:val="00BE1FD6"/>
    <w:rsid w:val="00BE2DAB"/>
    <w:rsid w:val="00BE3E77"/>
    <w:rsid w:val="00BF4021"/>
    <w:rsid w:val="00C01973"/>
    <w:rsid w:val="00C02B8D"/>
    <w:rsid w:val="00C02D7C"/>
    <w:rsid w:val="00C10AF5"/>
    <w:rsid w:val="00C12097"/>
    <w:rsid w:val="00C1230A"/>
    <w:rsid w:val="00C16E0E"/>
    <w:rsid w:val="00C24B50"/>
    <w:rsid w:val="00C508CB"/>
    <w:rsid w:val="00C63858"/>
    <w:rsid w:val="00C6774E"/>
    <w:rsid w:val="00C71043"/>
    <w:rsid w:val="00C84E07"/>
    <w:rsid w:val="00C933C3"/>
    <w:rsid w:val="00C946B8"/>
    <w:rsid w:val="00CA422A"/>
    <w:rsid w:val="00CA458B"/>
    <w:rsid w:val="00CA4C75"/>
    <w:rsid w:val="00CB0303"/>
    <w:rsid w:val="00CB35F6"/>
    <w:rsid w:val="00CB7C8F"/>
    <w:rsid w:val="00CC1CCB"/>
    <w:rsid w:val="00CC2A7B"/>
    <w:rsid w:val="00CC39D8"/>
    <w:rsid w:val="00CE64C4"/>
    <w:rsid w:val="00D0439B"/>
    <w:rsid w:val="00D15648"/>
    <w:rsid w:val="00D205FB"/>
    <w:rsid w:val="00D224A6"/>
    <w:rsid w:val="00D2285B"/>
    <w:rsid w:val="00D431F2"/>
    <w:rsid w:val="00D43F9D"/>
    <w:rsid w:val="00D479E2"/>
    <w:rsid w:val="00D551B4"/>
    <w:rsid w:val="00D60E92"/>
    <w:rsid w:val="00D665E8"/>
    <w:rsid w:val="00D70BF8"/>
    <w:rsid w:val="00D721D5"/>
    <w:rsid w:val="00D738B1"/>
    <w:rsid w:val="00D75F51"/>
    <w:rsid w:val="00D76EDA"/>
    <w:rsid w:val="00D7785C"/>
    <w:rsid w:val="00D86966"/>
    <w:rsid w:val="00D95491"/>
    <w:rsid w:val="00DB22C6"/>
    <w:rsid w:val="00DB23C2"/>
    <w:rsid w:val="00DB2EC6"/>
    <w:rsid w:val="00DC02E3"/>
    <w:rsid w:val="00DC595C"/>
    <w:rsid w:val="00DC72D9"/>
    <w:rsid w:val="00DC7E84"/>
    <w:rsid w:val="00E02AB9"/>
    <w:rsid w:val="00E02E5B"/>
    <w:rsid w:val="00E03151"/>
    <w:rsid w:val="00E04048"/>
    <w:rsid w:val="00E22043"/>
    <w:rsid w:val="00E27E86"/>
    <w:rsid w:val="00E448AF"/>
    <w:rsid w:val="00E51FF8"/>
    <w:rsid w:val="00E62E65"/>
    <w:rsid w:val="00E663E7"/>
    <w:rsid w:val="00E73FE2"/>
    <w:rsid w:val="00E8747B"/>
    <w:rsid w:val="00E93F6C"/>
    <w:rsid w:val="00E941F3"/>
    <w:rsid w:val="00E95926"/>
    <w:rsid w:val="00EA06C5"/>
    <w:rsid w:val="00EA5CA3"/>
    <w:rsid w:val="00EB198E"/>
    <w:rsid w:val="00ED6146"/>
    <w:rsid w:val="00ED6C64"/>
    <w:rsid w:val="00EE0F26"/>
    <w:rsid w:val="00EE4F8B"/>
    <w:rsid w:val="00EE5259"/>
    <w:rsid w:val="00EF0F51"/>
    <w:rsid w:val="00EF377E"/>
    <w:rsid w:val="00EF4049"/>
    <w:rsid w:val="00F027D2"/>
    <w:rsid w:val="00F04688"/>
    <w:rsid w:val="00F10E73"/>
    <w:rsid w:val="00F12676"/>
    <w:rsid w:val="00F2013B"/>
    <w:rsid w:val="00F43E27"/>
    <w:rsid w:val="00F469F7"/>
    <w:rsid w:val="00F47923"/>
    <w:rsid w:val="00F5603C"/>
    <w:rsid w:val="00F5768D"/>
    <w:rsid w:val="00F7058E"/>
    <w:rsid w:val="00F7575B"/>
    <w:rsid w:val="00F76B68"/>
    <w:rsid w:val="00F81321"/>
    <w:rsid w:val="00F951D0"/>
    <w:rsid w:val="00FA0ECB"/>
    <w:rsid w:val="00FA4AEE"/>
    <w:rsid w:val="00FB02E0"/>
    <w:rsid w:val="00FB1A6E"/>
    <w:rsid w:val="00FB706D"/>
    <w:rsid w:val="00FC628C"/>
    <w:rsid w:val="00FD19AF"/>
    <w:rsid w:val="00FD1DA0"/>
    <w:rsid w:val="00FD77BF"/>
    <w:rsid w:val="00FE28EB"/>
    <w:rsid w:val="00FE4763"/>
    <w:rsid w:val="00FE6DEF"/>
    <w:rsid w:val="00FE75D3"/>
    <w:rsid w:val="00FE7752"/>
    <w:rsid w:val="00FF1172"/>
    <w:rsid w:val="00FF6B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E5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41F3"/>
    <w:pPr>
      <w:spacing w:line="360" w:lineRule="auto"/>
      <w:jc w:val="both"/>
    </w:pPr>
    <w:rPr>
      <w:rFonts w:ascii="Arial" w:hAnsi="Arial"/>
      <w:sz w:val="24"/>
    </w:rPr>
  </w:style>
  <w:style w:type="paragraph" w:styleId="Heading1">
    <w:name w:val="heading 1"/>
    <w:basedOn w:val="Normal"/>
    <w:next w:val="Normal"/>
    <w:link w:val="Heading1Char"/>
    <w:uiPriority w:val="9"/>
    <w:qFormat/>
    <w:rsid w:val="00E941F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941F3"/>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1F3"/>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E941F3"/>
    <w:rPr>
      <w:rFonts w:ascii="Arial" w:eastAsiaTheme="majorEastAsia" w:hAnsi="Arial" w:cstheme="majorBidi"/>
      <w:b/>
      <w:sz w:val="24"/>
      <w:szCs w:val="26"/>
    </w:rPr>
  </w:style>
  <w:style w:type="paragraph" w:styleId="Header">
    <w:name w:val="header"/>
    <w:basedOn w:val="Normal"/>
    <w:link w:val="HeaderChar"/>
    <w:uiPriority w:val="99"/>
    <w:unhideWhenUsed/>
    <w:rsid w:val="00E94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1F3"/>
    <w:rPr>
      <w:rFonts w:ascii="Arial" w:hAnsi="Arial"/>
      <w:sz w:val="24"/>
    </w:rPr>
  </w:style>
  <w:style w:type="paragraph" w:styleId="Footer">
    <w:name w:val="footer"/>
    <w:basedOn w:val="Normal"/>
    <w:link w:val="FooterChar"/>
    <w:uiPriority w:val="99"/>
    <w:unhideWhenUsed/>
    <w:rsid w:val="00E94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1F3"/>
    <w:rPr>
      <w:rFonts w:ascii="Arial" w:hAnsi="Arial"/>
      <w:sz w:val="24"/>
    </w:rPr>
  </w:style>
  <w:style w:type="paragraph" w:styleId="ListParagraph">
    <w:name w:val="List Paragraph"/>
    <w:basedOn w:val="Normal"/>
    <w:uiPriority w:val="34"/>
    <w:qFormat/>
    <w:rsid w:val="00037EAB"/>
    <w:pPr>
      <w:ind w:left="720"/>
      <w:contextualSpacing/>
    </w:pPr>
  </w:style>
  <w:style w:type="table" w:styleId="TableGrid">
    <w:name w:val="Table Grid"/>
    <w:basedOn w:val="TableNormal"/>
    <w:uiPriority w:val="39"/>
    <w:rsid w:val="00961E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A558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A5587"/>
    <w:pPr>
      <w:spacing w:after="100"/>
    </w:pPr>
  </w:style>
  <w:style w:type="paragraph" w:styleId="TOC2">
    <w:name w:val="toc 2"/>
    <w:basedOn w:val="Normal"/>
    <w:next w:val="Normal"/>
    <w:autoRedefine/>
    <w:uiPriority w:val="39"/>
    <w:unhideWhenUsed/>
    <w:rsid w:val="00BA5587"/>
    <w:pPr>
      <w:spacing w:after="100"/>
      <w:ind w:left="240"/>
    </w:pPr>
  </w:style>
  <w:style w:type="character" w:styleId="Hyperlink">
    <w:name w:val="Hyperlink"/>
    <w:basedOn w:val="DefaultParagraphFont"/>
    <w:uiPriority w:val="99"/>
    <w:unhideWhenUsed/>
    <w:rsid w:val="00BA5587"/>
    <w:rPr>
      <w:color w:val="0563C1" w:themeColor="hyperlink"/>
      <w:u w:val="single"/>
    </w:rPr>
  </w:style>
  <w:style w:type="paragraph" w:styleId="BalloonText">
    <w:name w:val="Balloon Text"/>
    <w:basedOn w:val="Normal"/>
    <w:link w:val="BalloonTextChar"/>
    <w:uiPriority w:val="99"/>
    <w:semiHidden/>
    <w:unhideWhenUsed/>
    <w:rsid w:val="007022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228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41F3"/>
    <w:pPr>
      <w:spacing w:line="360" w:lineRule="auto"/>
      <w:jc w:val="both"/>
    </w:pPr>
    <w:rPr>
      <w:rFonts w:ascii="Arial" w:hAnsi="Arial"/>
      <w:sz w:val="24"/>
    </w:rPr>
  </w:style>
  <w:style w:type="paragraph" w:styleId="Heading1">
    <w:name w:val="heading 1"/>
    <w:basedOn w:val="Normal"/>
    <w:next w:val="Normal"/>
    <w:link w:val="Heading1Char"/>
    <w:uiPriority w:val="9"/>
    <w:qFormat/>
    <w:rsid w:val="00E941F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941F3"/>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1F3"/>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E941F3"/>
    <w:rPr>
      <w:rFonts w:ascii="Arial" w:eastAsiaTheme="majorEastAsia" w:hAnsi="Arial" w:cstheme="majorBidi"/>
      <w:b/>
      <w:sz w:val="24"/>
      <w:szCs w:val="26"/>
    </w:rPr>
  </w:style>
  <w:style w:type="paragraph" w:styleId="Header">
    <w:name w:val="header"/>
    <w:basedOn w:val="Normal"/>
    <w:link w:val="HeaderChar"/>
    <w:uiPriority w:val="99"/>
    <w:unhideWhenUsed/>
    <w:rsid w:val="00E94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1F3"/>
    <w:rPr>
      <w:rFonts w:ascii="Arial" w:hAnsi="Arial"/>
      <w:sz w:val="24"/>
    </w:rPr>
  </w:style>
  <w:style w:type="paragraph" w:styleId="Footer">
    <w:name w:val="footer"/>
    <w:basedOn w:val="Normal"/>
    <w:link w:val="FooterChar"/>
    <w:uiPriority w:val="99"/>
    <w:unhideWhenUsed/>
    <w:rsid w:val="00E94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1F3"/>
    <w:rPr>
      <w:rFonts w:ascii="Arial" w:hAnsi="Arial"/>
      <w:sz w:val="24"/>
    </w:rPr>
  </w:style>
  <w:style w:type="paragraph" w:styleId="ListParagraph">
    <w:name w:val="List Paragraph"/>
    <w:basedOn w:val="Normal"/>
    <w:uiPriority w:val="34"/>
    <w:qFormat/>
    <w:rsid w:val="00037EAB"/>
    <w:pPr>
      <w:ind w:left="720"/>
      <w:contextualSpacing/>
    </w:pPr>
  </w:style>
  <w:style w:type="table" w:styleId="TableGrid">
    <w:name w:val="Table Grid"/>
    <w:basedOn w:val="TableNormal"/>
    <w:uiPriority w:val="39"/>
    <w:rsid w:val="00961E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A558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A5587"/>
    <w:pPr>
      <w:spacing w:after="100"/>
    </w:pPr>
  </w:style>
  <w:style w:type="paragraph" w:styleId="TOC2">
    <w:name w:val="toc 2"/>
    <w:basedOn w:val="Normal"/>
    <w:next w:val="Normal"/>
    <w:autoRedefine/>
    <w:uiPriority w:val="39"/>
    <w:unhideWhenUsed/>
    <w:rsid w:val="00BA5587"/>
    <w:pPr>
      <w:spacing w:after="100"/>
      <w:ind w:left="240"/>
    </w:pPr>
  </w:style>
  <w:style w:type="character" w:styleId="Hyperlink">
    <w:name w:val="Hyperlink"/>
    <w:basedOn w:val="DefaultParagraphFont"/>
    <w:uiPriority w:val="99"/>
    <w:unhideWhenUsed/>
    <w:rsid w:val="00BA5587"/>
    <w:rPr>
      <w:color w:val="0563C1" w:themeColor="hyperlink"/>
      <w:u w:val="single"/>
    </w:rPr>
  </w:style>
  <w:style w:type="paragraph" w:styleId="BalloonText">
    <w:name w:val="Balloon Text"/>
    <w:basedOn w:val="Normal"/>
    <w:link w:val="BalloonTextChar"/>
    <w:uiPriority w:val="99"/>
    <w:semiHidden/>
    <w:unhideWhenUsed/>
    <w:rsid w:val="007022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22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chart" Target="charts/chart4.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chart" Target="charts/chart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chart" Target="charts/chart5.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D:\Dexterous\September\17\DWRS_AS_252_150920180920\DWRS_AS_252_150920180920.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Dexterous\September\17\DWRS_AS_252_150920180920\DWRS_AS_252_150920180920.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Dexterous\September\17\DWRS_AS_252_150920180920\DWRS_AS_252_150920180920.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Dexterous\September\18\DWRS_AS_252_150920180920\DWRS_AS_252_150920180920.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Dexterous\September\18\DWRS_AS_252_150920180920\DWRS_AS_252_150920180920.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o/p</a:t>
            </a: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Sheet1!$B$16</c:f>
              <c:strCache>
                <c:ptCount val="1"/>
                <c:pt idx="0">
                  <c:v>Tesco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numRef>
              <c:f>Sheet1!$C$15:$G$15</c:f>
              <c:numCache>
                <c:formatCode>General</c:formatCode>
                <c:ptCount val="5"/>
                <c:pt idx="0">
                  <c:v>2019</c:v>
                </c:pt>
                <c:pt idx="1">
                  <c:v>2018</c:v>
                </c:pt>
                <c:pt idx="2">
                  <c:v>2017</c:v>
                </c:pt>
                <c:pt idx="3">
                  <c:v>2016</c:v>
                </c:pt>
                <c:pt idx="4">
                  <c:v>2015</c:v>
                </c:pt>
              </c:numCache>
            </c:numRef>
          </c:cat>
          <c:val>
            <c:numRef>
              <c:f>Sheet1!$C$16:$G$16</c:f>
              <c:numCache>
                <c:formatCode>0.00</c:formatCode>
                <c:ptCount val="5"/>
                <c:pt idx="0">
                  <c:v>3.3687471640249727</c:v>
                </c:pt>
                <c:pt idx="1">
                  <c:v>3.1986502704677093</c:v>
                </c:pt>
                <c:pt idx="2">
                  <c:v>1.8187671012393369</c:v>
                </c:pt>
                <c:pt idx="3">
                  <c:v>1.9216284239340107</c:v>
                </c:pt>
                <c:pt idx="4">
                  <c:v>-10.1010101010101</c:v>
                </c:pt>
              </c:numCache>
            </c:numRef>
          </c:val>
          <c:extLst xmlns:c16r2="http://schemas.microsoft.com/office/drawing/2015/06/chart">
            <c:ext xmlns:c16="http://schemas.microsoft.com/office/drawing/2014/chart" uri="{C3380CC4-5D6E-409C-BE32-E72D297353CC}">
              <c16:uniqueId val="{00000000-6395-46CD-BAC8-BD2B273EE918}"/>
            </c:ext>
          </c:extLst>
        </c:ser>
        <c:ser>
          <c:idx val="1"/>
          <c:order val="1"/>
          <c:tx>
            <c:strRef>
              <c:f>Sheet1!$B$17</c:f>
              <c:strCache>
                <c:ptCount val="1"/>
                <c:pt idx="0">
                  <c:v>Sainsbury</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numRef>
              <c:f>Sheet1!$C$15:$G$15</c:f>
              <c:numCache>
                <c:formatCode>General</c:formatCode>
                <c:ptCount val="5"/>
                <c:pt idx="0">
                  <c:v>2019</c:v>
                </c:pt>
                <c:pt idx="1">
                  <c:v>2018</c:v>
                </c:pt>
                <c:pt idx="2">
                  <c:v>2017</c:v>
                </c:pt>
                <c:pt idx="3">
                  <c:v>2016</c:v>
                </c:pt>
                <c:pt idx="4">
                  <c:v>2015</c:v>
                </c:pt>
              </c:numCache>
            </c:numRef>
          </c:cat>
          <c:val>
            <c:numRef>
              <c:f>Sheet1!$C$17:$G$17</c:f>
              <c:numCache>
                <c:formatCode>0.00</c:formatCode>
                <c:ptCount val="5"/>
                <c:pt idx="0">
                  <c:v>1.08</c:v>
                </c:pt>
                <c:pt idx="1">
                  <c:v>1.82</c:v>
                </c:pt>
                <c:pt idx="2">
                  <c:v>2.4481391092129345</c:v>
                </c:pt>
                <c:pt idx="3">
                  <c:v>3.01</c:v>
                </c:pt>
                <c:pt idx="4">
                  <c:v>0.34</c:v>
                </c:pt>
              </c:numCache>
            </c:numRef>
          </c:val>
          <c:extLst xmlns:c16r2="http://schemas.microsoft.com/office/drawing/2015/06/chart">
            <c:ext xmlns:c16="http://schemas.microsoft.com/office/drawing/2014/chart" uri="{C3380CC4-5D6E-409C-BE32-E72D297353CC}">
              <c16:uniqueId val="{00000001-6395-46CD-BAC8-BD2B273EE918}"/>
            </c:ext>
          </c:extLst>
        </c:ser>
        <c:dLbls>
          <c:showLegendKey val="0"/>
          <c:showVal val="0"/>
          <c:showCatName val="0"/>
          <c:showSerName val="0"/>
          <c:showPercent val="0"/>
          <c:showBubbleSize val="0"/>
        </c:dLbls>
        <c:gapWidth val="150"/>
        <c:shape val="box"/>
        <c:axId val="169745792"/>
        <c:axId val="169747584"/>
        <c:axId val="0"/>
      </c:bar3DChart>
      <c:catAx>
        <c:axId val="16974579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bg-BG"/>
          </a:p>
        </c:txPr>
        <c:crossAx val="169747584"/>
        <c:crosses val="autoZero"/>
        <c:auto val="1"/>
        <c:lblAlgn val="ctr"/>
        <c:lblOffset val="100"/>
        <c:noMultiLvlLbl val="0"/>
      </c:catAx>
      <c:valAx>
        <c:axId val="169747584"/>
        <c:scaling>
          <c:orientation val="minMax"/>
        </c:scaling>
        <c:delete val="0"/>
        <c:axPos val="l"/>
        <c:majorGridlines>
          <c:spPr>
            <a:ln w="9525" cap="flat" cmpd="sng" algn="ctr">
              <a:solidFill>
                <a:schemeClr val="dk1">
                  <a:lumMod val="50000"/>
                  <a:lumOff val="5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bg-BG"/>
          </a:p>
        </c:txPr>
        <c:crossAx val="169745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bg-BG"/>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bg-BG"/>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IN"/>
              <a:t>liquid position</a:t>
            </a:r>
          </a:p>
        </c:rich>
      </c:tx>
      <c:overlay val="0"/>
      <c:spPr>
        <a:noFill/>
        <a:ln>
          <a:noFill/>
        </a:ln>
        <a:effectLst/>
      </c:sp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Sheet1!$B$25</c:f>
              <c:strCache>
                <c:ptCount val="1"/>
                <c:pt idx="0">
                  <c:v>Tesco</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Sheet1!$C$24:$G$24</c:f>
              <c:numCache>
                <c:formatCode>General</c:formatCode>
                <c:ptCount val="5"/>
                <c:pt idx="0">
                  <c:v>2019</c:v>
                </c:pt>
                <c:pt idx="1">
                  <c:v>2018</c:v>
                </c:pt>
                <c:pt idx="2">
                  <c:v>2017</c:v>
                </c:pt>
                <c:pt idx="3">
                  <c:v>2016</c:v>
                </c:pt>
                <c:pt idx="4">
                  <c:v>2015</c:v>
                </c:pt>
              </c:numCache>
            </c:numRef>
          </c:cat>
          <c:val>
            <c:numRef>
              <c:f>Sheet1!$C$25:$G$25</c:f>
              <c:numCache>
                <c:formatCode>0.00</c:formatCode>
                <c:ptCount val="5"/>
                <c:pt idx="0">
                  <c:v>0.60783365570599612</c:v>
                </c:pt>
                <c:pt idx="1">
                  <c:v>0.70711797431497947</c:v>
                </c:pt>
                <c:pt idx="2">
                  <c:v>0.80154933971092857</c:v>
                </c:pt>
                <c:pt idx="3">
                  <c:v>0.75215582834533834</c:v>
                </c:pt>
                <c:pt idx="4">
                  <c:v>0.60378692249431964</c:v>
                </c:pt>
              </c:numCache>
            </c:numRef>
          </c:val>
          <c:extLst xmlns:c16r2="http://schemas.microsoft.com/office/drawing/2015/06/chart">
            <c:ext xmlns:c16="http://schemas.microsoft.com/office/drawing/2014/chart" uri="{C3380CC4-5D6E-409C-BE32-E72D297353CC}">
              <c16:uniqueId val="{00000000-B2B2-4A9B-8778-BEB0C3A08F7B}"/>
            </c:ext>
          </c:extLst>
        </c:ser>
        <c:ser>
          <c:idx val="1"/>
          <c:order val="1"/>
          <c:tx>
            <c:strRef>
              <c:f>Sheet1!$B$26</c:f>
              <c:strCache>
                <c:ptCount val="1"/>
                <c:pt idx="0">
                  <c:v>Sainsbury</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Sheet1!$C$24:$G$24</c:f>
              <c:numCache>
                <c:formatCode>General</c:formatCode>
                <c:ptCount val="5"/>
                <c:pt idx="0">
                  <c:v>2019</c:v>
                </c:pt>
                <c:pt idx="1">
                  <c:v>2018</c:v>
                </c:pt>
                <c:pt idx="2">
                  <c:v>2017</c:v>
                </c:pt>
                <c:pt idx="3">
                  <c:v>2016</c:v>
                </c:pt>
                <c:pt idx="4">
                  <c:v>2015</c:v>
                </c:pt>
              </c:numCache>
            </c:numRef>
          </c:cat>
          <c:val>
            <c:numRef>
              <c:f>Sheet1!$C$26:$G$26</c:f>
              <c:numCache>
                <c:formatCode>0.00</c:formatCode>
                <c:ptCount val="5"/>
                <c:pt idx="0">
                  <c:v>0.66</c:v>
                </c:pt>
                <c:pt idx="1">
                  <c:v>0.76</c:v>
                </c:pt>
                <c:pt idx="2">
                  <c:v>0.73515024458420686</c:v>
                </c:pt>
                <c:pt idx="3">
                  <c:v>0.66</c:v>
                </c:pt>
                <c:pt idx="4">
                  <c:v>0.64</c:v>
                </c:pt>
              </c:numCache>
            </c:numRef>
          </c:val>
          <c:extLst xmlns:c16r2="http://schemas.microsoft.com/office/drawing/2015/06/chart">
            <c:ext xmlns:c16="http://schemas.microsoft.com/office/drawing/2014/chart" uri="{C3380CC4-5D6E-409C-BE32-E72D297353CC}">
              <c16:uniqueId val="{00000001-B2B2-4A9B-8778-BEB0C3A08F7B}"/>
            </c:ext>
          </c:extLst>
        </c:ser>
        <c:dLbls>
          <c:showLegendKey val="0"/>
          <c:showVal val="1"/>
          <c:showCatName val="0"/>
          <c:showSerName val="0"/>
          <c:showPercent val="0"/>
          <c:showBubbleSize val="0"/>
        </c:dLbls>
        <c:gapWidth val="84"/>
        <c:gapDepth val="53"/>
        <c:shape val="box"/>
        <c:axId val="169763200"/>
        <c:axId val="169764736"/>
        <c:axId val="0"/>
      </c:bar3DChart>
      <c:catAx>
        <c:axId val="1697632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bg-BG"/>
          </a:p>
        </c:txPr>
        <c:crossAx val="169764736"/>
        <c:crosses val="autoZero"/>
        <c:auto val="1"/>
        <c:lblAlgn val="ctr"/>
        <c:lblOffset val="100"/>
        <c:noMultiLvlLbl val="0"/>
      </c:catAx>
      <c:valAx>
        <c:axId val="169764736"/>
        <c:scaling>
          <c:orientation val="minMax"/>
        </c:scaling>
        <c:delete val="1"/>
        <c:axPos val="l"/>
        <c:numFmt formatCode="0.00" sourceLinked="1"/>
        <c:majorTickMark val="out"/>
        <c:minorTickMark val="none"/>
        <c:tickLblPos val="nextTo"/>
        <c:crossAx val="16976320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bg-BG"/>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bg-BG"/>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leverages</a:t>
            </a:r>
          </a:p>
        </c:rich>
      </c:tx>
      <c:overlay val="0"/>
      <c:spPr>
        <a:noFill/>
        <a:ln>
          <a:noFill/>
        </a:ln>
        <a:effectLst/>
      </c:sp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Sheet1!$B$20</c:f>
              <c:strCache>
                <c:ptCount val="1"/>
                <c:pt idx="0">
                  <c:v>Tesco</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numRef>
              <c:f>Sheet1!$C$19:$G$19</c:f>
              <c:numCache>
                <c:formatCode>General</c:formatCode>
                <c:ptCount val="5"/>
                <c:pt idx="0">
                  <c:v>2019</c:v>
                </c:pt>
                <c:pt idx="1">
                  <c:v>2018</c:v>
                </c:pt>
                <c:pt idx="2">
                  <c:v>2017</c:v>
                </c:pt>
                <c:pt idx="3">
                  <c:v>2016</c:v>
                </c:pt>
                <c:pt idx="4">
                  <c:v>2015</c:v>
                </c:pt>
              </c:numCache>
            </c:numRef>
          </c:cat>
          <c:val>
            <c:numRef>
              <c:f>Sheet1!$C$20:$G$20</c:f>
              <c:numCache>
                <c:formatCode>0.00</c:formatCode>
                <c:ptCount val="5"/>
                <c:pt idx="0">
                  <c:v>0.91229607658082779</c:v>
                </c:pt>
                <c:pt idx="1">
                  <c:v>1.4501816790973419</c:v>
                </c:pt>
                <c:pt idx="2">
                  <c:v>3.1234798877455567</c:v>
                </c:pt>
                <c:pt idx="3">
                  <c:v>1.8075673166202415</c:v>
                </c:pt>
                <c:pt idx="4">
                  <c:v>2.4512798755480132</c:v>
                </c:pt>
              </c:numCache>
            </c:numRef>
          </c:val>
          <c:extLst xmlns:c16r2="http://schemas.microsoft.com/office/drawing/2015/06/chart">
            <c:ext xmlns:c16="http://schemas.microsoft.com/office/drawing/2014/chart" uri="{C3380CC4-5D6E-409C-BE32-E72D297353CC}">
              <c16:uniqueId val="{00000000-D046-4ED4-AC8C-93C396040534}"/>
            </c:ext>
          </c:extLst>
        </c:ser>
        <c:ser>
          <c:idx val="1"/>
          <c:order val="1"/>
          <c:tx>
            <c:strRef>
              <c:f>Sheet1!$B$21</c:f>
              <c:strCache>
                <c:ptCount val="1"/>
                <c:pt idx="0">
                  <c:v>Sainsbury</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numRef>
              <c:f>Sheet1!$C$19:$G$19</c:f>
              <c:numCache>
                <c:formatCode>General</c:formatCode>
                <c:ptCount val="5"/>
                <c:pt idx="0">
                  <c:v>2019</c:v>
                </c:pt>
                <c:pt idx="1">
                  <c:v>2018</c:v>
                </c:pt>
                <c:pt idx="2">
                  <c:v>2017</c:v>
                </c:pt>
                <c:pt idx="3">
                  <c:v>2016</c:v>
                </c:pt>
                <c:pt idx="4">
                  <c:v>2015</c:v>
                </c:pt>
              </c:numCache>
            </c:numRef>
          </c:cat>
          <c:val>
            <c:numRef>
              <c:f>Sheet1!$C$21:$G$21</c:f>
              <c:numCache>
                <c:formatCode>0.00</c:formatCode>
                <c:ptCount val="5"/>
                <c:pt idx="0">
                  <c:v>0.43</c:v>
                </c:pt>
                <c:pt idx="1">
                  <c:v>0.57999999999999996</c:v>
                </c:pt>
                <c:pt idx="2">
                  <c:v>0.63154831199068684</c:v>
                </c:pt>
                <c:pt idx="3">
                  <c:v>0.61</c:v>
                </c:pt>
                <c:pt idx="4">
                  <c:v>0.74</c:v>
                </c:pt>
              </c:numCache>
            </c:numRef>
          </c:val>
          <c:extLst xmlns:c16r2="http://schemas.microsoft.com/office/drawing/2015/06/chart">
            <c:ext xmlns:c16="http://schemas.microsoft.com/office/drawing/2014/chart" uri="{C3380CC4-5D6E-409C-BE32-E72D297353CC}">
              <c16:uniqueId val="{00000001-D046-4ED4-AC8C-93C396040534}"/>
            </c:ext>
          </c:extLst>
        </c:ser>
        <c:dLbls>
          <c:showLegendKey val="0"/>
          <c:showVal val="0"/>
          <c:showCatName val="0"/>
          <c:showSerName val="0"/>
          <c:showPercent val="0"/>
          <c:showBubbleSize val="0"/>
        </c:dLbls>
        <c:gapWidth val="65"/>
        <c:shape val="box"/>
        <c:axId val="169800064"/>
        <c:axId val="169801600"/>
        <c:axId val="0"/>
      </c:bar3DChart>
      <c:catAx>
        <c:axId val="16980006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bg-BG"/>
          </a:p>
        </c:txPr>
        <c:crossAx val="169801600"/>
        <c:crosses val="autoZero"/>
        <c:auto val="1"/>
        <c:lblAlgn val="ctr"/>
        <c:lblOffset val="100"/>
        <c:noMultiLvlLbl val="0"/>
      </c:catAx>
      <c:valAx>
        <c:axId val="169801600"/>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crossAx val="16980006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IN"/>
              <a:t>ROCE</a:t>
            </a:r>
          </a:p>
        </c:rich>
      </c:tx>
      <c:overlay val="0"/>
      <c:spPr>
        <a:noFill/>
        <a:ln>
          <a:noFill/>
        </a:ln>
        <a:effectLst/>
      </c:sp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Sheet1!$B$33</c:f>
              <c:strCache>
                <c:ptCount val="1"/>
                <c:pt idx="0">
                  <c:v>Tesco</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Sheet1!$C$32:$G$32</c:f>
              <c:numCache>
                <c:formatCode>General</c:formatCode>
                <c:ptCount val="5"/>
                <c:pt idx="0">
                  <c:v>2019</c:v>
                </c:pt>
                <c:pt idx="1">
                  <c:v>2018</c:v>
                </c:pt>
                <c:pt idx="2">
                  <c:v>2017</c:v>
                </c:pt>
                <c:pt idx="3">
                  <c:v>2016</c:v>
                </c:pt>
                <c:pt idx="4">
                  <c:v>2015</c:v>
                </c:pt>
              </c:numCache>
            </c:numRef>
          </c:cat>
          <c:val>
            <c:numRef>
              <c:f>Sheet1!$C$33:$G$33</c:f>
              <c:numCache>
                <c:formatCode>0.00</c:formatCode>
                <c:ptCount val="5"/>
                <c:pt idx="0">
                  <c:v>6.3355619229544732E-2</c:v>
                </c:pt>
                <c:pt idx="1">
                  <c:v>0.15692886832405301</c:v>
                </c:pt>
                <c:pt idx="2">
                  <c:v>-8.3399075848078444E-2</c:v>
                </c:pt>
                <c:pt idx="3">
                  <c:v>5.2087639520463004E-2</c:v>
                </c:pt>
                <c:pt idx="4">
                  <c:v>-0.28165840468679587</c:v>
                </c:pt>
              </c:numCache>
            </c:numRef>
          </c:val>
          <c:extLst xmlns:c16r2="http://schemas.microsoft.com/office/drawing/2015/06/chart">
            <c:ext xmlns:c16="http://schemas.microsoft.com/office/drawing/2014/chart" uri="{C3380CC4-5D6E-409C-BE32-E72D297353CC}">
              <c16:uniqueId val="{00000000-4F74-4D50-A33A-713499F3A941}"/>
            </c:ext>
          </c:extLst>
        </c:ser>
        <c:ser>
          <c:idx val="1"/>
          <c:order val="1"/>
          <c:tx>
            <c:strRef>
              <c:f>Sheet1!$B$34</c:f>
              <c:strCache>
                <c:ptCount val="1"/>
                <c:pt idx="0">
                  <c:v>Sainsbury</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Sheet1!$C$32:$G$32</c:f>
              <c:numCache>
                <c:formatCode>General</c:formatCode>
                <c:ptCount val="5"/>
                <c:pt idx="0">
                  <c:v>2019</c:v>
                </c:pt>
                <c:pt idx="1">
                  <c:v>2018</c:v>
                </c:pt>
                <c:pt idx="2">
                  <c:v>2017</c:v>
                </c:pt>
                <c:pt idx="3">
                  <c:v>2016</c:v>
                </c:pt>
                <c:pt idx="4">
                  <c:v>2015</c:v>
                </c:pt>
              </c:numCache>
            </c:numRef>
          </c:cat>
          <c:val>
            <c:numRef>
              <c:f>Sheet1!$C$34:$G$34</c:f>
              <c:numCache>
                <c:formatCode>0.00</c:formatCode>
                <c:ptCount val="5"/>
                <c:pt idx="0">
                  <c:v>0.11</c:v>
                </c:pt>
                <c:pt idx="1">
                  <c:v>0.06</c:v>
                </c:pt>
                <c:pt idx="2">
                  <c:v>7.5879307266559547E-3</c:v>
                </c:pt>
                <c:pt idx="3">
                  <c:v>6.3130881094952948E-2</c:v>
                </c:pt>
                <c:pt idx="4">
                  <c:v>-0.02</c:v>
                </c:pt>
              </c:numCache>
            </c:numRef>
          </c:val>
          <c:extLst xmlns:c16r2="http://schemas.microsoft.com/office/drawing/2015/06/chart">
            <c:ext xmlns:c16="http://schemas.microsoft.com/office/drawing/2014/chart" uri="{C3380CC4-5D6E-409C-BE32-E72D297353CC}">
              <c16:uniqueId val="{00000001-4F74-4D50-A33A-713499F3A941}"/>
            </c:ext>
          </c:extLst>
        </c:ser>
        <c:dLbls>
          <c:showLegendKey val="0"/>
          <c:showVal val="1"/>
          <c:showCatName val="0"/>
          <c:showSerName val="0"/>
          <c:showPercent val="0"/>
          <c:showBubbleSize val="0"/>
        </c:dLbls>
        <c:gapWidth val="84"/>
        <c:gapDepth val="53"/>
        <c:shape val="box"/>
        <c:axId val="169952384"/>
        <c:axId val="169953920"/>
        <c:axId val="0"/>
      </c:bar3DChart>
      <c:catAx>
        <c:axId val="1699523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bg-BG"/>
          </a:p>
        </c:txPr>
        <c:crossAx val="169953920"/>
        <c:crosses val="autoZero"/>
        <c:auto val="1"/>
        <c:lblAlgn val="ctr"/>
        <c:lblOffset val="100"/>
        <c:noMultiLvlLbl val="0"/>
      </c:catAx>
      <c:valAx>
        <c:axId val="169953920"/>
        <c:scaling>
          <c:orientation val="minMax"/>
        </c:scaling>
        <c:delete val="1"/>
        <c:axPos val="l"/>
        <c:numFmt formatCode="0.00" sourceLinked="1"/>
        <c:majorTickMark val="out"/>
        <c:minorTickMark val="none"/>
        <c:tickLblPos val="nextTo"/>
        <c:crossAx val="169952384"/>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bg-BG"/>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bg-BG"/>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bg-BG"/>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P/E ratio</a:t>
            </a:r>
          </a:p>
        </c:rich>
      </c:tx>
      <c:overlay val="0"/>
      <c:spPr>
        <a:noFill/>
        <a:ln>
          <a:noFill/>
        </a:ln>
        <a:effectLst/>
      </c:spPr>
    </c:title>
    <c:autoTitleDeleted val="0"/>
    <c:view3D>
      <c:rotX val="15"/>
      <c:rotY val="20"/>
      <c:depthPercent val="100"/>
      <c:rAngAx val="0"/>
      <c:perspective val="30"/>
    </c:view3D>
    <c:floor>
      <c:thickness val="0"/>
      <c:spPr>
        <a:noFill/>
        <a:ln w="9525" cap="flat" cmpd="sng" algn="ctr">
          <a:solidFill>
            <a:schemeClr val="dk1">
              <a:lumMod val="50000"/>
              <a:lumOff val="50000"/>
            </a:schemeClr>
          </a:solidFill>
          <a:round/>
        </a:ln>
        <a:effectLst/>
        <a:sp3d contourW="9525">
          <a:contourClr>
            <a:schemeClr val="dk1">
              <a:lumMod val="50000"/>
              <a:lumOff val="50000"/>
            </a:schemeClr>
          </a:contourClr>
        </a:sp3d>
      </c:spPr>
    </c:floor>
    <c:sideWall>
      <c:thickness val="0"/>
      <c:spPr>
        <a:noFill/>
        <a:ln>
          <a:noFill/>
        </a:ln>
        <a:effectLst/>
        <a:sp3d/>
      </c:spPr>
    </c:sideWall>
    <c:backWall>
      <c:thickness val="0"/>
      <c:spPr>
        <a:noFill/>
        <a:ln>
          <a:noFill/>
        </a:ln>
        <a:effectLst/>
        <a:sp3d/>
      </c:spPr>
    </c:backWall>
    <c:plotArea>
      <c:layout/>
      <c:area3DChart>
        <c:grouping val="standard"/>
        <c:varyColors val="0"/>
        <c:ser>
          <c:idx val="0"/>
          <c:order val="0"/>
          <c:tx>
            <c:strRef>
              <c:f>Sheet1!$B$37</c:f>
              <c:strCache>
                <c:ptCount val="1"/>
                <c:pt idx="0">
                  <c:v>Tesco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cat>
            <c:numRef>
              <c:f>Sheet1!$C$36:$G$36</c:f>
              <c:numCache>
                <c:formatCode>General</c:formatCode>
                <c:ptCount val="5"/>
                <c:pt idx="0">
                  <c:v>2019</c:v>
                </c:pt>
                <c:pt idx="1">
                  <c:v>2018</c:v>
                </c:pt>
                <c:pt idx="2">
                  <c:v>2017</c:v>
                </c:pt>
                <c:pt idx="3">
                  <c:v>2016</c:v>
                </c:pt>
                <c:pt idx="4">
                  <c:v>2015</c:v>
                </c:pt>
              </c:numCache>
            </c:numRef>
          </c:cat>
          <c:val>
            <c:numRef>
              <c:f>Sheet1!$C$37:$G$37</c:f>
              <c:numCache>
                <c:formatCode>0.00</c:formatCode>
                <c:ptCount val="5"/>
                <c:pt idx="0">
                  <c:v>18.754578754578755</c:v>
                </c:pt>
                <c:pt idx="1">
                  <c:v>12.979729729729728</c:v>
                </c:pt>
                <c:pt idx="2">
                  <c:v>-427.0408163265306</c:v>
                </c:pt>
                <c:pt idx="3">
                  <c:v>121.67647058823529</c:v>
                </c:pt>
                <c:pt idx="4">
                  <c:v>-2.466111268003389</c:v>
                </c:pt>
              </c:numCache>
            </c:numRef>
          </c:val>
          <c:extLst xmlns:c16r2="http://schemas.microsoft.com/office/drawing/2015/06/chart">
            <c:ext xmlns:c16="http://schemas.microsoft.com/office/drawing/2014/chart" uri="{C3380CC4-5D6E-409C-BE32-E72D297353CC}">
              <c16:uniqueId val="{00000000-9B85-4F54-83A3-5EC324B846EB}"/>
            </c:ext>
          </c:extLst>
        </c:ser>
        <c:ser>
          <c:idx val="1"/>
          <c:order val="1"/>
          <c:tx>
            <c:strRef>
              <c:f>Sheet1!$B$38</c:f>
              <c:strCache>
                <c:ptCount val="1"/>
                <c:pt idx="0">
                  <c:v>Sainsbury</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cat>
            <c:numRef>
              <c:f>Sheet1!$C$36:$G$36</c:f>
              <c:numCache>
                <c:formatCode>General</c:formatCode>
                <c:ptCount val="5"/>
                <c:pt idx="0">
                  <c:v>2019</c:v>
                </c:pt>
                <c:pt idx="1">
                  <c:v>2018</c:v>
                </c:pt>
                <c:pt idx="2">
                  <c:v>2017</c:v>
                </c:pt>
                <c:pt idx="3">
                  <c:v>2016</c:v>
                </c:pt>
                <c:pt idx="4">
                  <c:v>2015</c:v>
                </c:pt>
              </c:numCache>
            </c:numRef>
          </c:cat>
          <c:val>
            <c:numRef>
              <c:f>Sheet1!$C$38:$G$38</c:f>
              <c:numCache>
                <c:formatCode>0.00</c:formatCode>
                <c:ptCount val="5"/>
                <c:pt idx="0">
                  <c:v>25.91</c:v>
                </c:pt>
                <c:pt idx="1">
                  <c:v>19.920000000000002</c:v>
                </c:pt>
                <c:pt idx="2">
                  <c:v>13.794285714285715</c:v>
                </c:pt>
                <c:pt idx="3">
                  <c:v>10.43</c:v>
                </c:pt>
                <c:pt idx="4">
                  <c:v>-29.75</c:v>
                </c:pt>
              </c:numCache>
            </c:numRef>
          </c:val>
          <c:extLst xmlns:c16r2="http://schemas.microsoft.com/office/drawing/2015/06/chart">
            <c:ext xmlns:c16="http://schemas.microsoft.com/office/drawing/2014/chart" uri="{C3380CC4-5D6E-409C-BE32-E72D297353CC}">
              <c16:uniqueId val="{00000001-9B85-4F54-83A3-5EC324B846EB}"/>
            </c:ext>
          </c:extLst>
        </c:ser>
        <c:dLbls>
          <c:showLegendKey val="0"/>
          <c:showVal val="0"/>
          <c:showCatName val="0"/>
          <c:showSerName val="0"/>
          <c:showPercent val="0"/>
          <c:showBubbleSize val="0"/>
        </c:dLbls>
        <c:axId val="169994880"/>
        <c:axId val="169996672"/>
        <c:axId val="169790976"/>
      </c:area3DChart>
      <c:catAx>
        <c:axId val="169994880"/>
        <c:scaling>
          <c:orientation val="minMax"/>
        </c:scaling>
        <c:delete val="0"/>
        <c:axPos val="b"/>
        <c:numFmt formatCode="General" sourceLinked="1"/>
        <c:majorTickMark val="out"/>
        <c:minorTickMark val="none"/>
        <c:tickLblPos val="nextTo"/>
        <c:spPr>
          <a:noFill/>
          <a:ln w="9525" cap="flat" cmpd="sng" algn="ctr">
            <a:solidFill>
              <a:schemeClr val="dk1">
                <a:lumMod val="50000"/>
                <a:lumOff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bg-BG"/>
          </a:p>
        </c:txPr>
        <c:crossAx val="169996672"/>
        <c:crosses val="autoZero"/>
        <c:auto val="1"/>
        <c:lblAlgn val="ctr"/>
        <c:lblOffset val="100"/>
        <c:noMultiLvlLbl val="0"/>
      </c:catAx>
      <c:valAx>
        <c:axId val="169996672"/>
        <c:scaling>
          <c:orientation val="minMax"/>
        </c:scaling>
        <c:delete val="0"/>
        <c:axPos val="l"/>
        <c:majorGridlines>
          <c:spPr>
            <a:ln w="9525" cap="flat" cmpd="sng" algn="ctr">
              <a:solidFill>
                <a:schemeClr val="dk1">
                  <a:lumMod val="50000"/>
                  <a:lumOff val="5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bg-BG"/>
          </a:p>
        </c:txPr>
        <c:crossAx val="169994880"/>
        <c:crosses val="autoZero"/>
        <c:crossBetween val="midCat"/>
      </c:valAx>
      <c:serAx>
        <c:axId val="169790976"/>
        <c:scaling>
          <c:orientation val="minMax"/>
        </c:scaling>
        <c:delete val="0"/>
        <c:axPos val="b"/>
        <c:majorTickMark val="out"/>
        <c:minorTickMark val="none"/>
        <c:tickLblPos val="nextTo"/>
        <c:spPr>
          <a:noFill/>
          <a:ln w="9525" cap="flat" cmpd="sng" algn="ctr">
            <a:solidFill>
              <a:schemeClr val="dk1">
                <a:lumMod val="50000"/>
                <a:lumOff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bg-BG"/>
          </a:p>
        </c:txPr>
        <c:crossAx val="169996672"/>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bg-BG"/>
        </a:p>
      </c:txPr>
    </c:legend>
    <c:plotVisOnly val="1"/>
    <c:dispBlanksAs val="zero"/>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bg-BG"/>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51B205-F53A-4B7E-8D55-6B9B1A1F4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5351</Words>
  <Characters>30507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MONAMI CHATTERJEE</dc:creator>
  <cp:lastModifiedBy>C650-16Q</cp:lastModifiedBy>
  <cp:revision>2</cp:revision>
  <dcterms:created xsi:type="dcterms:W3CDTF">2020-09-21T06:09:00Z</dcterms:created>
  <dcterms:modified xsi:type="dcterms:W3CDTF">2020-09-21T06:09:00Z</dcterms:modified>
</cp:coreProperties>
</file>