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5953" w:rsidRPr="00875CC1" w:rsidRDefault="00AC7294">
      <w:pPr>
        <w:rPr>
          <w:b/>
          <w:u w:val="single"/>
        </w:rPr>
      </w:pPr>
      <w:r w:rsidRPr="00875CC1">
        <w:rPr>
          <w:b/>
          <w:u w:val="single"/>
        </w:rPr>
        <w:t>2. Commentary</w:t>
      </w:r>
      <w:r w:rsidR="00D41C6C" w:rsidRPr="00875CC1">
        <w:rPr>
          <w:b/>
          <w:u w:val="single"/>
        </w:rPr>
        <w:t xml:space="preserve"> – Book of Hours for Engelbert of Nassau, Master of Mary of Burgundy </w:t>
      </w:r>
    </w:p>
    <w:p w:rsidR="00AC7294" w:rsidRDefault="00D41C6C" w:rsidP="00AC7294">
      <w:r>
        <w:t xml:space="preserve">For commentary, </w:t>
      </w:r>
      <w:r w:rsidR="00AC7294">
        <w:t xml:space="preserve">I have chosen the image to accompany the Office of the Dead from the Book of Hours for Engelbert of Nassau by the Master of Mary of Burgundy, which is an illuminated Book of Hours written in the Netherlands in the late fifteenth century. </w:t>
      </w:r>
      <w:r w:rsidR="000A30D7">
        <w:t>There is evidence to suggest that Nicholas of Spierinc was the calligrapher</w:t>
      </w:r>
      <w:r w:rsidR="00D3459A">
        <w:t>. The main illuminator had the</w:t>
      </w:r>
      <w:r w:rsidR="00CA7543">
        <w:t xml:space="preserve"> assistance </w:t>
      </w:r>
      <w:r w:rsidR="00D3459A">
        <w:t>of</w:t>
      </w:r>
      <w:r w:rsidR="00CA7543">
        <w:t xml:space="preserve"> at least two others, as the amount of work in design and painting of the borders is considerable and two styles can be identified. </w:t>
      </w:r>
      <w:r w:rsidR="000A30D7">
        <w:t xml:space="preserve"> The main illuminator was the “Master of Mary of Burgundy” whose ai</w:t>
      </w:r>
      <w:r w:rsidR="00D913C1">
        <w:t>m</w:t>
      </w:r>
      <w:r w:rsidR="000A30D7">
        <w:t xml:space="preserve"> was </w:t>
      </w:r>
      <w:r w:rsidR="00D3459A">
        <w:t>to” impose</w:t>
      </w:r>
      <w:r w:rsidR="000A30D7">
        <w:t xml:space="preserve"> a new unity on the illuminated page” </w:t>
      </w:r>
      <w:r w:rsidR="000A30D7">
        <w:rPr>
          <w:rStyle w:val="FootnoteReference"/>
        </w:rPr>
        <w:footnoteReference w:id="1"/>
      </w:r>
      <w:r w:rsidR="000A30D7">
        <w:t xml:space="preserve">.He introduced a Trompe </w:t>
      </w:r>
      <w:r w:rsidR="00875CC1">
        <w:t>D’Oeil</w:t>
      </w:r>
      <w:r w:rsidR="000A30D7">
        <w:t xml:space="preserve"> style of border which gives a three</w:t>
      </w:r>
      <w:r w:rsidR="00D3459A">
        <w:t>-</w:t>
      </w:r>
      <w:r w:rsidR="000A30D7">
        <w:t xml:space="preserve">dimensional aspect to these pages but emphasising the relationship of the border to the </w:t>
      </w:r>
      <w:r w:rsidR="00D3459A">
        <w:t>miniature using</w:t>
      </w:r>
      <w:r w:rsidR="000A30D7">
        <w:t xml:space="preserve"> a “window aspect”</w:t>
      </w:r>
      <w:r w:rsidR="00350211">
        <w:rPr>
          <w:rStyle w:val="FootnoteReference"/>
        </w:rPr>
        <w:footnoteReference w:id="2"/>
      </w:r>
      <w:r w:rsidR="00350211">
        <w:t xml:space="preserve">. </w:t>
      </w:r>
    </w:p>
    <w:p w:rsidR="003D573E" w:rsidRDefault="00D913C1" w:rsidP="003D573E">
      <w:r>
        <w:t xml:space="preserve"> </w:t>
      </w:r>
      <w:r w:rsidR="00DA2BD9">
        <w:t xml:space="preserve">A </w:t>
      </w:r>
      <w:r>
        <w:t xml:space="preserve">Book of Hours was intended to guide the lay person in prayers to the Virgin and various saints, </w:t>
      </w:r>
      <w:r w:rsidR="00875CC1">
        <w:t>copying</w:t>
      </w:r>
      <w:r>
        <w:t xml:space="preserve"> the structure used by </w:t>
      </w:r>
      <w:r w:rsidR="00DA2BD9">
        <w:t>the clergy</w:t>
      </w:r>
      <w:r>
        <w:t xml:space="preserve"> in their devotions and daily routine</w:t>
      </w:r>
      <w:r w:rsidR="00DA2BD9">
        <w:t xml:space="preserve"> of the Divine Office</w:t>
      </w:r>
      <w:r>
        <w:t xml:space="preserve">. </w:t>
      </w:r>
      <w:r w:rsidR="00DA2BD9">
        <w:t>They became very popular in western Europe in the thirteenth to fifteenth centuries and were mass produced by the new printers to suit all tastes and pockets</w:t>
      </w:r>
      <w:r w:rsidR="00875CC1">
        <w:t>.</w:t>
      </w:r>
      <w:r w:rsidR="00875CC1">
        <w:rPr>
          <w:rStyle w:val="FootnoteReference"/>
        </w:rPr>
        <w:footnoteReference w:id="3"/>
      </w:r>
      <w:r w:rsidR="00DA2BD9">
        <w:t>The heart of the Book of Hours was the Hours of the Virgin and the other sections were added later as th</w:t>
      </w:r>
      <w:r w:rsidR="00875CC1">
        <w:t>is</w:t>
      </w:r>
      <w:r w:rsidR="00DA2BD9">
        <w:t xml:space="preserve"> type of book developed</w:t>
      </w:r>
      <w:r w:rsidR="00875CC1">
        <w:t xml:space="preserve"> and became more popular.</w:t>
      </w:r>
      <w:r w:rsidR="00DA2BD9">
        <w:t xml:space="preserve"> </w:t>
      </w:r>
      <w:r w:rsidR="00DA2BD9">
        <w:t xml:space="preserve">A book produced for a wealthy customer would include border decorations, splendid miniature illustrations for all the sections and could also include personal references to the owner such as a coat of arms and maybe a portrait of the individual or their family. </w:t>
      </w:r>
      <w:r w:rsidR="003D573E">
        <w:t>The Book of Hours answered the laity’s demand for more involvement with spirituality, a more personal connection with God and the church</w:t>
      </w:r>
      <w:r w:rsidR="003D573E">
        <w:t>.</w:t>
      </w:r>
      <w:r w:rsidR="00875CC1">
        <w:t xml:space="preserve"> A Book of Hours was usually owned by the woman of a household and the “domestication of the liturgical book was the foundation on which the literacy of the later Middle Ages was built”.</w:t>
      </w:r>
      <w:r w:rsidR="00875CC1">
        <w:rPr>
          <w:rStyle w:val="FootnoteReference"/>
        </w:rPr>
        <w:footnoteReference w:id="4"/>
      </w:r>
    </w:p>
    <w:p w:rsidR="00D913C1" w:rsidRDefault="00D913C1" w:rsidP="00AC7294">
      <w:r>
        <w:t>This Book of Hours</w:t>
      </w:r>
      <w:r w:rsidR="0093242F">
        <w:t xml:space="preserve"> </w:t>
      </w:r>
      <w:r>
        <w:t>contain</w:t>
      </w:r>
      <w:r w:rsidR="0093242F">
        <w:t>s</w:t>
      </w:r>
      <w:r>
        <w:t xml:space="preserve"> a calendar of the fixed festivals of the church, p</w:t>
      </w:r>
      <w:r w:rsidR="0093242F">
        <w:t>r</w:t>
      </w:r>
      <w:r>
        <w:t xml:space="preserve">ayers to </w:t>
      </w:r>
      <w:proofErr w:type="gramStart"/>
      <w:r w:rsidR="0093242F">
        <w:t>p</w:t>
      </w:r>
      <w:r>
        <w:t>articular saints</w:t>
      </w:r>
      <w:proofErr w:type="gramEnd"/>
      <w:r>
        <w:t xml:space="preserve">, </w:t>
      </w:r>
      <w:r w:rsidR="0093242F">
        <w:t>t</w:t>
      </w:r>
      <w:r>
        <w:t>he Hours of the Cross, the Hours of the Virgin, the Seven Penitential psalms, the Litany and Prayers, the Office of the Dead and the Gradual Psalms.</w:t>
      </w:r>
      <w:r w:rsidR="00DA2BD9">
        <w:t xml:space="preserve"> </w:t>
      </w:r>
      <w:r w:rsidR="0093242F">
        <w:t xml:space="preserve">The original owner of this book was Engelbert of Nassau and his motto “Ce sera </w:t>
      </w:r>
      <w:proofErr w:type="spellStart"/>
      <w:r w:rsidR="0093242F">
        <w:t>moy</w:t>
      </w:r>
      <w:proofErr w:type="spellEnd"/>
      <w:r w:rsidR="0093242F">
        <w:t xml:space="preserve">” can be seen in the border of the illustration of the Office of the Dead (Plate 101). The second owner was Philip the Fair whose coat of arms can be seen in the book in several plates. </w:t>
      </w:r>
    </w:p>
    <w:p w:rsidR="00D37C4D" w:rsidRDefault="00603EAC">
      <w:r>
        <w:t xml:space="preserve">The Office of the Dead is part of the liturgy of Hours in the Roman Catholic church. It is said at the time of death of a person, during the ceremony of Extreme Unction. It was believed in the middle ages that the actions and prayers of a person at the time of death could redeem a life of sin, of the dying person and of the person reading the prayers. This “Good Death” could lead to a more favourable experience in the afterlife. </w:t>
      </w:r>
    </w:p>
    <w:p w:rsidR="003D573E" w:rsidRDefault="00F545CD">
      <w:r>
        <w:t xml:space="preserve">The Master of Mary of Burgundy uses the “window </w:t>
      </w:r>
      <w:r w:rsidR="0093242F">
        <w:t>aspect</w:t>
      </w:r>
      <w:r>
        <w:t xml:space="preserve">” to illuminate the Office of the Dead in this Book of Hours. </w:t>
      </w:r>
      <w:r w:rsidR="00CA6950">
        <w:t xml:space="preserve">We are looking through a window at the burial of a corpse in a graveyard. </w:t>
      </w:r>
      <w:r>
        <w:t xml:space="preserve">There are several figures gathered around a recently dug grave where a person has been buried and the three grave diggers are in the process of filling in the grave. </w:t>
      </w:r>
      <w:r w:rsidR="00CA6950">
        <w:t>The priest</w:t>
      </w:r>
      <w:r w:rsidR="003D573E">
        <w:t>, in a white robe</w:t>
      </w:r>
      <w:r>
        <w:t xml:space="preserve"> with his hands outstretched,</w:t>
      </w:r>
      <w:r w:rsidR="003D573E">
        <w:t xml:space="preserve"> </w:t>
      </w:r>
      <w:r w:rsidR="00CA6950">
        <w:t xml:space="preserve">is saying prayers over the body. </w:t>
      </w:r>
      <w:r w:rsidR="003D573E">
        <w:t>He is assisted by a mon</w:t>
      </w:r>
      <w:r>
        <w:t>k</w:t>
      </w:r>
      <w:r w:rsidR="003D573E">
        <w:t>-like figure dressed in grey</w:t>
      </w:r>
      <w:r>
        <w:t xml:space="preserve"> to his right</w:t>
      </w:r>
      <w:r w:rsidR="003D573E">
        <w:t xml:space="preserve">. These two figures are separate from the group of mourners attending the funeral. </w:t>
      </w:r>
      <w:r w:rsidR="00CA6950">
        <w:t xml:space="preserve">The </w:t>
      </w:r>
      <w:r>
        <w:t xml:space="preserve">main </w:t>
      </w:r>
      <w:r w:rsidR="00CA6950">
        <w:t>group of mourners</w:t>
      </w:r>
      <w:r>
        <w:t xml:space="preserve"> are</w:t>
      </w:r>
      <w:r w:rsidR="00CA6950">
        <w:t xml:space="preserve"> all dressed in black</w:t>
      </w:r>
      <w:r>
        <w:t xml:space="preserve"> and </w:t>
      </w:r>
      <w:r w:rsidR="00CA6950">
        <w:t>includes a child.</w:t>
      </w:r>
      <w:r>
        <w:t xml:space="preserve"> There are two other figures, to the left of the priest, dressed in ordinary clothes, one a man with a hat and the figure in front appears to be a woman holding a prayer book</w:t>
      </w:r>
      <w:r w:rsidR="0093242F">
        <w:t xml:space="preserve"> and </w:t>
      </w:r>
      <w:r>
        <w:t xml:space="preserve">she has a blue shawl about her shoulders. Behind the gravediggers, a man holds a gold standard </w:t>
      </w:r>
      <w:r w:rsidR="0093242F">
        <w:t xml:space="preserve">with a cross on the top </w:t>
      </w:r>
      <w:r>
        <w:t xml:space="preserve">and we can see his face behind the pole of the standard. </w:t>
      </w:r>
      <w:r w:rsidR="00CA6950">
        <w:t xml:space="preserve"> A church and buildings of a town can be seen in the background of the scene</w:t>
      </w:r>
      <w:r w:rsidR="006C6601">
        <w:t xml:space="preserve">, a landscape feature that the illuminator </w:t>
      </w:r>
      <w:r w:rsidR="0093242F">
        <w:t xml:space="preserve">the Master of </w:t>
      </w:r>
      <w:r w:rsidR="006C6601">
        <w:t xml:space="preserve">Mary of Burgundy usually included in his illustrations. </w:t>
      </w:r>
      <w:r w:rsidR="00753A92">
        <w:t xml:space="preserve">The houses and </w:t>
      </w:r>
      <w:r w:rsidR="00753A92">
        <w:lastRenderedPageBreak/>
        <w:t>buildings are of various colours and fade as the</w:t>
      </w:r>
      <w:r w:rsidR="0093242F">
        <w:t>y</w:t>
      </w:r>
      <w:r w:rsidR="00753A92">
        <w:t xml:space="preserve"> recede into the background, </w:t>
      </w:r>
      <w:r w:rsidR="00737BDE">
        <w:t xml:space="preserve">but the roofs are clearly painted gold. </w:t>
      </w:r>
    </w:p>
    <w:p w:rsidR="00603EAC" w:rsidRDefault="00CA6950">
      <w:r>
        <w:t xml:space="preserve">The reader’s attention though is drawn to the border illustration comprising eight skulls, each in its own recess defined by pillars. The window is outlined by these recesses, all coloured gold, with arched miniature </w:t>
      </w:r>
      <w:r w:rsidR="003B39F0">
        <w:t>recesses</w:t>
      </w:r>
      <w:r>
        <w:t xml:space="preserve">. </w:t>
      </w:r>
      <w:r w:rsidR="00737BDE">
        <w:t xml:space="preserve">The pillars and arched recesses are in the Romanesque style. Each of the skulls is unique. They face towards the reader, left and right oblique or </w:t>
      </w:r>
      <w:r w:rsidR="003B39F0">
        <w:t>i</w:t>
      </w:r>
      <w:r w:rsidR="00737BDE">
        <w:t xml:space="preserve">n one case the skull is lying down. They are all painted a different shade of white or grey, mirroring the robes of the mourners in the miniature. This relationship between the colours is a deliberate device on the part of the illuminator as it has the effect of </w:t>
      </w:r>
      <w:r w:rsidR="006C6601">
        <w:t xml:space="preserve">making the group scene recede and the border come forward on the page. </w:t>
      </w:r>
      <w:r>
        <w:t xml:space="preserve">The Trompe D’Oeil effect is seen as the skulls appear in relief and have shading to reinforce this illusion. </w:t>
      </w:r>
      <w:r w:rsidR="003B39F0">
        <w:t xml:space="preserve">It appears to the viewer that we are looking through a window at the burial scene, and this window is framed by a “bookcase – like” series of arched wall recesses. </w:t>
      </w:r>
    </w:p>
    <w:p w:rsidR="003B39F0" w:rsidRDefault="007C7011" w:rsidP="003B39F0">
      <w:r>
        <w:t>The dominant colour in the image is gold. In the Middle Ages this colour was associated with wealth and the heavenly rewards and riches awa</w:t>
      </w:r>
      <w:r w:rsidR="002F6267">
        <w:t>i</w:t>
      </w:r>
      <w:r>
        <w:t>ting the owner of this Book</w:t>
      </w:r>
      <w:r w:rsidR="002F6267">
        <w:t xml:space="preserve">, who was </w:t>
      </w:r>
      <w:r w:rsidR="003B39F0">
        <w:t xml:space="preserve">endeavouring to </w:t>
      </w:r>
      <w:r w:rsidR="002F6267">
        <w:t xml:space="preserve">lead a very devout life. The illuminator uses gold on the roofs of the buildings, in effect in the background and this symbolises purity and the glory of life after death, reflecting the message of the whole image. The other predominant colours are the dark colours of the robes of the mourners, mainly dark blue and black. These colours symbolise darkness and death and have associations with the entombment of Christ, echoing the burial illustrated in the miniature. </w:t>
      </w:r>
    </w:p>
    <w:p w:rsidR="003B39F0" w:rsidRDefault="003B39F0" w:rsidP="003B39F0">
      <w:r>
        <w:t xml:space="preserve">The text is written in Latin, the language of the church and liturgy. The Psalm used by the priest, or person reading the Office of the Dead was Psalm 114 verse 9 beginning with the word Placebo, as seen in this illumination. The full verse is “I will please the Lord in the land of the living”. The illuminated letter visible is the letter “D”, painted in blue referring to the purity of the Virgin Mary, and of the person dying, and gold symbolising wealth and heavenly rewards.  There is also a letter “O” illuminated in the text. The script of the text is Gothic italic lettering. There is a small illustration of a shark-like fish in the text, a reference to nature which appears often in the work of </w:t>
      </w:r>
      <w:r w:rsidR="003D4BD9">
        <w:t xml:space="preserve">the Master of Mary </w:t>
      </w:r>
      <w:r>
        <w:t xml:space="preserve">of Burgundy. </w:t>
      </w:r>
    </w:p>
    <w:p w:rsidR="00CA6950" w:rsidRDefault="007C7011">
      <w:r>
        <w:t>Contemplating this image, t</w:t>
      </w:r>
      <w:r w:rsidR="00CA6950">
        <w:t>he reader is starkly reminded that death comes to us all and</w:t>
      </w:r>
      <w:r>
        <w:t xml:space="preserve"> we end life on this earth as a skull</w:t>
      </w:r>
      <w:r w:rsidR="00AD667F">
        <w:t xml:space="preserve">. </w:t>
      </w:r>
      <w:r w:rsidR="00CA6950">
        <w:t xml:space="preserve"> Life was centred on achieving a “Good death”</w:t>
      </w:r>
      <w:r w:rsidR="00AD667F">
        <w:t xml:space="preserve"> so that you could spend the afterlife </w:t>
      </w:r>
      <w:r w:rsidR="00D81940">
        <w:t xml:space="preserve">in </w:t>
      </w:r>
      <w:r w:rsidR="00AD667F">
        <w:t xml:space="preserve">heaven with God and not in the eternal damnation of Hell with the Devil. </w:t>
      </w:r>
      <w:r w:rsidR="003D573E">
        <w:t xml:space="preserve">The </w:t>
      </w:r>
      <w:r w:rsidR="00D81940">
        <w:t xml:space="preserve">image of the burial is personalised for the viewer by the border of skulls. Death has become a personal thing and as well as viewing a funeral we are reminded of our own impeding death. </w:t>
      </w:r>
      <w:r w:rsidR="003D573E">
        <w:t xml:space="preserve">The skull images were to be contemplated by the reader – the eye was the mode of transport for knowledge and </w:t>
      </w:r>
      <w:r w:rsidR="004F12B3">
        <w:t xml:space="preserve">understanding to enter the brain of the devotee. </w:t>
      </w:r>
    </w:p>
    <w:p w:rsidR="003D4BD9" w:rsidRDefault="003D4BD9"/>
    <w:p w:rsidR="003D4BD9" w:rsidRDefault="003D4BD9"/>
    <w:p w:rsidR="003D4BD9" w:rsidRDefault="003D4BD9">
      <w:r>
        <w:t>Oonagh Comerford</w:t>
      </w:r>
    </w:p>
    <w:p w:rsidR="003D4BD9" w:rsidRDefault="003D4BD9">
      <w:r>
        <w:t>1601586</w:t>
      </w:r>
      <w:bookmarkStart w:id="0" w:name="_GoBack"/>
      <w:bookmarkEnd w:id="0"/>
    </w:p>
    <w:p w:rsidR="00603EAC" w:rsidRDefault="00603EAC"/>
    <w:sectPr w:rsidR="00603EAC" w:rsidSect="00AC7294">
      <w:pgSz w:w="11906" w:h="16838"/>
      <w:pgMar w:top="1440" w:right="849"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2EEE" w:rsidRDefault="00AE2EEE" w:rsidP="000A30D7">
      <w:pPr>
        <w:spacing w:after="0" w:line="240" w:lineRule="auto"/>
      </w:pPr>
      <w:r>
        <w:separator/>
      </w:r>
    </w:p>
  </w:endnote>
  <w:endnote w:type="continuationSeparator" w:id="0">
    <w:p w:rsidR="00AE2EEE" w:rsidRDefault="00AE2EEE" w:rsidP="000A3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2EEE" w:rsidRDefault="00AE2EEE" w:rsidP="000A30D7">
      <w:pPr>
        <w:spacing w:after="0" w:line="240" w:lineRule="auto"/>
      </w:pPr>
      <w:r>
        <w:separator/>
      </w:r>
    </w:p>
  </w:footnote>
  <w:footnote w:type="continuationSeparator" w:id="0">
    <w:p w:rsidR="00AE2EEE" w:rsidRDefault="00AE2EEE" w:rsidP="000A30D7">
      <w:pPr>
        <w:spacing w:after="0" w:line="240" w:lineRule="auto"/>
      </w:pPr>
      <w:r>
        <w:continuationSeparator/>
      </w:r>
    </w:p>
  </w:footnote>
  <w:footnote w:id="1">
    <w:p w:rsidR="000A30D7" w:rsidRDefault="000A30D7">
      <w:pPr>
        <w:pStyle w:val="FootnoteText"/>
      </w:pPr>
      <w:r>
        <w:rPr>
          <w:rStyle w:val="FootnoteReference"/>
        </w:rPr>
        <w:footnoteRef/>
      </w:r>
      <w:r w:rsidR="00350211">
        <w:t xml:space="preserve"> </w:t>
      </w:r>
      <w:r w:rsidRPr="00875CC1">
        <w:rPr>
          <w:i/>
        </w:rPr>
        <w:t>A Book of Hours for Engelbert of Nassau</w:t>
      </w:r>
      <w:r>
        <w:t xml:space="preserve"> Introduction by J</w:t>
      </w:r>
      <w:r w:rsidR="00875CC1">
        <w:t>.</w:t>
      </w:r>
      <w:r>
        <w:t>J</w:t>
      </w:r>
      <w:r w:rsidR="00875CC1">
        <w:t>.</w:t>
      </w:r>
      <w:r>
        <w:t>G</w:t>
      </w:r>
      <w:r w:rsidR="00875CC1">
        <w:t>.</w:t>
      </w:r>
      <w:r>
        <w:t xml:space="preserve"> Alexander (</w:t>
      </w:r>
      <w:r w:rsidR="00875CC1">
        <w:t xml:space="preserve">London, </w:t>
      </w:r>
      <w:r>
        <w:t>Phaidon Press, 1970)</w:t>
      </w:r>
    </w:p>
  </w:footnote>
  <w:footnote w:id="2">
    <w:p w:rsidR="00350211" w:rsidRDefault="00350211">
      <w:pPr>
        <w:pStyle w:val="FootnoteText"/>
      </w:pPr>
      <w:r>
        <w:rPr>
          <w:rStyle w:val="FootnoteReference"/>
        </w:rPr>
        <w:footnoteRef/>
      </w:r>
      <w:r>
        <w:t xml:space="preserve"> </w:t>
      </w:r>
      <w:r w:rsidRPr="00875CC1">
        <w:rPr>
          <w:i/>
        </w:rPr>
        <w:t>Ibid</w:t>
      </w:r>
    </w:p>
  </w:footnote>
  <w:footnote w:id="3">
    <w:p w:rsidR="00875CC1" w:rsidRDefault="00875CC1">
      <w:pPr>
        <w:pStyle w:val="FootnoteText"/>
      </w:pPr>
      <w:r>
        <w:rPr>
          <w:rStyle w:val="FootnoteReference"/>
        </w:rPr>
        <w:footnoteRef/>
      </w:r>
      <w:r>
        <w:t xml:space="preserve"> J. Backhouse, </w:t>
      </w:r>
      <w:r w:rsidRPr="00875CC1">
        <w:rPr>
          <w:i/>
        </w:rPr>
        <w:t>Book of Hours</w:t>
      </w:r>
      <w:r>
        <w:t xml:space="preserve"> (London, The British Library, 1995) pg. 3</w:t>
      </w:r>
    </w:p>
  </w:footnote>
  <w:footnote w:id="4">
    <w:p w:rsidR="00875CC1" w:rsidRDefault="00875CC1" w:rsidP="00875CC1">
      <w:pPr>
        <w:pStyle w:val="FootnoteText"/>
      </w:pPr>
      <w:r>
        <w:rPr>
          <w:rStyle w:val="FootnoteReference"/>
        </w:rPr>
        <w:footnoteRef/>
      </w:r>
      <w:r>
        <w:t xml:space="preserve"> M T Clanchy,</w:t>
      </w:r>
      <w:r w:rsidRPr="00875CC1">
        <w:rPr>
          <w:i/>
        </w:rPr>
        <w:t xml:space="preserve"> From Memory to Written Record, England 1066 – 1307</w:t>
      </w:r>
      <w:r>
        <w:t xml:space="preserve"> (UK, Blackwell Publishing, 1993)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294"/>
    <w:rsid w:val="00065FB3"/>
    <w:rsid w:val="000A30D7"/>
    <w:rsid w:val="00203115"/>
    <w:rsid w:val="002F6267"/>
    <w:rsid w:val="00350211"/>
    <w:rsid w:val="003B39F0"/>
    <w:rsid w:val="003D4BD9"/>
    <w:rsid w:val="003D573E"/>
    <w:rsid w:val="004F12B3"/>
    <w:rsid w:val="00603EAC"/>
    <w:rsid w:val="00641E86"/>
    <w:rsid w:val="00655953"/>
    <w:rsid w:val="006C6601"/>
    <w:rsid w:val="00737BDE"/>
    <w:rsid w:val="00753A92"/>
    <w:rsid w:val="007C7011"/>
    <w:rsid w:val="00875CC1"/>
    <w:rsid w:val="0093242F"/>
    <w:rsid w:val="00AB2D6B"/>
    <w:rsid w:val="00AC7294"/>
    <w:rsid w:val="00AD667F"/>
    <w:rsid w:val="00AE2EEE"/>
    <w:rsid w:val="00AF7700"/>
    <w:rsid w:val="00CA6950"/>
    <w:rsid w:val="00CA7543"/>
    <w:rsid w:val="00D030CE"/>
    <w:rsid w:val="00D3459A"/>
    <w:rsid w:val="00D37C4D"/>
    <w:rsid w:val="00D41C6C"/>
    <w:rsid w:val="00D81940"/>
    <w:rsid w:val="00D913C1"/>
    <w:rsid w:val="00DA2BD9"/>
    <w:rsid w:val="00E868A0"/>
    <w:rsid w:val="00E91212"/>
    <w:rsid w:val="00F545C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D5669"/>
  <w15:chartTrackingRefBased/>
  <w15:docId w15:val="{DAC82FFE-0B69-4860-938B-696BF5B6B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A30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30D7"/>
    <w:rPr>
      <w:sz w:val="20"/>
      <w:szCs w:val="20"/>
    </w:rPr>
  </w:style>
  <w:style w:type="character" w:styleId="FootnoteReference">
    <w:name w:val="footnote reference"/>
    <w:basedOn w:val="DefaultParagraphFont"/>
    <w:uiPriority w:val="99"/>
    <w:semiHidden/>
    <w:unhideWhenUsed/>
    <w:rsid w:val="000A30D7"/>
    <w:rPr>
      <w:vertAlign w:val="superscript"/>
    </w:rPr>
  </w:style>
  <w:style w:type="paragraph" w:styleId="EndnoteText">
    <w:name w:val="endnote text"/>
    <w:basedOn w:val="Normal"/>
    <w:link w:val="EndnoteTextChar"/>
    <w:uiPriority w:val="99"/>
    <w:semiHidden/>
    <w:unhideWhenUsed/>
    <w:rsid w:val="00D37C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37C4D"/>
    <w:rPr>
      <w:sz w:val="20"/>
      <w:szCs w:val="20"/>
    </w:rPr>
  </w:style>
  <w:style w:type="character" w:styleId="EndnoteReference">
    <w:name w:val="endnote reference"/>
    <w:basedOn w:val="DefaultParagraphFont"/>
    <w:uiPriority w:val="99"/>
    <w:semiHidden/>
    <w:unhideWhenUsed/>
    <w:rsid w:val="00D37C4D"/>
    <w:rPr>
      <w:vertAlign w:val="superscript"/>
    </w:rPr>
  </w:style>
  <w:style w:type="paragraph" w:styleId="NormalWeb">
    <w:name w:val="Normal (Web)"/>
    <w:basedOn w:val="Normal"/>
    <w:uiPriority w:val="99"/>
    <w:semiHidden/>
    <w:unhideWhenUsed/>
    <w:rsid w:val="007C7011"/>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apple-converted-space">
    <w:name w:val="apple-converted-space"/>
    <w:basedOn w:val="DefaultParagraphFont"/>
    <w:rsid w:val="007C7011"/>
  </w:style>
  <w:style w:type="character" w:styleId="Hyperlink">
    <w:name w:val="Hyperlink"/>
    <w:basedOn w:val="DefaultParagraphFont"/>
    <w:uiPriority w:val="99"/>
    <w:semiHidden/>
    <w:unhideWhenUsed/>
    <w:rsid w:val="007C70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3062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A1E79-0EDC-4F46-AA25-6C888920D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Pages>
  <Words>1097</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Oonagh Comerford</dc:creator>
  <cp:keywords/>
  <dc:description/>
  <cp:lastModifiedBy>Oonagh Comerford</cp:lastModifiedBy>
  <cp:revision>14</cp:revision>
  <dcterms:created xsi:type="dcterms:W3CDTF">2019-05-07T13:29:00Z</dcterms:created>
  <dcterms:modified xsi:type="dcterms:W3CDTF">2019-05-14T19:47:00Z</dcterms:modified>
</cp:coreProperties>
</file>