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517" w:rsidRDefault="005F7113" w:rsidP="001C34DC">
      <w:pPr>
        <w:jc w:val="center"/>
        <w:rPr>
          <w:rFonts w:ascii="Times New Roman" w:hAnsi="Times New Roman" w:cs="Times New Roman"/>
          <w:b/>
          <w:sz w:val="32"/>
          <w:u w:val="single"/>
        </w:rPr>
      </w:pPr>
      <w:r>
        <w:rPr>
          <w:rFonts w:ascii="Times New Roman" w:hAnsi="Times New Roman" w:cs="Times New Roman"/>
          <w:b/>
          <w:sz w:val="32"/>
          <w:u w:val="single"/>
        </w:rPr>
        <w:t>Alexander’s Relationship with Bagoas</w:t>
      </w:r>
    </w:p>
    <w:p w:rsidR="005F7113" w:rsidRDefault="005F7113" w:rsidP="001C34DC">
      <w:pPr>
        <w:jc w:val="center"/>
        <w:rPr>
          <w:rFonts w:ascii="Times New Roman" w:hAnsi="Times New Roman" w:cs="Times New Roman"/>
          <w:b/>
          <w:sz w:val="32"/>
          <w:u w:val="single"/>
        </w:rPr>
      </w:pPr>
    </w:p>
    <w:p w:rsidR="006E6632" w:rsidRDefault="002552FD">
      <w:pPr>
        <w:rPr>
          <w:rFonts w:ascii="Times New Roman" w:hAnsi="Times New Roman" w:cs="Times New Roman"/>
          <w:sz w:val="24"/>
        </w:rPr>
      </w:pPr>
      <w:r>
        <w:rPr>
          <w:rFonts w:ascii="Times New Roman" w:hAnsi="Times New Roman" w:cs="Times New Roman"/>
          <w:sz w:val="24"/>
        </w:rPr>
        <w:t xml:space="preserve">When we approach the topic of Alexander’s relationship with Bagoas, it is first necessary for us to consider who Bagoas was. From the ancient sources, we believe that Bagoas was a young eunuch, described as being ‘in the very flower of boyhood’ (Curtius Rufus, Q. </w:t>
      </w:r>
      <w:r>
        <w:rPr>
          <w:rFonts w:ascii="Times New Roman" w:hAnsi="Times New Roman" w:cs="Times New Roman"/>
          <w:i/>
          <w:sz w:val="24"/>
        </w:rPr>
        <w:t>Alexander</w:t>
      </w:r>
      <w:r w:rsidR="00213B46">
        <w:rPr>
          <w:rFonts w:ascii="Times New Roman" w:hAnsi="Times New Roman" w:cs="Times New Roman"/>
          <w:i/>
          <w:sz w:val="24"/>
        </w:rPr>
        <w:t xml:space="preserve">, 6.5.23). </w:t>
      </w:r>
      <w:r w:rsidR="00213B46">
        <w:rPr>
          <w:rFonts w:ascii="Times New Roman" w:hAnsi="Times New Roman" w:cs="Times New Roman"/>
          <w:sz w:val="24"/>
        </w:rPr>
        <w:t>Which of course was not an unusual occurrence within these classical writings, with boys being the natural object of desire for adult men.</w:t>
      </w:r>
      <w:r w:rsidR="00B43BB5">
        <w:rPr>
          <w:rFonts w:ascii="Times New Roman" w:hAnsi="Times New Roman" w:cs="Times New Roman"/>
          <w:sz w:val="24"/>
        </w:rPr>
        <w:t xml:space="preserve"> The ancient sources also describe Bagoas as once being intimate with Darius, this of course being before his intimacies with Alexander. The sources describe the method in which Alexander and Bagoas became acquainted, this being during Alexander’s travels back from India, where he and his men were invited for a feast and festivities. Part of these festivities included a song and dance contest, a contest that was won by Bagoas himself, and in doing so impressed Alexander, who became enamoured by the boy.</w:t>
      </w:r>
      <w:r w:rsidR="006E6632">
        <w:rPr>
          <w:rFonts w:ascii="Times New Roman" w:hAnsi="Times New Roman" w:cs="Times New Roman"/>
          <w:sz w:val="24"/>
        </w:rPr>
        <w:t xml:space="preserve"> It was after the contest had finished that the winner, Bagoas, took his seat by Alexander’s side, and it was with the cheers of approval from his men that Alexander embraced Bagoas and kissed him.</w:t>
      </w:r>
    </w:p>
    <w:p w:rsidR="0064786D" w:rsidRDefault="00847DD3">
      <w:pPr>
        <w:rPr>
          <w:rFonts w:ascii="Times New Roman" w:hAnsi="Times New Roman" w:cs="Times New Roman"/>
          <w:sz w:val="24"/>
        </w:rPr>
      </w:pPr>
      <w:r>
        <w:rPr>
          <w:rFonts w:ascii="Times New Roman" w:hAnsi="Times New Roman" w:cs="Times New Roman"/>
          <w:sz w:val="24"/>
        </w:rPr>
        <w:t>It is, however, important for us to consider both the differences and similarities within different accounts of this story through the work of different historians, as unfortunately, as it is in most cases, the information presented in each version do not account the same happenings, rather each of them portraying an overall similar account of the story, but each possessing notable differences from one another.</w:t>
      </w:r>
      <w:r w:rsidR="002F615E">
        <w:rPr>
          <w:rFonts w:ascii="Times New Roman" w:hAnsi="Times New Roman" w:cs="Times New Roman"/>
          <w:sz w:val="24"/>
        </w:rPr>
        <w:t xml:space="preserve"> It appears that all of the sources can agree on who Bagoas was fo</w:t>
      </w:r>
      <w:r w:rsidR="00793E5D">
        <w:rPr>
          <w:rFonts w:ascii="Times New Roman" w:hAnsi="Times New Roman" w:cs="Times New Roman"/>
          <w:sz w:val="24"/>
        </w:rPr>
        <w:t>r the most part, with Plutarch,</w:t>
      </w:r>
      <w:r w:rsidR="002F615E">
        <w:rPr>
          <w:rFonts w:ascii="Times New Roman" w:hAnsi="Times New Roman" w:cs="Times New Roman"/>
          <w:sz w:val="24"/>
        </w:rPr>
        <w:t xml:space="preserve"> Quintus Curtius Rufus and Athenaeus </w:t>
      </w:r>
      <w:r w:rsidR="00793E5D">
        <w:rPr>
          <w:rFonts w:ascii="Times New Roman" w:hAnsi="Times New Roman" w:cs="Times New Roman"/>
          <w:sz w:val="24"/>
        </w:rPr>
        <w:t>all in agreement</w:t>
      </w:r>
      <w:r w:rsidR="002F615E">
        <w:rPr>
          <w:rFonts w:ascii="Times New Roman" w:hAnsi="Times New Roman" w:cs="Times New Roman"/>
          <w:sz w:val="24"/>
        </w:rPr>
        <w:t xml:space="preserve"> that Bago</w:t>
      </w:r>
      <w:r w:rsidR="00793E5D">
        <w:rPr>
          <w:rFonts w:ascii="Times New Roman" w:hAnsi="Times New Roman" w:cs="Times New Roman"/>
          <w:sz w:val="24"/>
        </w:rPr>
        <w:t>as was indeed a eunuch.</w:t>
      </w:r>
      <w:r w:rsidR="002F615E">
        <w:rPr>
          <w:rFonts w:ascii="Times New Roman" w:hAnsi="Times New Roman" w:cs="Times New Roman"/>
          <w:sz w:val="24"/>
        </w:rPr>
        <w:t xml:space="preserve"> </w:t>
      </w:r>
      <w:r w:rsidR="009F2B9C">
        <w:rPr>
          <w:rFonts w:ascii="Times New Roman" w:hAnsi="Times New Roman" w:cs="Times New Roman"/>
          <w:sz w:val="24"/>
        </w:rPr>
        <w:t>However, the sources are not in agreement about the events of the whole story, with Plutarch and Athenaeus both portraying slightly different accounts of the event involving Alexander kissing Bagoas. In Plutarch’s version, after Bagoas had won the song and dance contest and he took is seat at Alexander’s side, the Macedonians then applauded and cheered for their king to kiss Bagoas, an action that Alexander then did, ‘</w:t>
      </w:r>
      <w:r w:rsidR="009F2B9C" w:rsidRPr="009F2B9C">
        <w:rPr>
          <w:rFonts w:ascii="Times New Roman" w:hAnsi="Times New Roman" w:cs="Times New Roman"/>
          <w:sz w:val="24"/>
        </w:rPr>
        <w:t>the Macedonians clapped their hands and loudly bade the king kiss the victor, until at last he threw his arms ab</w:t>
      </w:r>
      <w:r w:rsidR="009F2B9C">
        <w:rPr>
          <w:rFonts w:ascii="Times New Roman" w:hAnsi="Times New Roman" w:cs="Times New Roman"/>
          <w:sz w:val="24"/>
        </w:rPr>
        <w:t xml:space="preserve">out him and kissed him tenderly’ (Plutarch, </w:t>
      </w:r>
      <w:r w:rsidR="009F2B9C">
        <w:rPr>
          <w:rFonts w:ascii="Times New Roman" w:hAnsi="Times New Roman" w:cs="Times New Roman"/>
          <w:i/>
          <w:sz w:val="24"/>
        </w:rPr>
        <w:t>Alexander, 67</w:t>
      </w:r>
      <w:r w:rsidR="009F2B9C">
        <w:rPr>
          <w:rFonts w:ascii="Times New Roman" w:hAnsi="Times New Roman" w:cs="Times New Roman"/>
          <w:sz w:val="24"/>
        </w:rPr>
        <w:t>).</w:t>
      </w:r>
      <w:r w:rsidR="002F1265">
        <w:rPr>
          <w:rFonts w:ascii="Times New Roman" w:hAnsi="Times New Roman" w:cs="Times New Roman"/>
          <w:sz w:val="24"/>
        </w:rPr>
        <w:t xml:space="preserve"> However, Athenaeus tells a slightly different version, with his explaining that Alexander embraced Bagoas and kissed him, at which point his men shouted in approval of this action, which then spurred the king on to embrace and kiss Bagoas once again, ‘</w:t>
      </w:r>
      <w:r w:rsidR="002F1265" w:rsidRPr="002F1265">
        <w:rPr>
          <w:rFonts w:ascii="Times New Roman" w:hAnsi="Times New Roman" w:cs="Times New Roman"/>
          <w:sz w:val="24"/>
        </w:rPr>
        <w:t>he embraced him in the sight of the whole theatre; and that when the whole theatre shouted in approval of the action, he repeated it</w:t>
      </w:r>
      <w:r w:rsidR="002F1265">
        <w:rPr>
          <w:rFonts w:ascii="Times New Roman" w:hAnsi="Times New Roman" w:cs="Times New Roman"/>
          <w:sz w:val="24"/>
        </w:rPr>
        <w:t xml:space="preserve">’ (Athenaeus, </w:t>
      </w:r>
      <w:r w:rsidR="002F1265">
        <w:rPr>
          <w:rFonts w:ascii="Times New Roman" w:hAnsi="Times New Roman" w:cs="Times New Roman"/>
          <w:i/>
          <w:sz w:val="24"/>
        </w:rPr>
        <w:t>Dicaerchus, 603b 13.8</w:t>
      </w:r>
      <w:r w:rsidR="002F1265">
        <w:rPr>
          <w:rFonts w:ascii="Times New Roman" w:hAnsi="Times New Roman" w:cs="Times New Roman"/>
          <w:sz w:val="24"/>
        </w:rPr>
        <w:t>).</w:t>
      </w:r>
    </w:p>
    <w:p w:rsidR="00593FF5" w:rsidRDefault="0064786D">
      <w:pPr>
        <w:rPr>
          <w:rFonts w:ascii="Times New Roman" w:hAnsi="Times New Roman" w:cs="Times New Roman"/>
          <w:sz w:val="24"/>
        </w:rPr>
      </w:pPr>
      <w:r>
        <w:rPr>
          <w:rFonts w:ascii="Times New Roman" w:hAnsi="Times New Roman" w:cs="Times New Roman"/>
          <w:sz w:val="24"/>
        </w:rPr>
        <w:t>When approaching and attempting to understand the differences within these different accounts it is first important for us to understand the time and political climate that these accounts were written in, as this is likely to be the reasoning for the differences as each author would write with a different narrative in mind. When approaching the difference that I have mentioned above, it is perhaps likely that the reason for Plutarch’s account being different is due to his preference to avoid the implication that comes with a homosexual relationship, being the implication of either Alexander or his partner’s sexual passivity, which he didn’t believe helped with the image of the king. This could help in explaining why in his account of the events that the king did not kiss Bagoas until his men bade for him to do so, at which point makes it out to be an action made out of duty rather than passion.</w:t>
      </w:r>
    </w:p>
    <w:p w:rsidR="001423E5" w:rsidRDefault="00593FF5">
      <w:pPr>
        <w:rPr>
          <w:rFonts w:ascii="Times New Roman" w:hAnsi="Times New Roman" w:cs="Times New Roman"/>
          <w:sz w:val="24"/>
        </w:rPr>
      </w:pPr>
      <w:r>
        <w:rPr>
          <w:rFonts w:ascii="Times New Roman" w:hAnsi="Times New Roman" w:cs="Times New Roman"/>
          <w:sz w:val="24"/>
        </w:rPr>
        <w:lastRenderedPageBreak/>
        <w:t xml:space="preserve">Perhaps the largest difference between the accounts of these ancient sources appears in Quintus Curtius Rufus’s writing, as his writing did not go into the festivities at which Alexander and Bagoas became acquainted, instead choosing to gloss over that and simply introduce Bagoas to Alexander in only one sentence. </w:t>
      </w:r>
      <w:r w:rsidR="00C73EB5">
        <w:rPr>
          <w:rFonts w:ascii="Times New Roman" w:hAnsi="Times New Roman" w:cs="Times New Roman"/>
          <w:sz w:val="24"/>
        </w:rPr>
        <w:t>This is certainly due to the way in which Quintus Curtius Rufus chose to write about Alexander; whilst Plutarch wrote about Alexander during a time in which he was held in high esteem, and thus it is no surprise that these writings are very celebratory of Alexander, Quintus Curtius Rufus chooses not to write a celebratory gospel of Alexander, instead deciding to do the opposite by showing Alexander’s actions to be avoided rather than virtues that are to be emulated as Plutarch’s writing may suggest.</w:t>
      </w:r>
    </w:p>
    <w:p w:rsidR="00A92AE9" w:rsidRDefault="001423E5">
      <w:pPr>
        <w:rPr>
          <w:rFonts w:ascii="Times New Roman" w:hAnsi="Times New Roman" w:cs="Times New Roman"/>
          <w:sz w:val="24"/>
        </w:rPr>
      </w:pPr>
      <w:r>
        <w:rPr>
          <w:rFonts w:ascii="Times New Roman" w:hAnsi="Times New Roman" w:cs="Times New Roman"/>
          <w:sz w:val="24"/>
        </w:rPr>
        <w:t>Quintus Curtius Rufus’s account of the relationship between Alexander and Bagoas, therefore focused on after their meeting at the festivities, and the harmful influence that Bagoas had on Alexander.</w:t>
      </w:r>
      <w:r w:rsidR="00662A3F">
        <w:rPr>
          <w:rFonts w:ascii="Times New Roman" w:hAnsi="Times New Roman" w:cs="Times New Roman"/>
          <w:sz w:val="24"/>
        </w:rPr>
        <w:t xml:space="preserve"> This idea is clearly shown in Alexander and Bagoas’ interaction with the Persian satrap Orsines, who despite being warned of the close relationship that Alexander had with Bagoas, chose to insult Bagoas and the Alexander for allowing Bagoas to use him, insults that would inevitably lead to his own death.</w:t>
      </w:r>
      <w:r w:rsidR="0054381C">
        <w:rPr>
          <w:rFonts w:ascii="Times New Roman" w:hAnsi="Times New Roman" w:cs="Times New Roman"/>
          <w:sz w:val="24"/>
        </w:rPr>
        <w:t xml:space="preserve"> Quintus Curtius Rufus is clear in showing his distaste for Bagoas and his relationship with Alexander, ’the eunuch exercised the power which he had gained by shame and disgrace against the life of an eminent and guiltless man’ (Curtius Rufus, Q. </w:t>
      </w:r>
      <w:r w:rsidR="002264F9">
        <w:rPr>
          <w:rFonts w:ascii="Times New Roman" w:hAnsi="Times New Roman" w:cs="Times New Roman"/>
          <w:i/>
          <w:sz w:val="24"/>
        </w:rPr>
        <w:t>Alexander, 10.1.27</w:t>
      </w:r>
      <w:r w:rsidR="002264F9">
        <w:rPr>
          <w:rFonts w:ascii="Times New Roman" w:hAnsi="Times New Roman" w:cs="Times New Roman"/>
          <w:sz w:val="24"/>
        </w:rPr>
        <w:t>).</w:t>
      </w:r>
      <w:r w:rsidR="00235E62">
        <w:rPr>
          <w:rFonts w:ascii="Times New Roman" w:hAnsi="Times New Roman" w:cs="Times New Roman"/>
          <w:sz w:val="24"/>
        </w:rPr>
        <w:t xml:space="preserve"> Quintus Curtius Rufus describes the relationship between Alexander and Bagoas as being a toxic one, where Bagoas controls the actions of Alexander through manipulation and lies in order to get what he wants, including revenge, ‘whenever no witnesses were present, he filled the credulous ears of the king with lies, concealing the reason for his anger, in order to add greater weight to his accusations’ (Curtius Rufus, Q. </w:t>
      </w:r>
      <w:r w:rsidR="00235E62">
        <w:rPr>
          <w:rFonts w:ascii="Times New Roman" w:hAnsi="Times New Roman" w:cs="Times New Roman"/>
          <w:i/>
          <w:sz w:val="24"/>
        </w:rPr>
        <w:t>Alexander, 10.1.28</w:t>
      </w:r>
      <w:r w:rsidR="00235E62">
        <w:rPr>
          <w:rFonts w:ascii="Times New Roman" w:hAnsi="Times New Roman" w:cs="Times New Roman"/>
          <w:sz w:val="24"/>
        </w:rPr>
        <w:t>).</w:t>
      </w:r>
    </w:p>
    <w:p w:rsidR="005F7113" w:rsidRPr="00473715" w:rsidRDefault="00A92AE9">
      <w:pPr>
        <w:rPr>
          <w:rFonts w:ascii="Times New Roman" w:hAnsi="Times New Roman" w:cs="Times New Roman"/>
          <w:sz w:val="24"/>
        </w:rPr>
      </w:pPr>
      <w:r>
        <w:rPr>
          <w:rFonts w:ascii="Times New Roman" w:hAnsi="Times New Roman" w:cs="Times New Roman"/>
          <w:sz w:val="24"/>
        </w:rPr>
        <w:t>There appear to be a number of reasons for the differences that are to be found within these sources, however, by far the most important most impactful reason of them all is one of the simplest, and that is the reason for the writing in the first place and the political and cultural climate in which it was written. This is very clear in both the writings of Plutarch and the writings of Quintus Curtius Rufus, with Plutarch writing a celebratory account of Alexander’s life, whilst Quintus Curtius Rufus aimed to do the exact opposite, and in doing so displays the behaviours and vices that are to be avoided in life.</w:t>
      </w:r>
      <w:bookmarkStart w:id="0" w:name="_GoBack"/>
      <w:bookmarkEnd w:id="0"/>
      <w:r w:rsidR="005F7113" w:rsidRPr="00473715">
        <w:rPr>
          <w:rFonts w:ascii="Times New Roman" w:hAnsi="Times New Roman" w:cs="Times New Roman"/>
          <w:sz w:val="24"/>
        </w:rPr>
        <w:br w:type="page"/>
      </w:r>
    </w:p>
    <w:p w:rsidR="008E2517" w:rsidRPr="00473715" w:rsidRDefault="005F7113" w:rsidP="005F7113">
      <w:pPr>
        <w:jc w:val="center"/>
        <w:rPr>
          <w:rFonts w:ascii="Times New Roman" w:hAnsi="Times New Roman" w:cs="Times New Roman"/>
          <w:sz w:val="32"/>
          <w:u w:val="single"/>
        </w:rPr>
      </w:pPr>
      <w:r w:rsidRPr="00473715">
        <w:rPr>
          <w:rFonts w:ascii="Times New Roman" w:hAnsi="Times New Roman" w:cs="Times New Roman"/>
          <w:sz w:val="32"/>
          <w:u w:val="single"/>
        </w:rPr>
        <w:lastRenderedPageBreak/>
        <w:t>Bibliography</w:t>
      </w:r>
    </w:p>
    <w:p w:rsidR="005F7113" w:rsidRPr="00473715" w:rsidRDefault="005F7113" w:rsidP="005F7113">
      <w:pPr>
        <w:jc w:val="center"/>
        <w:rPr>
          <w:rFonts w:ascii="Times New Roman" w:hAnsi="Times New Roman" w:cs="Times New Roman"/>
          <w:sz w:val="32"/>
          <w:u w:val="single"/>
        </w:rPr>
      </w:pPr>
    </w:p>
    <w:p w:rsidR="00B708AE" w:rsidRPr="00473715" w:rsidRDefault="00B708AE" w:rsidP="005F7113">
      <w:pPr>
        <w:jc w:val="center"/>
        <w:rPr>
          <w:rFonts w:ascii="Times New Roman" w:hAnsi="Times New Roman" w:cs="Times New Roman"/>
          <w:sz w:val="24"/>
          <w:u w:val="single"/>
        </w:rPr>
      </w:pPr>
      <w:r w:rsidRPr="00473715">
        <w:rPr>
          <w:rFonts w:ascii="Times New Roman" w:hAnsi="Times New Roman" w:cs="Times New Roman"/>
          <w:sz w:val="24"/>
          <w:u w:val="single"/>
        </w:rPr>
        <w:t>Ancient:</w:t>
      </w:r>
    </w:p>
    <w:p w:rsidR="00590473" w:rsidRPr="00473715" w:rsidRDefault="00590473" w:rsidP="005F7113">
      <w:pPr>
        <w:rPr>
          <w:rFonts w:ascii="Times New Roman" w:hAnsi="Times New Roman" w:cs="Times New Roman"/>
          <w:sz w:val="24"/>
        </w:rPr>
      </w:pPr>
      <w:r w:rsidRPr="00473715">
        <w:rPr>
          <w:rFonts w:ascii="Times New Roman" w:hAnsi="Times New Roman" w:cs="Times New Roman"/>
          <w:sz w:val="24"/>
        </w:rPr>
        <w:t xml:space="preserve">Athenaeus, </w:t>
      </w:r>
      <w:proofErr w:type="gramStart"/>
      <w:r w:rsidRPr="00473715">
        <w:rPr>
          <w:rFonts w:ascii="Times New Roman" w:hAnsi="Times New Roman" w:cs="Times New Roman"/>
          <w:i/>
          <w:sz w:val="24"/>
        </w:rPr>
        <w:t>The</w:t>
      </w:r>
      <w:proofErr w:type="gramEnd"/>
      <w:r w:rsidRPr="00473715">
        <w:rPr>
          <w:rFonts w:ascii="Times New Roman" w:hAnsi="Times New Roman" w:cs="Times New Roman"/>
          <w:i/>
          <w:sz w:val="24"/>
        </w:rPr>
        <w:t xml:space="preserve"> </w:t>
      </w:r>
      <w:proofErr w:type="spellStart"/>
      <w:r w:rsidRPr="00473715">
        <w:rPr>
          <w:rFonts w:ascii="Times New Roman" w:hAnsi="Times New Roman" w:cs="Times New Roman"/>
          <w:i/>
          <w:sz w:val="24"/>
        </w:rPr>
        <w:t>Deipnosophists</w:t>
      </w:r>
      <w:proofErr w:type="spellEnd"/>
      <w:r w:rsidRPr="00473715">
        <w:rPr>
          <w:rFonts w:ascii="Times New Roman" w:hAnsi="Times New Roman" w:cs="Times New Roman"/>
          <w:i/>
          <w:sz w:val="24"/>
        </w:rPr>
        <w:t xml:space="preserve">. </w:t>
      </w:r>
      <w:r w:rsidRPr="00473715">
        <w:rPr>
          <w:rFonts w:ascii="Times New Roman" w:hAnsi="Times New Roman" w:cs="Times New Roman"/>
          <w:sz w:val="24"/>
        </w:rPr>
        <w:t>Yonge (</w:t>
      </w:r>
      <w:proofErr w:type="gramStart"/>
      <w:r w:rsidRPr="00473715">
        <w:rPr>
          <w:rFonts w:ascii="Times New Roman" w:hAnsi="Times New Roman" w:cs="Times New Roman"/>
          <w:sz w:val="24"/>
        </w:rPr>
        <w:t>trans</w:t>
      </w:r>
      <w:proofErr w:type="gramEnd"/>
      <w:r w:rsidRPr="00473715">
        <w:rPr>
          <w:rFonts w:ascii="Times New Roman" w:hAnsi="Times New Roman" w:cs="Times New Roman"/>
          <w:sz w:val="24"/>
        </w:rPr>
        <w:t>). 1854. London: Bohn</w:t>
      </w:r>
    </w:p>
    <w:p w:rsidR="00590473" w:rsidRPr="00473715" w:rsidRDefault="00590473" w:rsidP="005F7113">
      <w:pPr>
        <w:rPr>
          <w:rFonts w:ascii="Times New Roman" w:hAnsi="Times New Roman" w:cs="Times New Roman"/>
          <w:sz w:val="24"/>
        </w:rPr>
      </w:pPr>
    </w:p>
    <w:p w:rsidR="00590473" w:rsidRPr="00473715" w:rsidRDefault="00590473" w:rsidP="005F7113">
      <w:pPr>
        <w:rPr>
          <w:rFonts w:ascii="Times New Roman" w:hAnsi="Times New Roman" w:cs="Times New Roman"/>
          <w:sz w:val="24"/>
        </w:rPr>
      </w:pPr>
      <w:r w:rsidRPr="00473715">
        <w:rPr>
          <w:rFonts w:ascii="Times New Roman" w:hAnsi="Times New Roman" w:cs="Times New Roman"/>
          <w:sz w:val="24"/>
        </w:rPr>
        <w:t xml:space="preserve">Curtius Rufus, Quintus, John Rowe Workman, and John Carew Rolfe. </w:t>
      </w:r>
      <w:r w:rsidRPr="00473715">
        <w:rPr>
          <w:rFonts w:ascii="Times New Roman" w:hAnsi="Times New Roman" w:cs="Times New Roman"/>
          <w:sz w:val="24"/>
          <w:u w:val="single"/>
        </w:rPr>
        <w:t>Quintus Curtius [History of Alexander].</w:t>
      </w:r>
      <w:r w:rsidRPr="00473715">
        <w:rPr>
          <w:rFonts w:ascii="Times New Roman" w:hAnsi="Times New Roman" w:cs="Times New Roman"/>
          <w:sz w:val="24"/>
        </w:rPr>
        <w:t xml:space="preserve"> Cambridge: Mass., Harvard Univ. Press, 1946.</w:t>
      </w:r>
    </w:p>
    <w:p w:rsidR="00590473" w:rsidRPr="00473715" w:rsidRDefault="00590473" w:rsidP="005F7113">
      <w:pPr>
        <w:rPr>
          <w:rFonts w:ascii="Times New Roman" w:hAnsi="Times New Roman" w:cs="Times New Roman"/>
          <w:sz w:val="24"/>
        </w:rPr>
      </w:pPr>
    </w:p>
    <w:p w:rsidR="00590473" w:rsidRPr="00473715" w:rsidRDefault="00590473" w:rsidP="005F7113">
      <w:pPr>
        <w:rPr>
          <w:rFonts w:ascii="Times New Roman" w:hAnsi="Times New Roman" w:cs="Times New Roman"/>
          <w:sz w:val="24"/>
        </w:rPr>
      </w:pPr>
      <w:r w:rsidRPr="00473715">
        <w:rPr>
          <w:rFonts w:ascii="Times New Roman" w:hAnsi="Times New Roman" w:cs="Times New Roman"/>
          <w:sz w:val="24"/>
        </w:rPr>
        <w:t xml:space="preserve">Plutarch, </w:t>
      </w:r>
      <w:r w:rsidRPr="00473715">
        <w:rPr>
          <w:rFonts w:ascii="Times New Roman" w:hAnsi="Times New Roman" w:cs="Times New Roman"/>
          <w:i/>
          <w:sz w:val="24"/>
        </w:rPr>
        <w:t xml:space="preserve">Alexander. </w:t>
      </w:r>
      <w:r w:rsidRPr="00473715">
        <w:rPr>
          <w:rFonts w:ascii="Times New Roman" w:hAnsi="Times New Roman" w:cs="Times New Roman"/>
          <w:sz w:val="24"/>
        </w:rPr>
        <w:t>Perrin (</w:t>
      </w:r>
      <w:proofErr w:type="gramStart"/>
      <w:r w:rsidRPr="00473715">
        <w:rPr>
          <w:rFonts w:ascii="Times New Roman" w:hAnsi="Times New Roman" w:cs="Times New Roman"/>
          <w:sz w:val="24"/>
        </w:rPr>
        <w:t>trans</w:t>
      </w:r>
      <w:proofErr w:type="gramEnd"/>
      <w:r w:rsidRPr="00473715">
        <w:rPr>
          <w:rFonts w:ascii="Times New Roman" w:hAnsi="Times New Roman" w:cs="Times New Roman"/>
          <w:sz w:val="24"/>
        </w:rPr>
        <w:t>.). 1919. Cambridge: Harvard University Press</w:t>
      </w:r>
    </w:p>
    <w:p w:rsidR="00B708AE" w:rsidRPr="00473715" w:rsidRDefault="00B708AE" w:rsidP="005F7113">
      <w:pPr>
        <w:rPr>
          <w:rFonts w:ascii="Times New Roman" w:hAnsi="Times New Roman" w:cs="Times New Roman"/>
          <w:sz w:val="24"/>
        </w:rPr>
      </w:pPr>
    </w:p>
    <w:p w:rsidR="00590473" w:rsidRPr="00473715" w:rsidRDefault="00B708AE" w:rsidP="00B708AE">
      <w:pPr>
        <w:jc w:val="center"/>
        <w:rPr>
          <w:rFonts w:ascii="Times New Roman" w:hAnsi="Times New Roman" w:cs="Times New Roman"/>
          <w:sz w:val="24"/>
          <w:u w:val="single"/>
        </w:rPr>
      </w:pPr>
      <w:r w:rsidRPr="00473715">
        <w:rPr>
          <w:rFonts w:ascii="Times New Roman" w:hAnsi="Times New Roman" w:cs="Times New Roman"/>
          <w:sz w:val="24"/>
          <w:u w:val="single"/>
        </w:rPr>
        <w:t>Modern:</w:t>
      </w:r>
    </w:p>
    <w:p w:rsidR="005F7113" w:rsidRPr="00473715" w:rsidRDefault="005F7113" w:rsidP="005F7113">
      <w:pPr>
        <w:rPr>
          <w:rFonts w:ascii="Times New Roman" w:hAnsi="Times New Roman" w:cs="Times New Roman"/>
          <w:sz w:val="24"/>
        </w:rPr>
      </w:pPr>
      <w:r w:rsidRPr="00473715">
        <w:rPr>
          <w:rFonts w:ascii="Times New Roman" w:hAnsi="Times New Roman" w:cs="Times New Roman"/>
          <w:sz w:val="24"/>
        </w:rPr>
        <w:t xml:space="preserve">Atkinson, J. E. 1994. ‘A commentary on Q. Curtius Rufus’ </w:t>
      </w:r>
      <w:proofErr w:type="spellStart"/>
      <w:r w:rsidRPr="00473715">
        <w:rPr>
          <w:rFonts w:ascii="Times New Roman" w:hAnsi="Times New Roman" w:cs="Times New Roman"/>
          <w:i/>
          <w:iCs/>
          <w:sz w:val="24"/>
        </w:rPr>
        <w:t>Historiae</w:t>
      </w:r>
      <w:proofErr w:type="spellEnd"/>
      <w:r w:rsidRPr="00473715">
        <w:rPr>
          <w:rFonts w:ascii="Times New Roman" w:hAnsi="Times New Roman" w:cs="Times New Roman"/>
          <w:i/>
          <w:iCs/>
          <w:sz w:val="24"/>
        </w:rPr>
        <w:t xml:space="preserve"> </w:t>
      </w:r>
      <w:proofErr w:type="spellStart"/>
      <w:r w:rsidRPr="00473715">
        <w:rPr>
          <w:rFonts w:ascii="Times New Roman" w:hAnsi="Times New Roman" w:cs="Times New Roman"/>
          <w:i/>
          <w:iCs/>
          <w:sz w:val="24"/>
        </w:rPr>
        <w:t>Alexandri</w:t>
      </w:r>
      <w:proofErr w:type="spellEnd"/>
      <w:r w:rsidRPr="00473715">
        <w:rPr>
          <w:rFonts w:ascii="Times New Roman" w:hAnsi="Times New Roman" w:cs="Times New Roman"/>
          <w:i/>
          <w:iCs/>
          <w:sz w:val="24"/>
        </w:rPr>
        <w:t xml:space="preserve"> </w:t>
      </w:r>
      <w:proofErr w:type="spellStart"/>
      <w:r w:rsidRPr="00473715">
        <w:rPr>
          <w:rFonts w:ascii="Times New Roman" w:hAnsi="Times New Roman" w:cs="Times New Roman"/>
          <w:i/>
          <w:iCs/>
          <w:sz w:val="24"/>
        </w:rPr>
        <w:t>Magni</w:t>
      </w:r>
      <w:proofErr w:type="spellEnd"/>
      <w:r w:rsidRPr="00473715">
        <w:rPr>
          <w:rFonts w:ascii="Times New Roman" w:hAnsi="Times New Roman" w:cs="Times New Roman"/>
          <w:sz w:val="24"/>
        </w:rPr>
        <w:t xml:space="preserve"> Books 5 to 7</w:t>
      </w:r>
      <w:proofErr w:type="gramStart"/>
      <w:r w:rsidRPr="00473715">
        <w:rPr>
          <w:rFonts w:ascii="Times New Roman" w:hAnsi="Times New Roman" w:cs="Times New Roman"/>
          <w:sz w:val="24"/>
        </w:rPr>
        <w:t>,2’</w:t>
      </w:r>
      <w:proofErr w:type="gramEnd"/>
      <w:r w:rsidRPr="00473715">
        <w:rPr>
          <w:rFonts w:ascii="Times New Roman" w:hAnsi="Times New Roman" w:cs="Times New Roman"/>
          <w:sz w:val="24"/>
        </w:rPr>
        <w:t xml:space="preserve"> , </w:t>
      </w:r>
      <w:proofErr w:type="spellStart"/>
      <w:r w:rsidRPr="00473715">
        <w:rPr>
          <w:rFonts w:ascii="Times New Roman" w:hAnsi="Times New Roman" w:cs="Times New Roman"/>
          <w:sz w:val="24"/>
        </w:rPr>
        <w:t>Acta</w:t>
      </w:r>
      <w:proofErr w:type="spellEnd"/>
      <w:r w:rsidRPr="00473715">
        <w:rPr>
          <w:rFonts w:ascii="Times New Roman" w:hAnsi="Times New Roman" w:cs="Times New Roman"/>
          <w:sz w:val="24"/>
        </w:rPr>
        <w:t xml:space="preserve"> Classica, </w:t>
      </w:r>
      <w:proofErr w:type="spellStart"/>
      <w:r w:rsidRPr="00473715">
        <w:rPr>
          <w:rFonts w:ascii="Times New Roman" w:hAnsi="Times New Roman" w:cs="Times New Roman"/>
          <w:sz w:val="24"/>
        </w:rPr>
        <w:t>Supplementum</w:t>
      </w:r>
      <w:proofErr w:type="spellEnd"/>
      <w:r w:rsidRPr="00473715">
        <w:rPr>
          <w:rFonts w:ascii="Times New Roman" w:hAnsi="Times New Roman" w:cs="Times New Roman"/>
          <w:sz w:val="24"/>
        </w:rPr>
        <w:t xml:space="preserve"> 1</w:t>
      </w:r>
    </w:p>
    <w:p w:rsidR="005F7113" w:rsidRPr="00473715" w:rsidRDefault="005F7113" w:rsidP="005F7113">
      <w:pPr>
        <w:rPr>
          <w:rFonts w:ascii="Times New Roman" w:hAnsi="Times New Roman" w:cs="Times New Roman"/>
          <w:sz w:val="24"/>
        </w:rPr>
      </w:pPr>
    </w:p>
    <w:p w:rsidR="005F7113" w:rsidRPr="00473715" w:rsidRDefault="005F7113" w:rsidP="005F7113">
      <w:pPr>
        <w:rPr>
          <w:rFonts w:ascii="Times New Roman" w:hAnsi="Times New Roman" w:cs="Times New Roman"/>
          <w:sz w:val="24"/>
        </w:rPr>
      </w:pPr>
      <w:r w:rsidRPr="00473715">
        <w:rPr>
          <w:rFonts w:ascii="Times New Roman" w:hAnsi="Times New Roman" w:cs="Times New Roman"/>
          <w:sz w:val="24"/>
        </w:rPr>
        <w:t xml:space="preserve">Badian, E. (1958). The Eunuch Bagoas. </w:t>
      </w:r>
      <w:r w:rsidRPr="00473715">
        <w:rPr>
          <w:rFonts w:ascii="Times New Roman" w:hAnsi="Times New Roman" w:cs="Times New Roman"/>
          <w:i/>
          <w:iCs/>
          <w:sz w:val="24"/>
        </w:rPr>
        <w:t>The Classical Quarterly,</w:t>
      </w:r>
      <w:r w:rsidRPr="00473715">
        <w:rPr>
          <w:rFonts w:ascii="Times New Roman" w:hAnsi="Times New Roman" w:cs="Times New Roman"/>
          <w:sz w:val="24"/>
        </w:rPr>
        <w:t xml:space="preserve"> </w:t>
      </w:r>
      <w:r w:rsidRPr="00473715">
        <w:rPr>
          <w:rFonts w:ascii="Times New Roman" w:hAnsi="Times New Roman" w:cs="Times New Roman"/>
          <w:i/>
          <w:iCs/>
          <w:sz w:val="24"/>
        </w:rPr>
        <w:t>8</w:t>
      </w:r>
      <w:r w:rsidRPr="00473715">
        <w:rPr>
          <w:rFonts w:ascii="Times New Roman" w:hAnsi="Times New Roman" w:cs="Times New Roman"/>
          <w:sz w:val="24"/>
        </w:rPr>
        <w:t xml:space="preserve">(3-4), 144-157. </w:t>
      </w:r>
      <w:proofErr w:type="gramStart"/>
      <w:r w:rsidRPr="00473715">
        <w:rPr>
          <w:rFonts w:ascii="Times New Roman" w:hAnsi="Times New Roman" w:cs="Times New Roman"/>
          <w:sz w:val="24"/>
        </w:rPr>
        <w:t>doi</w:t>
      </w:r>
      <w:proofErr w:type="gramEnd"/>
      <w:r w:rsidRPr="00473715">
        <w:rPr>
          <w:rFonts w:ascii="Times New Roman" w:hAnsi="Times New Roman" w:cs="Times New Roman"/>
          <w:sz w:val="24"/>
        </w:rPr>
        <w:t>: 10.1017/S0009838800021765</w:t>
      </w:r>
    </w:p>
    <w:p w:rsidR="005F7113" w:rsidRDefault="005F7113" w:rsidP="005F7113">
      <w:pPr>
        <w:rPr>
          <w:rFonts w:ascii="Times New Roman" w:hAnsi="Times New Roman" w:cs="Times New Roman"/>
          <w:sz w:val="24"/>
        </w:rPr>
      </w:pPr>
    </w:p>
    <w:p w:rsidR="005F7113" w:rsidRDefault="005F7113" w:rsidP="005F7113">
      <w:pPr>
        <w:rPr>
          <w:rFonts w:ascii="Times New Roman" w:hAnsi="Times New Roman" w:cs="Times New Roman"/>
          <w:sz w:val="24"/>
        </w:rPr>
      </w:pPr>
      <w:r w:rsidRPr="005F7113">
        <w:rPr>
          <w:rFonts w:ascii="Times New Roman" w:hAnsi="Times New Roman" w:cs="Times New Roman"/>
          <w:sz w:val="24"/>
        </w:rPr>
        <w:t xml:space="preserve">Ogden “Alexander’s Sex Life,” </w:t>
      </w:r>
      <w:r w:rsidRPr="005F7113">
        <w:rPr>
          <w:rFonts w:ascii="Times New Roman" w:hAnsi="Times New Roman" w:cs="Times New Roman"/>
          <w:i/>
          <w:iCs/>
          <w:sz w:val="24"/>
        </w:rPr>
        <w:t>Alexander the Great: A New History</w:t>
      </w:r>
      <w:r w:rsidRPr="005F7113">
        <w:rPr>
          <w:rFonts w:ascii="Times New Roman" w:hAnsi="Times New Roman" w:cs="Times New Roman"/>
          <w:sz w:val="24"/>
        </w:rPr>
        <w:t xml:space="preserve">, edited by </w:t>
      </w:r>
      <w:proofErr w:type="spellStart"/>
      <w:r w:rsidRPr="005F7113">
        <w:rPr>
          <w:rFonts w:ascii="Times New Roman" w:hAnsi="Times New Roman" w:cs="Times New Roman"/>
          <w:sz w:val="24"/>
        </w:rPr>
        <w:t>Waldemar</w:t>
      </w:r>
      <w:proofErr w:type="spellEnd"/>
      <w:r w:rsidRPr="005F7113">
        <w:rPr>
          <w:rFonts w:ascii="Times New Roman" w:hAnsi="Times New Roman" w:cs="Times New Roman"/>
          <w:sz w:val="24"/>
        </w:rPr>
        <w:t xml:space="preserve"> </w:t>
      </w:r>
      <w:proofErr w:type="spellStart"/>
      <w:r w:rsidRPr="005F7113">
        <w:rPr>
          <w:rFonts w:ascii="Times New Roman" w:hAnsi="Times New Roman" w:cs="Times New Roman"/>
          <w:sz w:val="24"/>
        </w:rPr>
        <w:t>Heckel</w:t>
      </w:r>
      <w:proofErr w:type="spellEnd"/>
      <w:r w:rsidRPr="005F7113">
        <w:rPr>
          <w:rFonts w:ascii="Times New Roman" w:hAnsi="Times New Roman" w:cs="Times New Roman"/>
          <w:sz w:val="24"/>
        </w:rPr>
        <w:t xml:space="preserve"> and Lawrence A. </w:t>
      </w:r>
      <w:proofErr w:type="spellStart"/>
      <w:r w:rsidRPr="005F7113">
        <w:rPr>
          <w:rFonts w:ascii="Times New Roman" w:hAnsi="Times New Roman" w:cs="Times New Roman"/>
          <w:sz w:val="24"/>
        </w:rPr>
        <w:t>Tritle</w:t>
      </w:r>
      <w:proofErr w:type="spellEnd"/>
      <w:r w:rsidRPr="005F7113">
        <w:rPr>
          <w:rFonts w:ascii="Times New Roman" w:hAnsi="Times New Roman" w:cs="Times New Roman"/>
          <w:sz w:val="24"/>
        </w:rPr>
        <w:t xml:space="preserve"> (Malden, MA: Wiley-Blackwell, 2009), pp. 203-217</w:t>
      </w:r>
    </w:p>
    <w:p w:rsidR="00473715" w:rsidRDefault="00473715" w:rsidP="005F7113">
      <w:pPr>
        <w:rPr>
          <w:rFonts w:ascii="Times New Roman" w:hAnsi="Times New Roman" w:cs="Times New Roman"/>
          <w:sz w:val="24"/>
        </w:rPr>
      </w:pPr>
    </w:p>
    <w:p w:rsidR="00473715" w:rsidRDefault="00473715" w:rsidP="005F7113">
      <w:pPr>
        <w:rPr>
          <w:rFonts w:ascii="Times New Roman" w:hAnsi="Times New Roman" w:cs="Times New Roman"/>
          <w:sz w:val="24"/>
        </w:rPr>
      </w:pPr>
      <w:r>
        <w:rPr>
          <w:rFonts w:ascii="Times New Roman" w:hAnsi="Times New Roman" w:cs="Times New Roman"/>
          <w:sz w:val="24"/>
        </w:rPr>
        <w:t xml:space="preserve">Renault, M. (1975). </w:t>
      </w:r>
      <w:r>
        <w:rPr>
          <w:rFonts w:ascii="Times New Roman" w:hAnsi="Times New Roman" w:cs="Times New Roman"/>
          <w:i/>
          <w:sz w:val="24"/>
        </w:rPr>
        <w:t xml:space="preserve">“The Nature of Alexander”, </w:t>
      </w:r>
      <w:r>
        <w:rPr>
          <w:rFonts w:ascii="Times New Roman" w:hAnsi="Times New Roman" w:cs="Times New Roman"/>
          <w:sz w:val="24"/>
        </w:rPr>
        <w:t>Penguin Books, St Ives, England</w:t>
      </w:r>
    </w:p>
    <w:p w:rsidR="00473715" w:rsidRDefault="00473715" w:rsidP="005F7113">
      <w:pPr>
        <w:rPr>
          <w:rFonts w:ascii="Times New Roman" w:hAnsi="Times New Roman" w:cs="Times New Roman"/>
          <w:sz w:val="24"/>
        </w:rPr>
      </w:pPr>
    </w:p>
    <w:p w:rsidR="00473715" w:rsidRPr="00473715" w:rsidRDefault="00473715" w:rsidP="005F7113">
      <w:pPr>
        <w:rPr>
          <w:rFonts w:ascii="Times New Roman" w:hAnsi="Times New Roman" w:cs="Times New Roman"/>
          <w:b/>
          <w:sz w:val="24"/>
        </w:rPr>
      </w:pPr>
      <w:proofErr w:type="spellStart"/>
      <w:r>
        <w:rPr>
          <w:rFonts w:ascii="Times New Roman" w:hAnsi="Times New Roman" w:cs="Times New Roman"/>
          <w:sz w:val="24"/>
        </w:rPr>
        <w:t>Romm</w:t>
      </w:r>
      <w:proofErr w:type="spellEnd"/>
      <w:r>
        <w:rPr>
          <w:rFonts w:ascii="Times New Roman" w:hAnsi="Times New Roman" w:cs="Times New Roman"/>
          <w:sz w:val="24"/>
        </w:rPr>
        <w:t xml:space="preserve">, J. (2012). </w:t>
      </w:r>
      <w:r>
        <w:rPr>
          <w:rFonts w:ascii="Times New Roman" w:hAnsi="Times New Roman" w:cs="Times New Roman"/>
          <w:i/>
          <w:sz w:val="24"/>
        </w:rPr>
        <w:t xml:space="preserve">The Campaigns of Alexander”, </w:t>
      </w:r>
      <w:r>
        <w:rPr>
          <w:rFonts w:ascii="Times New Roman" w:hAnsi="Times New Roman" w:cs="Times New Roman"/>
          <w:sz w:val="24"/>
        </w:rPr>
        <w:t>Anchor Books, New York, United States</w:t>
      </w:r>
    </w:p>
    <w:p w:rsidR="00FF550B" w:rsidRDefault="00FF550B" w:rsidP="005F7113">
      <w:pPr>
        <w:rPr>
          <w:rFonts w:ascii="Times New Roman" w:hAnsi="Times New Roman" w:cs="Times New Roman"/>
          <w:sz w:val="24"/>
        </w:rPr>
      </w:pPr>
    </w:p>
    <w:p w:rsidR="00FF550B" w:rsidRPr="00473715" w:rsidRDefault="00FF550B" w:rsidP="005F7113">
      <w:pPr>
        <w:rPr>
          <w:rFonts w:ascii="Times New Roman" w:hAnsi="Times New Roman" w:cs="Times New Roman"/>
          <w:sz w:val="24"/>
        </w:rPr>
      </w:pPr>
      <w:r>
        <w:rPr>
          <w:rFonts w:ascii="Times New Roman" w:hAnsi="Times New Roman" w:cs="Times New Roman"/>
          <w:sz w:val="24"/>
        </w:rPr>
        <w:t>Stoneman, R. (1991). “</w:t>
      </w:r>
      <w:r>
        <w:rPr>
          <w:rFonts w:ascii="Times New Roman" w:hAnsi="Times New Roman" w:cs="Times New Roman"/>
          <w:i/>
          <w:sz w:val="24"/>
        </w:rPr>
        <w:t xml:space="preserve">The Greek Alexander Romance”, </w:t>
      </w:r>
      <w:r w:rsidR="00473715">
        <w:rPr>
          <w:rFonts w:ascii="Times New Roman" w:hAnsi="Times New Roman" w:cs="Times New Roman"/>
          <w:sz w:val="24"/>
        </w:rPr>
        <w:t>Penguin Books</w:t>
      </w:r>
      <w:r w:rsidRPr="00473715">
        <w:rPr>
          <w:rFonts w:ascii="Times New Roman" w:hAnsi="Times New Roman" w:cs="Times New Roman"/>
          <w:sz w:val="24"/>
        </w:rPr>
        <w:t>, St Ives, England</w:t>
      </w:r>
    </w:p>
    <w:p w:rsidR="005F7113" w:rsidRDefault="005F7113" w:rsidP="005F7113">
      <w:pPr>
        <w:rPr>
          <w:rFonts w:ascii="Times New Roman" w:hAnsi="Times New Roman" w:cs="Times New Roman"/>
          <w:sz w:val="24"/>
        </w:rPr>
      </w:pPr>
    </w:p>
    <w:p w:rsidR="005F7113" w:rsidRPr="005F7113" w:rsidRDefault="005F7113" w:rsidP="005F7113">
      <w:pPr>
        <w:rPr>
          <w:rFonts w:ascii="Times New Roman" w:hAnsi="Times New Roman" w:cs="Times New Roman"/>
          <w:sz w:val="24"/>
        </w:rPr>
      </w:pPr>
      <w:proofErr w:type="spellStart"/>
      <w:r w:rsidRPr="005F7113">
        <w:rPr>
          <w:rFonts w:ascii="Times New Roman" w:hAnsi="Times New Roman" w:cs="Times New Roman"/>
          <w:sz w:val="24"/>
        </w:rPr>
        <w:t>Zuwiyya</w:t>
      </w:r>
      <w:proofErr w:type="spellEnd"/>
      <w:r w:rsidRPr="005F7113">
        <w:rPr>
          <w:rFonts w:ascii="Times New Roman" w:hAnsi="Times New Roman" w:cs="Times New Roman"/>
          <w:sz w:val="24"/>
        </w:rPr>
        <w:t xml:space="preserve">, David (ed.) (2011). </w:t>
      </w:r>
      <w:r w:rsidRPr="005F7113">
        <w:rPr>
          <w:rFonts w:ascii="Times New Roman" w:hAnsi="Times New Roman" w:cs="Times New Roman"/>
          <w:i/>
          <w:iCs/>
          <w:sz w:val="24"/>
        </w:rPr>
        <w:t xml:space="preserve">A Companion to Alexander Literature in the </w:t>
      </w:r>
      <w:proofErr w:type="gramStart"/>
      <w:r w:rsidRPr="005F7113">
        <w:rPr>
          <w:rFonts w:ascii="Times New Roman" w:hAnsi="Times New Roman" w:cs="Times New Roman"/>
          <w:i/>
          <w:iCs/>
          <w:sz w:val="24"/>
        </w:rPr>
        <w:t>Middle</w:t>
      </w:r>
      <w:proofErr w:type="gramEnd"/>
      <w:r w:rsidRPr="005F7113">
        <w:rPr>
          <w:rFonts w:ascii="Times New Roman" w:hAnsi="Times New Roman" w:cs="Times New Roman"/>
          <w:i/>
          <w:iCs/>
          <w:sz w:val="24"/>
        </w:rPr>
        <w:t xml:space="preserve"> Ages</w:t>
      </w:r>
      <w:r w:rsidRPr="005F7113">
        <w:rPr>
          <w:rFonts w:ascii="Times New Roman" w:hAnsi="Times New Roman" w:cs="Times New Roman"/>
          <w:sz w:val="24"/>
        </w:rPr>
        <w:t>. Brill.</w:t>
      </w:r>
    </w:p>
    <w:sectPr w:rsidR="005F7113" w:rsidRPr="005F71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F8"/>
    <w:rsid w:val="00117076"/>
    <w:rsid w:val="001423E5"/>
    <w:rsid w:val="001C34DC"/>
    <w:rsid w:val="00213B46"/>
    <w:rsid w:val="002264F9"/>
    <w:rsid w:val="00235E62"/>
    <w:rsid w:val="002552FD"/>
    <w:rsid w:val="002F1265"/>
    <w:rsid w:val="002F615E"/>
    <w:rsid w:val="00473715"/>
    <w:rsid w:val="0054381C"/>
    <w:rsid w:val="00590473"/>
    <w:rsid w:val="00593FF5"/>
    <w:rsid w:val="005F7113"/>
    <w:rsid w:val="0064786D"/>
    <w:rsid w:val="00662A3F"/>
    <w:rsid w:val="006E6632"/>
    <w:rsid w:val="00727666"/>
    <w:rsid w:val="007467F8"/>
    <w:rsid w:val="00793E5D"/>
    <w:rsid w:val="00847DD3"/>
    <w:rsid w:val="008A5A65"/>
    <w:rsid w:val="008B23C1"/>
    <w:rsid w:val="008E2517"/>
    <w:rsid w:val="009F2B9C"/>
    <w:rsid w:val="00A92AE9"/>
    <w:rsid w:val="00B43BB5"/>
    <w:rsid w:val="00B708AE"/>
    <w:rsid w:val="00C57D6C"/>
    <w:rsid w:val="00C73EB5"/>
    <w:rsid w:val="00CE5B0A"/>
    <w:rsid w:val="00FF5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DAB03-5D2B-4189-94C0-CFB070B7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3</Pages>
  <Words>1108</Words>
  <Characters>6318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cp:lastModifiedBy>
  <cp:revision>22</cp:revision>
  <dcterms:created xsi:type="dcterms:W3CDTF">2020-01-11T20:38:00Z</dcterms:created>
  <dcterms:modified xsi:type="dcterms:W3CDTF">2020-01-13T10:34:00Z</dcterms:modified>
</cp:coreProperties>
</file>