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docProps/app.xml" ContentType="application/vnd.openxmlformats-officedocument.extended-properties+xml"/>
  <Override PartName="/word/settings.xml" ContentType="application/vnd.openxmlformats-officedocument.wordprocessingml.settings+xml"/>
  <Override PartName="/word/footnotes.xml" ContentType="application/vnd.openxmlformats-officedocument.wordprocessingml.footnotes+xml"/>
  <Override PartName="/docProps/core.xml" ContentType="application/vnd.openxmlformats-package.core-properties+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styles.xml" ContentType="application/vnd.openxmlformats-officedocument.wordprocessingml.styles+xml"/>
  <Override PartName="/word/numbering.xml" ContentType="application/vnd.openxmlformats-officedocument.wordprocessingml.numbering+xml"/>
  <Override PartName="/docProps/custom.xml" ContentType="application/vnd.openxmlformats-officedocument.custom-properties+xml"/>
  <Override PartName="/word/theme/theme1.xml" ContentType="application/vnd.openxmlformats-officedocument.theme+xml"/>
  <Override PartName="/word/document.xml" ContentType="application/vnd.openxmlformats-officedocument.wordprocessingml.document.main+xml"/>
</Types>
</file>

<file path=_rels/.rels><?xml version="1.0" encoding="UTF-8"?>
<Relationships xmlns="http://schemas.openxmlformats.org/package/2006/relationships"><Relationship Id="rId2" Type="http://schemas.openxmlformats.org/package/2006/relationships/metadata/core-properties" Target="docProps/core.xml"/><Relationship Id="rId3" Type="http://schemas.openxmlformats.org/officeDocument/2006/relationships/extended-properties" Target="docProps/app.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body>
    <w:p>
      <w:pPr>
        <w:pStyle w:val="style94"/>
        <w:spacing w:before="0" w:after="0"/>
        <w:ind w:left="-180" w:right="-334"/>
        <w:rPr/>
      </w:pPr>
      <w:r>
        <w:rPr>
          <w:noProof/>
        </w:rPr>
        <w:drawing>
          <wp:inline distT="0" distR="0" distL="0" distB="0">
            <wp:extent cx="1907540" cy="635635"/>
            <wp:effectExtent l="0" t="0" r="0" b="0"/>
            <wp:docPr id="1026" name="Image1"/>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a:blip r:embed="rId2" cstate="print"/>
                    <a:srcRect l="0" t="0" r="0" b="0"/>
                    <a:stretch/>
                  </pic:blipFill>
                  <pic:spPr>
                    <a:xfrm rot="0">
                      <a:off x="0" y="0"/>
                      <a:ext cx="1907540" cy="635635"/>
                    </a:xfrm>
                    <a:prstGeom prst="rect"/>
                  </pic:spPr>
                </pic:pic>
              </a:graphicData>
            </a:graphic>
          </wp:inline>
        </w:drawing>
      </w:r>
    </w:p>
    <w:p>
      <w:pPr>
        <w:pStyle w:val="style94"/>
        <w:spacing w:before="0" w:after="0"/>
        <w:ind w:left="-180" w:right="-334"/>
        <w:rPr/>
      </w:pPr>
    </w:p>
    <w:p>
      <w:pPr>
        <w:pStyle w:val="style94"/>
        <w:spacing w:before="0" w:after="0"/>
        <w:ind w:left="-180" w:right="-334"/>
        <w:rPr/>
      </w:pPr>
    </w:p>
    <w:p>
      <w:pPr>
        <w:pStyle w:val="style94"/>
        <w:spacing w:before="0" w:after="0"/>
        <w:ind w:left="-180" w:right="-334"/>
        <w:jc w:val="center"/>
        <w:rPr/>
      </w:pPr>
      <w:r>
        <w:rPr>
          <w:rFonts w:ascii="Arial" w:hAnsi="Arial"/>
          <w:b/>
          <w:sz w:val="28"/>
          <w:szCs w:val="28"/>
        </w:rPr>
        <w:t>Postgraduate</w:t>
      </w:r>
      <w:r>
        <w:rPr>
          <w:rFonts w:ascii="Arial" w:hAnsi="Arial"/>
          <w:b/>
          <w:sz w:val="28"/>
          <w:szCs w:val="28"/>
        </w:rPr>
        <w:t>/Distance</w:t>
      </w:r>
      <w:r>
        <w:rPr>
          <w:rFonts w:ascii="Arial" w:hAnsi="Arial"/>
          <w:b/>
          <w:sz w:val="28"/>
          <w:szCs w:val="28"/>
        </w:rPr>
        <w:t xml:space="preserve"> </w:t>
      </w:r>
      <w:r>
        <w:rPr>
          <w:rFonts w:ascii="Arial" w:hAnsi="Arial"/>
          <w:b/>
          <w:sz w:val="28"/>
          <w:szCs w:val="28"/>
        </w:rPr>
        <w:t>Learning</w:t>
      </w:r>
      <w:r>
        <w:rPr>
          <w:rFonts w:ascii="Arial" w:hAnsi="Arial"/>
          <w:b/>
          <w:sz w:val="28"/>
          <w:szCs w:val="28"/>
        </w:rPr>
        <w:t xml:space="preserve"> </w:t>
      </w:r>
    </w:p>
    <w:p>
      <w:pPr>
        <w:pStyle w:val="style94"/>
        <w:spacing w:before="0" w:after="0"/>
        <w:ind w:left="-180" w:right="-334"/>
        <w:jc w:val="center"/>
        <w:rPr/>
      </w:pPr>
      <w:r>
        <w:rPr>
          <w:rFonts w:ascii="Arial" w:hAnsi="Arial"/>
          <w:b/>
          <w:sz w:val="28"/>
          <w:szCs w:val="28"/>
        </w:rPr>
        <w:t>A</w:t>
      </w:r>
      <w:r>
        <w:rPr>
          <w:rFonts w:ascii="Arial" w:hAnsi="Arial"/>
          <w:b/>
          <w:sz w:val="28"/>
          <w:szCs w:val="28"/>
        </w:rPr>
        <w:t>ssignment</w:t>
      </w:r>
      <w:r>
        <w:rPr>
          <w:rFonts w:ascii="Arial" w:hAnsi="Arial"/>
          <w:b/>
          <w:sz w:val="28"/>
          <w:szCs w:val="28"/>
        </w:rPr>
        <w:t xml:space="preserve"> </w:t>
      </w:r>
      <w:r>
        <w:rPr>
          <w:rFonts w:ascii="Arial" w:hAnsi="Arial"/>
          <w:b/>
          <w:sz w:val="28"/>
          <w:szCs w:val="28"/>
        </w:rPr>
        <w:t>coversheet</w:t>
      </w:r>
      <w:r>
        <w:rPr>
          <w:rFonts w:ascii="Arial" w:hAnsi="Arial"/>
          <w:b/>
          <w:sz w:val="28"/>
          <w:szCs w:val="28"/>
        </w:rPr>
        <w:t xml:space="preserve"> </w:t>
      </w:r>
      <w:r>
        <w:rPr>
          <w:rFonts w:ascii="Arial" w:hAnsi="Arial"/>
          <w:b/>
          <w:sz w:val="28"/>
          <w:szCs w:val="28"/>
        </w:rPr>
        <w:t>&amp;</w:t>
      </w:r>
      <w:r>
        <w:rPr>
          <w:rFonts w:ascii="Arial" w:hAnsi="Arial"/>
          <w:b/>
          <w:sz w:val="28"/>
          <w:szCs w:val="28"/>
        </w:rPr>
        <w:t xml:space="preserve"> </w:t>
      </w:r>
      <w:r>
        <w:rPr>
          <w:rFonts w:ascii="Arial" w:hAnsi="Arial"/>
          <w:b/>
          <w:sz w:val="28"/>
          <w:szCs w:val="28"/>
        </w:rPr>
        <w:t>feedback</w:t>
      </w:r>
      <w:r>
        <w:rPr>
          <w:rFonts w:ascii="Arial" w:hAnsi="Arial"/>
          <w:b/>
          <w:sz w:val="28"/>
          <w:szCs w:val="28"/>
        </w:rPr>
        <w:t xml:space="preserve"> </w:t>
      </w:r>
      <w:r>
        <w:rPr>
          <w:rFonts w:ascii="Arial" w:hAnsi="Arial"/>
          <w:b/>
          <w:sz w:val="28"/>
          <w:szCs w:val="28"/>
        </w:rPr>
        <w:t>form</w:t>
      </w:r>
    </w:p>
    <w:p>
      <w:pPr>
        <w:pStyle w:val="style0"/>
        <w:rPr/>
      </w:pPr>
    </w:p>
    <w:p>
      <w:pPr>
        <w:pStyle w:val="style4101"/>
        <w:jc w:val="center"/>
        <w:rPr/>
      </w:pPr>
      <w:r>
        <w:t>THIS</w:t>
      </w:r>
      <w:r>
        <w:t xml:space="preserve"> </w:t>
      </w:r>
      <w:r>
        <w:t>SHEET</w:t>
      </w:r>
      <w:r>
        <w:t xml:space="preserve"> </w:t>
      </w:r>
      <w:r>
        <w:t>MUST</w:t>
      </w:r>
      <w:r>
        <w:t xml:space="preserve"> </w:t>
      </w:r>
      <w:r>
        <w:t>BE</w:t>
      </w:r>
      <w:r>
        <w:t xml:space="preserve"> </w:t>
      </w:r>
      <w:r>
        <w:t>THE</w:t>
      </w:r>
      <w:r>
        <w:t xml:space="preserve"> </w:t>
      </w:r>
      <w:r>
        <w:t>FIRST</w:t>
      </w:r>
      <w:r>
        <w:t xml:space="preserve"> </w:t>
      </w:r>
      <w:r>
        <w:t>PAGE</w:t>
      </w:r>
      <w:r>
        <w:t xml:space="preserve"> </w:t>
      </w:r>
      <w:r>
        <w:t>OF</w:t>
      </w:r>
      <w:r>
        <w:t xml:space="preserve"> </w:t>
      </w:r>
      <w:r>
        <w:t>THE</w:t>
      </w:r>
      <w:r>
        <w:t xml:space="preserve"> </w:t>
      </w:r>
      <w:r>
        <w:t>ASSIGNMENT</w:t>
      </w:r>
      <w:r>
        <w:t xml:space="preserve"> </w:t>
      </w:r>
      <w:r>
        <w:t>YOU</w:t>
      </w:r>
      <w:r>
        <w:t xml:space="preserve"> </w:t>
      </w:r>
      <w:r>
        <w:t>ARE</w:t>
      </w:r>
      <w:r>
        <w:t xml:space="preserve"> </w:t>
      </w:r>
      <w:r>
        <w:t>SUBMITTING</w:t>
      </w:r>
      <w:r>
        <w:t xml:space="preserve">  </w:t>
      </w:r>
      <w:r>
        <w:t>(DO</w:t>
      </w:r>
      <w:r>
        <w:t xml:space="preserve"> </w:t>
      </w:r>
      <w:r>
        <w:t>NOT</w:t>
      </w:r>
      <w:r>
        <w:t xml:space="preserve"> </w:t>
      </w:r>
      <w:r>
        <w:t>SEND</w:t>
      </w:r>
      <w:r>
        <w:t xml:space="preserve"> </w:t>
      </w:r>
      <w:r>
        <w:t>AS</w:t>
      </w:r>
      <w:r>
        <w:t xml:space="preserve"> </w:t>
      </w:r>
      <w:r>
        <w:t>A</w:t>
      </w:r>
      <w:r>
        <w:t xml:space="preserve"> </w:t>
      </w:r>
      <w:r>
        <w:t>SEPARATE</w:t>
      </w:r>
      <w:r>
        <w:t xml:space="preserve"> </w:t>
      </w:r>
      <w:r>
        <w:t>FILE)</w:t>
      </w:r>
    </w:p>
    <w:p>
      <w:pPr>
        <w:pStyle w:val="style4101"/>
        <w:jc w:val="center"/>
        <w:rPr/>
      </w:pPr>
    </w:p>
    <w:tbl>
      <w:tblPr>
        <w:jc w:val="left"/>
      </w:tblPr>
      <w:tblGrid>
        <w:gridCol w:w="4788"/>
        <w:gridCol w:w="423"/>
        <w:gridCol w:w="1557"/>
        <w:gridCol w:w="285"/>
        <w:gridCol w:w="1802"/>
        <w:gridCol w:w="1"/>
      </w:tblGrid>
      <w:tr>
        <w:trPr>
          <w:cantSplit w:val="false"/>
          <w:trHeight w:val="614"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94"/>
              <w:spacing w:before="0" w:after="0"/>
              <w:ind w:right="34"/>
              <w:rPr/>
            </w:pPr>
            <w:r>
              <w:rPr>
                <w:rFonts w:ascii="Arial" w:hAnsi="Arial"/>
                <w:b/>
                <w:sz w:val="22"/>
                <w:szCs w:val="22"/>
              </w:rPr>
              <w:t>For</w:t>
            </w:r>
            <w:r>
              <w:rPr>
                <w:rFonts w:ascii="Arial" w:hAnsi="Arial"/>
                <w:b/>
                <w:sz w:val="22"/>
                <w:szCs w:val="22"/>
              </w:rPr>
              <w:t xml:space="preserve"> </w:t>
            </w:r>
            <w:r>
              <w:rPr>
                <w:rFonts w:ascii="Arial" w:hAnsi="Arial"/>
                <w:b/>
                <w:sz w:val="22"/>
                <w:szCs w:val="22"/>
              </w:rPr>
              <w:t>completion</w:t>
            </w:r>
            <w:r>
              <w:rPr>
                <w:rFonts w:ascii="Arial" w:hAnsi="Arial"/>
                <w:b/>
                <w:sz w:val="22"/>
                <w:szCs w:val="22"/>
              </w:rPr>
              <w:t xml:space="preserve"> </w:t>
            </w:r>
            <w:r>
              <w:rPr>
                <w:rFonts w:ascii="Arial" w:hAnsi="Arial"/>
                <w:b/>
                <w:sz w:val="22"/>
                <w:szCs w:val="22"/>
              </w:rPr>
              <w:t>by</w:t>
            </w:r>
            <w:r>
              <w:rPr>
                <w:rFonts w:ascii="Arial" w:hAnsi="Arial"/>
                <w:b/>
                <w:sz w:val="22"/>
                <w:szCs w:val="22"/>
              </w:rPr>
              <w:t xml:space="preserve"> </w:t>
            </w:r>
            <w:r>
              <w:rPr>
                <w:rFonts w:ascii="Arial" w:hAnsi="Arial"/>
                <w:b/>
                <w:sz w:val="22"/>
                <w:szCs w:val="22"/>
              </w:rPr>
              <w:t>the</w:t>
            </w:r>
            <w:r>
              <w:rPr>
                <w:rFonts w:ascii="Arial" w:hAnsi="Arial"/>
                <w:b/>
                <w:sz w:val="22"/>
                <w:szCs w:val="22"/>
              </w:rPr>
              <w:t xml:space="preserve"> </w:t>
            </w:r>
            <w:r>
              <w:rPr>
                <w:rFonts w:ascii="Arial" w:hAnsi="Arial"/>
                <w:b/>
                <w:sz w:val="22"/>
                <w:szCs w:val="22"/>
              </w:rPr>
              <w:t>student</w:t>
            </w:r>
            <w:r>
              <w:rPr>
                <w:rFonts w:ascii="Arial" w:hAnsi="Arial"/>
                <w:sz w:val="22"/>
                <w:szCs w:val="22"/>
              </w:rPr>
              <w:t>:</w:t>
            </w:r>
          </w:p>
        </w:tc>
      </w:tr>
      <w:tr>
        <w:tblPrEx/>
        <w:trPr>
          <w:cantSplit w:val="false"/>
          <w:trHeight w:val="718"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94"/>
              <w:spacing w:before="0" w:after="0"/>
              <w:ind w:right="34"/>
              <w:rPr/>
            </w:pPr>
            <w:r>
              <w:rPr>
                <w:rFonts w:ascii="Arial" w:hAnsi="Arial"/>
                <w:sz w:val="22"/>
                <w:szCs w:val="22"/>
              </w:rPr>
              <w:t>Student</w:t>
            </w:r>
            <w:r>
              <w:rPr>
                <w:rFonts w:ascii="Arial" w:hAnsi="Arial"/>
                <w:sz w:val="22"/>
                <w:szCs w:val="22"/>
              </w:rPr>
              <w:t xml:space="preserve"> </w:t>
            </w:r>
            <w:r>
              <w:rPr>
                <w:rFonts w:ascii="Arial" w:hAnsi="Arial"/>
                <w:sz w:val="22"/>
                <w:szCs w:val="22"/>
              </w:rPr>
              <w:t>Na</w:t>
            </w:r>
            <w:r>
              <w:rPr>
                <w:rFonts w:ascii="Arial" w:hAnsi="Arial"/>
                <w:sz w:val="22"/>
                <w:szCs w:val="22"/>
              </w:rPr>
              <w:t>me:</w:t>
            </w:r>
            <w:r>
              <w:rPr>
                <w:rFonts w:ascii="Arial" w:hAnsi="Arial"/>
                <w:sz w:val="22"/>
                <w:szCs w:val="22"/>
              </w:rPr>
              <w:t>Catherine Hornby</w:t>
            </w:r>
          </w:p>
          <w:p>
            <w:pPr>
              <w:pStyle w:val="style94"/>
              <w:spacing w:before="0" w:after="0"/>
              <w:ind w:right="34"/>
              <w:rPr/>
            </w:pPr>
          </w:p>
          <w:p>
            <w:pPr>
              <w:pStyle w:val="style94"/>
              <w:spacing w:before="0" w:after="0"/>
              <w:ind w:right="34"/>
              <w:rPr/>
            </w:pPr>
            <w:r>
              <w:rPr>
                <w:rFonts w:ascii="Arial" w:hAnsi="Arial"/>
                <w:sz w:val="22"/>
                <w:szCs w:val="22"/>
              </w:rPr>
              <w:t>Student</w:t>
            </w:r>
            <w:r>
              <w:rPr>
                <w:rFonts w:ascii="Arial" w:hAnsi="Arial"/>
                <w:sz w:val="22"/>
                <w:szCs w:val="22"/>
              </w:rPr>
              <w:t xml:space="preserve"> </w:t>
            </w:r>
            <w:r>
              <w:rPr>
                <w:rFonts w:ascii="Arial" w:hAnsi="Arial"/>
                <w:b/>
                <w:sz w:val="22"/>
                <w:szCs w:val="22"/>
                <w:u w:val="single"/>
              </w:rPr>
              <w:t>University</w:t>
            </w:r>
            <w:r>
              <w:rPr>
                <w:rFonts w:ascii="Arial" w:hAnsi="Arial"/>
                <w:sz w:val="22"/>
                <w:szCs w:val="22"/>
                <w:u w:val="single"/>
              </w:rPr>
              <w:t xml:space="preserve"> </w:t>
            </w:r>
            <w:r>
              <w:rPr>
                <w:rFonts w:ascii="Arial" w:hAnsi="Arial"/>
                <w:sz w:val="22"/>
                <w:szCs w:val="22"/>
              </w:rPr>
              <w:t>Email:</w:t>
            </w:r>
            <w:r>
              <w:rPr>
                <w:rFonts w:ascii="Arial" w:hAnsi="Arial"/>
                <w:sz w:val="22"/>
                <w:szCs w:val="22"/>
              </w:rPr>
              <w:t xml:space="preserve"> </w:t>
            </w:r>
            <w:r>
              <w:rPr>
                <w:rFonts w:ascii="Arial" w:hAnsi="Arial"/>
                <w:sz w:val="22"/>
                <w:szCs w:val="22"/>
              </w:rPr>
              <w:t>27001103@s</w:t>
            </w:r>
            <w:r>
              <w:rPr>
                <w:rFonts w:ascii="Arial" w:hAnsi="Arial"/>
                <w:sz w:val="22"/>
                <w:szCs w:val="22"/>
              </w:rPr>
              <w:t>tudent.uwtsd.ac.uk</w:t>
            </w:r>
          </w:p>
        </w:tc>
      </w:tr>
      <w:tr>
        <w:tblPrEx/>
        <w:trPr>
          <w:gridAfter w:val="1"/>
          <w:cantSplit w:val="false"/>
          <w:trHeight w:val="849" w:hRule="atLeast"/>
          <w:tblHeader w:val="false"/>
          <w:jc w:val="left"/>
        </w:trPr>
        <w:tc>
          <w:tcPr>
            <w:tcW w:w="4788" w:type="dxa"/>
            <w:tcBorders>
              <w:top w:val="single" w:sz="4" w:space="0" w:color="auto"/>
              <w:left w:val="single" w:sz="4" w:space="0" w:color="auto"/>
              <w:bottom w:val="single" w:sz="4" w:space="0" w:color="auto"/>
              <w:right w:val="single" w:sz="4" w:space="0" w:color="auto"/>
            </w:tcBorders>
          </w:tcPr>
          <w:p>
            <w:pPr>
              <w:pStyle w:val="style94"/>
              <w:spacing w:before="0" w:after="0"/>
              <w:ind w:right="34"/>
              <w:rPr/>
            </w:pPr>
            <w:r>
              <w:rPr>
                <w:rFonts w:ascii="Arial" w:hAnsi="Arial"/>
                <w:sz w:val="22"/>
                <w:szCs w:val="22"/>
              </w:rPr>
              <w:t>Module</w:t>
            </w:r>
            <w:r>
              <w:rPr>
                <w:rFonts w:ascii="Arial" w:hAnsi="Arial"/>
                <w:sz w:val="22"/>
                <w:szCs w:val="22"/>
              </w:rPr>
              <w:t xml:space="preserve"> </w:t>
            </w:r>
            <w:r>
              <w:rPr>
                <w:rFonts w:ascii="Arial" w:hAnsi="Arial"/>
                <w:sz w:val="22"/>
                <w:szCs w:val="22"/>
              </w:rPr>
              <w:t>code:</w:t>
            </w:r>
          </w:p>
          <w:p>
            <w:pPr>
              <w:pStyle w:val="style94"/>
              <w:spacing w:before="0" w:after="0"/>
              <w:ind w:right="34"/>
              <w:rPr/>
            </w:pPr>
            <w:r>
              <w:t>HPCA7028</w:t>
            </w:r>
          </w:p>
          <w:p>
            <w:pPr>
              <w:pStyle w:val="style94"/>
              <w:spacing w:before="0" w:after="0"/>
              <w:ind w:right="34"/>
              <w:rPr/>
            </w:pPr>
            <w:r>
              <w:rPr>
                <w:rFonts w:ascii="Arial" w:hAnsi="Arial"/>
                <w:sz w:val="22"/>
                <w:szCs w:val="22"/>
              </w:rPr>
              <w:t>Module</w:t>
            </w:r>
            <w:r>
              <w:rPr>
                <w:rFonts w:ascii="Arial" w:hAnsi="Arial"/>
                <w:sz w:val="22"/>
                <w:szCs w:val="22"/>
              </w:rPr>
              <w:t xml:space="preserve"> </w:t>
            </w:r>
            <w:r>
              <w:rPr>
                <w:rFonts w:ascii="Arial" w:hAnsi="Arial"/>
                <w:sz w:val="22"/>
                <w:szCs w:val="22"/>
              </w:rPr>
              <w:t>title:</w:t>
            </w:r>
          </w:p>
          <w:p>
            <w:pPr>
              <w:pStyle w:val="style94"/>
              <w:spacing w:before="0" w:after="0"/>
              <w:ind w:right="34"/>
              <w:rPr/>
            </w:pPr>
          </w:p>
          <w:p>
            <w:pPr>
              <w:pStyle w:val="style94"/>
              <w:spacing w:before="0" w:after="0"/>
              <w:ind w:right="34"/>
              <w:rPr/>
            </w:pPr>
            <w:r>
              <w:t>Sacred Skies</w:t>
            </w:r>
          </w:p>
        </w:tc>
        <w:tc>
          <w:tcPr>
            <w:tcW w:w="2265" w:type="dxa"/>
            <w:gridSpan w:val="3"/>
            <w:tcBorders>
              <w:top w:val="single" w:sz="4" w:space="0" w:color="auto"/>
              <w:left w:val="single" w:sz="4" w:space="0" w:color="auto"/>
              <w:bottom w:val="single" w:sz="4" w:space="0" w:color="auto"/>
              <w:right w:val="single" w:sz="4" w:space="0" w:color="auto"/>
            </w:tcBorders>
          </w:tcPr>
          <w:p>
            <w:pPr>
              <w:pStyle w:val="style94"/>
              <w:spacing w:before="0" w:after="0"/>
              <w:ind w:right="34"/>
              <w:rPr>
                <w:rFonts w:ascii="Arial" w:hAnsi="Arial"/>
                <w:sz w:val="22"/>
                <w:szCs w:val="22"/>
              </w:rPr>
            </w:pPr>
            <w:r>
              <w:rPr>
                <w:rFonts w:ascii="Arial" w:hAnsi="Arial"/>
                <w:sz w:val="22"/>
                <w:szCs w:val="22"/>
              </w:rPr>
              <w:t>Student</w:t>
            </w:r>
            <w:r>
              <w:rPr>
                <w:rFonts w:ascii="Arial" w:hAnsi="Arial"/>
                <w:sz w:val="22"/>
                <w:szCs w:val="22"/>
              </w:rPr>
              <w:t xml:space="preserve"> </w:t>
            </w:r>
            <w:r>
              <w:rPr>
                <w:rFonts w:ascii="Arial" w:hAnsi="Arial"/>
                <w:sz w:val="22"/>
                <w:szCs w:val="22"/>
              </w:rPr>
              <w:t>ID</w:t>
            </w:r>
            <w:r>
              <w:rPr>
                <w:rFonts w:ascii="Arial" w:hAnsi="Arial"/>
                <w:sz w:val="22"/>
                <w:szCs w:val="22"/>
              </w:rPr>
              <w:t xml:space="preserve"> </w:t>
            </w:r>
            <w:r>
              <w:rPr>
                <w:rFonts w:ascii="Arial" w:hAnsi="Arial"/>
                <w:sz w:val="22"/>
                <w:szCs w:val="22"/>
              </w:rPr>
              <w:t>number:</w:t>
            </w:r>
          </w:p>
          <w:p>
            <w:pPr>
              <w:pStyle w:val="style4094"/>
              <w:numPr>
                <w:ilvl w:val="0"/>
                <w:numId w:val="0"/>
              </w:numPr>
              <w:spacing w:before="0" w:after="0"/>
              <w:ind w:right="34"/>
              <w:rPr/>
            </w:pPr>
            <w:r>
              <w:rPr>
                <w:rFonts w:ascii="Arial" w:hAnsi="Arial"/>
                <w:sz w:val="22"/>
                <w:szCs w:val="22"/>
              </w:rPr>
              <w:t>27001103</w:t>
            </w:r>
          </w:p>
        </w:tc>
        <w:tc>
          <w:tcPr>
            <w:tcW w:w="1802" w:type="dxa"/>
            <w:tcBorders>
              <w:top w:val="single" w:sz="4" w:space="0" w:color="auto"/>
              <w:left w:val="single" w:sz="4" w:space="0" w:color="auto"/>
              <w:bottom w:val="single" w:sz="4" w:space="0" w:color="auto"/>
              <w:right w:val="single" w:sz="4" w:space="0" w:color="auto"/>
            </w:tcBorders>
          </w:tcPr>
          <w:p>
            <w:pPr>
              <w:pStyle w:val="style94"/>
              <w:spacing w:before="0" w:after="0"/>
              <w:ind w:right="34"/>
              <w:rPr/>
            </w:pPr>
            <w:r>
              <w:rPr>
                <w:rFonts w:ascii="Arial" w:hAnsi="Arial"/>
                <w:sz w:val="22"/>
                <w:szCs w:val="22"/>
              </w:rPr>
              <w:t>Educational</w:t>
            </w:r>
            <w:r>
              <w:rPr>
                <w:rFonts w:ascii="Arial" w:hAnsi="Arial"/>
                <w:sz w:val="22"/>
                <w:szCs w:val="22"/>
              </w:rPr>
              <w:t xml:space="preserve"> </w:t>
            </w:r>
            <w:r>
              <w:rPr>
                <w:rFonts w:ascii="Arial" w:hAnsi="Arial"/>
                <w:sz w:val="22"/>
                <w:szCs w:val="22"/>
              </w:rPr>
              <w:t>support</w:t>
            </w:r>
            <w:r>
              <w:rPr>
                <w:rFonts w:ascii="Arial" w:hAnsi="Arial"/>
                <w:sz w:val="22"/>
                <w:szCs w:val="22"/>
              </w:rPr>
              <w:t xml:space="preserve"> </w:t>
            </w:r>
            <w:r>
              <w:rPr>
                <w:rFonts w:ascii="Arial" w:hAnsi="Arial"/>
                <w:sz w:val="22"/>
                <w:szCs w:val="22"/>
              </w:rPr>
              <w:t>needs:</w:t>
            </w:r>
          </w:p>
          <w:p>
            <w:pPr>
              <w:pStyle w:val="style94"/>
              <w:spacing w:before="0" w:after="0"/>
              <w:ind w:right="34"/>
              <w:rPr/>
            </w:pPr>
            <w:r>
              <w:rPr>
                <w:rFonts w:ascii="Arial" w:hAnsi="Arial"/>
                <w:sz w:val="22"/>
                <w:szCs w:val="22"/>
              </w:rPr>
              <w:t>Yes/</w:t>
            </w:r>
          </w:p>
        </w:tc>
      </w:tr>
      <w:tr>
        <w:tblPrEx/>
        <w:trPr>
          <w:cantSplit w:val="false"/>
          <w:trHeight w:val="1139"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94"/>
              <w:spacing w:before="0" w:after="0"/>
              <w:ind w:right="34"/>
              <w:rPr/>
            </w:pPr>
            <w:r>
              <w:rPr>
                <w:rFonts w:ascii="Arial" w:hAnsi="Arial"/>
                <w:sz w:val="22"/>
                <w:szCs w:val="22"/>
              </w:rPr>
              <w:t>Assignment</w:t>
            </w:r>
            <w:r>
              <w:rPr>
                <w:rFonts w:ascii="Arial" w:hAnsi="Arial"/>
                <w:sz w:val="22"/>
                <w:szCs w:val="22"/>
              </w:rPr>
              <w:t xml:space="preserve"> </w:t>
            </w:r>
            <w:r>
              <w:rPr>
                <w:rFonts w:ascii="Arial" w:hAnsi="Arial"/>
                <w:sz w:val="22"/>
                <w:szCs w:val="22"/>
              </w:rPr>
              <w:t>title:</w:t>
            </w:r>
          </w:p>
          <w:p>
            <w:pPr>
              <w:pStyle w:val="style94"/>
              <w:spacing w:before="0" w:after="0"/>
              <w:ind w:right="34"/>
              <w:rPr/>
            </w:pPr>
            <w:r>
              <w:t xml:space="preserve">Depictions of </w:t>
            </w:r>
            <w:r>
              <w:t>Heaven in Three Sky Paintings of the Italian Renaissance</w:t>
            </w:r>
          </w:p>
          <w:p>
            <w:pPr>
              <w:pStyle w:val="style94"/>
              <w:spacing w:before="0" w:after="0"/>
              <w:ind w:right="34"/>
              <w:rPr/>
            </w:pPr>
          </w:p>
          <w:p>
            <w:pPr>
              <w:pStyle w:val="style94"/>
              <w:spacing w:before="0" w:after="0"/>
              <w:ind w:right="34"/>
              <w:rPr/>
            </w:pPr>
            <w:r>
              <w:rPr>
                <w:rFonts w:ascii="Arial" w:hAnsi="Arial"/>
                <w:sz w:val="22"/>
                <w:szCs w:val="22"/>
              </w:rPr>
              <w:t>Assignment</w:t>
            </w:r>
            <w:r>
              <w:rPr>
                <w:rFonts w:ascii="Arial" w:hAnsi="Arial"/>
                <w:sz w:val="22"/>
                <w:szCs w:val="22"/>
              </w:rPr>
              <w:t xml:space="preserve"> </w:t>
            </w:r>
            <w:r>
              <w:rPr>
                <w:rFonts w:ascii="Arial" w:hAnsi="Arial"/>
                <w:sz w:val="22"/>
                <w:szCs w:val="22"/>
              </w:rPr>
              <w:t>due</w:t>
            </w:r>
            <w:r>
              <w:rPr>
                <w:rFonts w:ascii="Arial" w:hAnsi="Arial"/>
                <w:sz w:val="22"/>
                <w:szCs w:val="22"/>
              </w:rPr>
              <w:t xml:space="preserve"> </w:t>
            </w:r>
            <w:r>
              <w:rPr>
                <w:rFonts w:ascii="Arial" w:hAnsi="Arial"/>
                <w:sz w:val="22"/>
                <w:szCs w:val="22"/>
              </w:rPr>
              <w:t>date:</w:t>
            </w:r>
            <w:r>
              <w:rPr>
                <w:rFonts w:ascii="Arial" w:hAnsi="Arial"/>
                <w:sz w:val="22"/>
                <w:szCs w:val="22"/>
              </w:rPr>
              <w:t>11\5\2023</w:t>
            </w:r>
          </w:p>
        </w:tc>
      </w:tr>
      <w:tr>
        <w:tblPrEx/>
        <w:trPr>
          <w:cantSplit w:val="false"/>
          <w:trHeight w:val="978"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0"/>
              <w:rPr>
                <w:rFonts w:ascii="Arial" w:hAnsi="Arial"/>
                <w:sz w:val="22"/>
                <w:szCs w:val="22"/>
                <w:vertAlign w:val="superscript"/>
              </w:rPr>
            </w:pPr>
            <w:r>
              <w:rPr>
                <w:rFonts w:ascii="Arial" w:hAnsi="Arial"/>
                <w:sz w:val="22"/>
                <w:szCs w:val="22"/>
              </w:rPr>
              <w:t>This</w:t>
            </w:r>
            <w:r>
              <w:rPr>
                <w:rFonts w:ascii="Arial" w:hAnsi="Arial"/>
                <w:sz w:val="22"/>
                <w:szCs w:val="22"/>
              </w:rPr>
              <w:t xml:space="preserve"> </w:t>
            </w:r>
            <w:r>
              <w:rPr>
                <w:rFonts w:ascii="Arial" w:hAnsi="Arial"/>
                <w:sz w:val="22"/>
                <w:szCs w:val="22"/>
              </w:rPr>
              <w:t>assignment</w:t>
            </w:r>
            <w:r>
              <w:rPr>
                <w:rFonts w:ascii="Arial" w:hAnsi="Arial"/>
                <w:sz w:val="22"/>
                <w:szCs w:val="22"/>
              </w:rPr>
              <w:t xml:space="preserve"> </w:t>
            </w:r>
            <w:r>
              <w:rPr>
                <w:rFonts w:ascii="Arial" w:hAnsi="Arial"/>
                <w:sz w:val="22"/>
                <w:szCs w:val="22"/>
              </w:rPr>
              <w:t>is</w:t>
            </w:r>
            <w:r>
              <w:rPr>
                <w:rFonts w:ascii="Arial" w:hAnsi="Arial"/>
                <w:sz w:val="22"/>
                <w:szCs w:val="22"/>
              </w:rPr>
              <w:t xml:space="preserve"> </w:t>
            </w:r>
            <w:r>
              <w:rPr>
                <w:rFonts w:ascii="Arial" w:hAnsi="Arial"/>
                <w:sz w:val="22"/>
                <w:szCs w:val="22"/>
              </w:rPr>
              <w:t>for</w:t>
            </w:r>
            <w:r>
              <w:rPr>
                <w:rFonts w:ascii="Arial" w:hAnsi="Arial"/>
                <w:sz w:val="22"/>
                <w:szCs w:val="22"/>
              </w:rPr>
              <w:t xml:space="preserve"> </w:t>
            </w:r>
            <w:r>
              <w:rPr>
                <w:rFonts w:ascii="Arial" w:hAnsi="Arial"/>
                <w:sz w:val="22"/>
                <w:szCs w:val="22"/>
              </w:rPr>
              <w:t>the</w:t>
            </w:r>
            <w:r>
              <w:rPr>
                <w:rFonts w:ascii="Arial" w:hAnsi="Arial"/>
                <w:sz w:val="22"/>
                <w:szCs w:val="22"/>
              </w:rPr>
              <w:t xml:space="preserve">       </w:t>
            </w:r>
            <w:r>
              <w:rPr>
                <w:rFonts w:ascii="Arial" w:hAnsi="Arial"/>
                <w:sz w:val="22"/>
                <w:szCs w:val="22"/>
              </w:rPr>
              <w:t>1</w:t>
            </w:r>
            <w:r>
              <w:rPr>
                <w:rFonts w:ascii="Arial" w:hAnsi="Arial"/>
                <w:sz w:val="22"/>
                <w:szCs w:val="22"/>
                <w:vertAlign w:val="superscript"/>
              </w:rPr>
              <w:t>st</w:t>
            </w:r>
            <w:r>
              <w:rPr>
                <w:rFonts w:ascii="Arial" w:hAnsi="Arial"/>
                <w:sz w:val="22"/>
                <w:szCs w:val="22"/>
                <w:vertAlign w:val="superscript"/>
              </w:rPr>
              <w:t>X</w:t>
            </w:r>
          </w:p>
          <w:p>
            <w:pPr>
              <w:pStyle w:val="style0"/>
              <w:ind w:left="0" w:firstLine="0"/>
              <w:rPr>
                <w:rFonts w:ascii="Arial" w:hAnsi="Arial"/>
                <w:sz w:val="22"/>
                <w:szCs w:val="22"/>
                <w:vertAlign w:val="superscript"/>
              </w:rPr>
            </w:pPr>
            <w:r>
              <w:rPr>
                <w:rFonts w:ascii="Arial" w:hAnsi="Arial"/>
                <w:sz w:val="22"/>
                <w:szCs w:val="22"/>
                <w:vertAlign w:val="superscript"/>
              </w:rPr>
              <w:t xml:space="preserve">        </w:t>
            </w:r>
          </w:p>
          <w:p>
            <w:pPr>
              <w:pStyle w:val="style0"/>
              <w:rPr/>
            </w:pPr>
            <w:r>
              <w:rPr>
                <w:rFonts w:ascii="Arial" w:hAnsi="Arial"/>
                <w:sz w:val="22"/>
                <w:szCs w:val="22"/>
                <w:vertAlign w:val="superscript"/>
              </w:rPr>
              <w:t xml:space="preserve"> </w:t>
            </w:r>
            <w:r>
              <w:rPr>
                <w:rFonts w:ascii="Arial" w:hAnsi="Arial"/>
                <w:sz w:val="22"/>
                <w:szCs w:val="22"/>
              </w:rPr>
              <w:t xml:space="preserve">    </w:t>
            </w:r>
            <w:r>
              <w:rPr>
                <w:rFonts w:ascii="Arial" w:hAnsi="Arial"/>
                <w:sz w:val="22"/>
                <w:szCs w:val="22"/>
              </w:rPr>
              <w:t>2</w:t>
            </w:r>
            <w:r>
              <w:rPr>
                <w:rFonts w:ascii="Arial" w:hAnsi="Arial"/>
                <w:sz w:val="22"/>
                <w:szCs w:val="22"/>
                <w:vertAlign w:val="superscript"/>
              </w:rPr>
              <w:t>nd</w:t>
            </w:r>
            <w:r>
              <w:rPr>
                <w:rFonts w:ascii="Arial" w:hAnsi="Arial"/>
                <w:sz w:val="22"/>
                <w:szCs w:val="22"/>
              </w:rPr>
              <w:t xml:space="preserve">  </w:t>
            </w:r>
            <w:r>
              <w:rPr>
                <w:rFonts w:ascii="Arial" w:hAnsi="Arial"/>
                <w:sz w:val="22"/>
                <w:szCs w:val="22"/>
              </w:rPr>
              <w:t xml:space="preserve">     </w:t>
            </w:r>
            <w:r>
              <w:rPr>
                <w:rFonts w:ascii="Arial" w:hAnsi="Arial"/>
                <w:sz w:val="22"/>
                <w:szCs w:val="22"/>
              </w:rPr>
              <w:t>3</w:t>
            </w:r>
            <w:r>
              <w:rPr>
                <w:rFonts w:ascii="Arial" w:hAnsi="Arial"/>
                <w:sz w:val="22"/>
                <w:szCs w:val="22"/>
                <w:vertAlign w:val="superscript"/>
              </w:rPr>
              <w:t>rd</w:t>
            </w:r>
            <w:r>
              <w:rPr>
                <w:rFonts w:ascii="Arial" w:hAnsi="Arial"/>
                <w:sz w:val="22"/>
                <w:szCs w:val="22"/>
              </w:rPr>
              <w:t xml:space="preserve">  </w:t>
            </w:r>
            <w:r>
              <w:rPr>
                <w:rFonts w:ascii="Arial" w:hAnsi="Arial"/>
                <w:sz w:val="22"/>
                <w:szCs w:val="22"/>
              </w:rPr>
              <w:t xml:space="preserve">      </w:t>
            </w:r>
            <w:r>
              <w:rPr>
                <w:rFonts w:ascii="Arial" w:hAnsi="Arial"/>
                <w:sz w:val="22"/>
                <w:szCs w:val="22"/>
              </w:rPr>
              <w:t>4</w:t>
            </w:r>
            <w:r>
              <w:rPr>
                <w:rFonts w:ascii="Arial" w:hAnsi="Arial"/>
                <w:sz w:val="22"/>
                <w:szCs w:val="22"/>
                <w:vertAlign w:val="superscript"/>
              </w:rPr>
              <w:t>th</w:t>
            </w:r>
            <w:r>
              <w:rPr>
                <w:rFonts w:ascii="Arial" w:hAnsi="Arial"/>
                <w:sz w:val="22"/>
                <w:szCs w:val="22"/>
              </w:rPr>
              <w:t xml:space="preserve"> </w:t>
            </w:r>
            <w:r>
              <w:rPr>
                <w:rFonts w:ascii="Arial" w:hAnsi="Arial"/>
                <w:sz w:val="22"/>
                <w:szCs w:val="22"/>
              </w:rPr>
              <w:t xml:space="preserve">      </w:t>
            </w:r>
            <w:r>
              <w:rPr>
                <w:rFonts w:ascii="Arial" w:hAnsi="Arial"/>
                <w:sz w:val="22"/>
                <w:szCs w:val="22"/>
              </w:rPr>
              <w:t>5</w:t>
            </w:r>
            <w:r>
              <w:rPr>
                <w:rFonts w:ascii="Arial" w:hAnsi="Arial"/>
                <w:sz w:val="22"/>
                <w:szCs w:val="22"/>
                <w:vertAlign w:val="superscript"/>
              </w:rPr>
              <w:t>th</w:t>
            </w:r>
            <w:r>
              <w:rPr>
                <w:rFonts w:ascii="Arial" w:hAnsi="Arial"/>
                <w:sz w:val="22"/>
                <w:szCs w:val="22"/>
              </w:rPr>
              <w:t xml:space="preserve"> </w:t>
            </w:r>
            <w:r>
              <w:rPr>
                <w:rFonts w:ascii="Arial" w:hAnsi="Arial"/>
                <w:sz w:val="22"/>
                <w:szCs w:val="22"/>
              </w:rPr>
              <w:t xml:space="preserve">      </w:t>
            </w:r>
            <w:r>
              <w:rPr>
                <w:rFonts w:ascii="Arial" w:hAnsi="Arial"/>
                <w:sz w:val="22"/>
                <w:szCs w:val="22"/>
              </w:rPr>
              <w:t>6</w:t>
            </w:r>
            <w:r>
              <w:rPr>
                <w:rFonts w:ascii="Arial" w:hAnsi="Arial"/>
                <w:sz w:val="22"/>
                <w:szCs w:val="22"/>
                <w:vertAlign w:val="superscript"/>
              </w:rPr>
              <w:t>th</w:t>
            </w:r>
            <w:r>
              <w:rPr>
                <w:rFonts w:ascii="Arial" w:hAnsi="Arial"/>
                <w:sz w:val="22"/>
                <w:szCs w:val="22"/>
              </w:rPr>
              <w:t xml:space="preserve"> </w:t>
            </w:r>
            <w:r>
              <w:rPr>
                <w:rFonts w:ascii="Arial" w:hAnsi="Arial"/>
                <w:b/>
                <w:sz w:val="22"/>
                <w:szCs w:val="22"/>
              </w:rPr>
              <w:t xml:space="preserve">   </w:t>
            </w:r>
            <w:r>
              <w:rPr>
                <w:rFonts w:ascii="Arial" w:hAnsi="Arial"/>
                <w:sz w:val="22"/>
                <w:szCs w:val="22"/>
              </w:rPr>
              <w:t>module</w:t>
            </w:r>
            <w:r>
              <w:rPr>
                <w:rFonts w:ascii="Arial" w:hAnsi="Arial"/>
                <w:sz w:val="22"/>
                <w:szCs w:val="22"/>
              </w:rPr>
              <w:t xml:space="preserve"> </w:t>
            </w:r>
            <w:r>
              <w:rPr>
                <w:rFonts w:ascii="Arial" w:hAnsi="Arial"/>
                <w:sz w:val="22"/>
                <w:szCs w:val="22"/>
              </w:rPr>
              <w:t>of</w:t>
            </w:r>
            <w:r>
              <w:rPr>
                <w:rFonts w:ascii="Arial" w:hAnsi="Arial"/>
                <w:sz w:val="22"/>
                <w:szCs w:val="22"/>
              </w:rPr>
              <w:t xml:space="preserve"> </w:t>
            </w:r>
            <w:r>
              <w:rPr>
                <w:rFonts w:ascii="Arial" w:hAnsi="Arial"/>
                <w:sz w:val="22"/>
                <w:szCs w:val="22"/>
              </w:rPr>
              <w:t>the</w:t>
            </w:r>
            <w:r>
              <w:rPr>
                <w:rFonts w:ascii="Arial" w:hAnsi="Arial"/>
                <w:sz w:val="22"/>
                <w:szCs w:val="22"/>
              </w:rPr>
              <w:t xml:space="preserve"> </w:t>
            </w:r>
            <w:r>
              <w:rPr>
                <w:rFonts w:ascii="Arial" w:hAnsi="Arial"/>
                <w:sz w:val="22"/>
                <w:szCs w:val="22"/>
              </w:rPr>
              <w:t>degre</w:t>
            </w:r>
            <w:r>
              <w:rPr>
                <w:rFonts w:ascii="Arial" w:hAnsi="Arial"/>
                <w:sz w:val="22"/>
                <w:szCs w:val="22"/>
              </w:rPr>
              <w:t>e</w:t>
            </w:r>
          </w:p>
        </w:tc>
      </w:tr>
      <w:tr>
        <w:tblPrEx/>
        <w:trPr>
          <w:cantSplit w:val="false"/>
          <w:trHeight w:val="978"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shd w:val="nil" w:color="auto" w:fill="d9d9d9"/>
          </w:tcPr>
          <w:p>
            <w:pPr>
              <w:pStyle w:val="style94"/>
              <w:spacing w:before="0" w:after="0"/>
              <w:ind w:right="34"/>
              <w:rPr/>
            </w:pPr>
            <w:r>
              <w:rPr>
                <w:rFonts w:ascii="Arial" w:hAnsi="Arial"/>
                <w:sz w:val="22"/>
                <w:szCs w:val="22"/>
              </w:rPr>
              <w:t>I</w:t>
            </w:r>
            <w:r>
              <w:rPr>
                <w:rFonts w:ascii="Arial" w:hAnsi="Arial"/>
                <w:sz w:val="22"/>
                <w:szCs w:val="22"/>
              </w:rPr>
              <w:t xml:space="preserve"> </w:t>
            </w:r>
            <w:r>
              <w:rPr>
                <w:rFonts w:ascii="Arial" w:hAnsi="Arial"/>
                <w:sz w:val="22"/>
                <w:szCs w:val="22"/>
              </w:rPr>
              <w:t>confirm</w:t>
            </w:r>
            <w:r>
              <w:rPr>
                <w:rFonts w:ascii="Arial" w:hAnsi="Arial"/>
                <w:sz w:val="22"/>
                <w:szCs w:val="22"/>
              </w:rPr>
              <w:t xml:space="preserve"> </w:t>
            </w:r>
            <w:r>
              <w:rPr>
                <w:rFonts w:ascii="Arial" w:hAnsi="Arial"/>
                <w:sz w:val="22"/>
                <w:szCs w:val="22"/>
              </w:rPr>
              <w:t>that</w:t>
            </w:r>
            <w:r>
              <w:rPr>
                <w:rFonts w:ascii="Arial" w:hAnsi="Arial"/>
                <w:sz w:val="22"/>
                <w:szCs w:val="22"/>
              </w:rPr>
              <w:t xml:space="preserve"> </w:t>
            </w:r>
            <w:r>
              <w:rPr>
                <w:rFonts w:ascii="Arial" w:hAnsi="Arial"/>
                <w:sz w:val="22"/>
                <w:szCs w:val="22"/>
              </w:rPr>
              <w:t>this</w:t>
            </w:r>
            <w:r>
              <w:rPr>
                <w:rFonts w:ascii="Arial" w:hAnsi="Arial"/>
                <w:sz w:val="22"/>
                <w:szCs w:val="22"/>
              </w:rPr>
              <w:t xml:space="preserve"> </w:t>
            </w:r>
            <w:r>
              <w:rPr>
                <w:rFonts w:ascii="Arial" w:hAnsi="Arial"/>
                <w:sz w:val="22"/>
                <w:szCs w:val="22"/>
              </w:rPr>
              <w:t>is</w:t>
            </w:r>
            <w:r>
              <w:rPr>
                <w:rFonts w:ascii="Arial" w:hAnsi="Arial"/>
                <w:sz w:val="22"/>
                <w:szCs w:val="22"/>
              </w:rPr>
              <w:t xml:space="preserve"> </w:t>
            </w:r>
            <w:r>
              <w:rPr>
                <w:rFonts w:ascii="Arial" w:hAnsi="Arial"/>
                <w:sz w:val="22"/>
                <w:szCs w:val="22"/>
              </w:rPr>
              <w:t>my</w:t>
            </w:r>
            <w:r>
              <w:rPr>
                <w:rFonts w:ascii="Arial" w:hAnsi="Arial"/>
                <w:sz w:val="22"/>
                <w:szCs w:val="22"/>
              </w:rPr>
              <w:t xml:space="preserve"> </w:t>
            </w:r>
            <w:r>
              <w:rPr>
                <w:rFonts w:ascii="Arial" w:hAnsi="Arial"/>
                <w:sz w:val="22"/>
                <w:szCs w:val="22"/>
              </w:rPr>
              <w:t>original</w:t>
            </w:r>
            <w:r>
              <w:rPr>
                <w:rFonts w:ascii="Arial" w:hAnsi="Arial"/>
                <w:sz w:val="22"/>
                <w:szCs w:val="22"/>
              </w:rPr>
              <w:t xml:space="preserve"> </w:t>
            </w:r>
            <w:r>
              <w:rPr>
                <w:rFonts w:ascii="Arial" w:hAnsi="Arial"/>
                <w:sz w:val="22"/>
                <w:szCs w:val="22"/>
              </w:rPr>
              <w:t>work</w:t>
            </w:r>
            <w:r>
              <w:rPr>
                <w:rFonts w:ascii="Arial" w:hAnsi="Arial"/>
                <w:sz w:val="22"/>
                <w:szCs w:val="22"/>
              </w:rPr>
              <w:t xml:space="preserve"> </w:t>
            </w:r>
            <w:r>
              <w:rPr>
                <w:rFonts w:ascii="Arial" w:hAnsi="Arial"/>
                <w:sz w:val="22"/>
                <w:szCs w:val="22"/>
              </w:rPr>
              <w:t>and</w:t>
            </w:r>
            <w:r>
              <w:rPr>
                <w:rFonts w:ascii="Arial" w:hAnsi="Arial"/>
                <w:sz w:val="22"/>
                <w:szCs w:val="22"/>
              </w:rPr>
              <w:t xml:space="preserve"> </w:t>
            </w:r>
            <w:r>
              <w:rPr>
                <w:rFonts w:ascii="Arial" w:hAnsi="Arial"/>
                <w:sz w:val="22"/>
                <w:szCs w:val="22"/>
              </w:rPr>
              <w:t>that</w:t>
            </w:r>
            <w:r>
              <w:rPr>
                <w:rFonts w:ascii="Arial" w:hAnsi="Arial"/>
                <w:sz w:val="22"/>
                <w:szCs w:val="22"/>
              </w:rPr>
              <w:t xml:space="preserve"> </w:t>
            </w:r>
            <w:r>
              <w:rPr>
                <w:rFonts w:ascii="Arial" w:hAnsi="Arial"/>
                <w:sz w:val="22"/>
                <w:szCs w:val="22"/>
              </w:rPr>
              <w:t>I</w:t>
            </w:r>
            <w:r>
              <w:rPr>
                <w:rFonts w:ascii="Arial" w:hAnsi="Arial"/>
                <w:sz w:val="22"/>
                <w:szCs w:val="22"/>
              </w:rPr>
              <w:t xml:space="preserve"> </w:t>
            </w:r>
            <w:r>
              <w:rPr>
                <w:rFonts w:ascii="Arial" w:hAnsi="Arial"/>
                <w:sz w:val="22"/>
                <w:szCs w:val="22"/>
              </w:rPr>
              <w:t>have</w:t>
            </w:r>
            <w:r>
              <w:rPr>
                <w:rFonts w:ascii="Arial" w:hAnsi="Arial"/>
                <w:sz w:val="22"/>
                <w:szCs w:val="22"/>
              </w:rPr>
              <w:t xml:space="preserve"> </w:t>
            </w:r>
            <w:r>
              <w:rPr>
                <w:rFonts w:ascii="Arial" w:hAnsi="Arial"/>
                <w:sz w:val="22"/>
                <w:szCs w:val="22"/>
              </w:rPr>
              <w:t>adhered</w:t>
            </w:r>
            <w:r>
              <w:rPr>
                <w:rFonts w:ascii="Arial" w:hAnsi="Arial"/>
                <w:sz w:val="22"/>
                <w:szCs w:val="22"/>
              </w:rPr>
              <w:t xml:space="preserve"> </w:t>
            </w:r>
            <w:r>
              <w:rPr>
                <w:rFonts w:ascii="Arial" w:hAnsi="Arial"/>
                <w:sz w:val="22"/>
                <w:szCs w:val="22"/>
              </w:rPr>
              <w:t>to</w:t>
            </w:r>
            <w:r>
              <w:rPr>
                <w:rFonts w:ascii="Arial" w:hAnsi="Arial"/>
                <w:sz w:val="22"/>
                <w:szCs w:val="22"/>
              </w:rPr>
              <w:t xml:space="preserve"> </w:t>
            </w:r>
            <w:r>
              <w:rPr>
                <w:rFonts w:ascii="Arial" w:hAnsi="Arial"/>
                <w:sz w:val="22"/>
                <w:szCs w:val="22"/>
              </w:rPr>
              <w:t>the</w:t>
            </w:r>
            <w:r>
              <w:rPr>
                <w:rFonts w:ascii="Arial" w:hAnsi="Arial"/>
                <w:sz w:val="22"/>
                <w:szCs w:val="22"/>
              </w:rPr>
              <w:t xml:space="preserve"> </w:t>
            </w:r>
            <w:r>
              <w:rPr>
                <w:rFonts w:ascii="Arial" w:hAnsi="Arial"/>
                <w:sz w:val="22"/>
                <w:szCs w:val="22"/>
              </w:rPr>
              <w:t>University</w:t>
            </w:r>
            <w:r>
              <w:rPr>
                <w:rFonts w:ascii="Arial" w:hAnsi="Arial"/>
                <w:sz w:val="22"/>
                <w:szCs w:val="22"/>
              </w:rPr>
              <w:t xml:space="preserve"> </w:t>
            </w:r>
            <w:r>
              <w:rPr>
                <w:rFonts w:ascii="Arial" w:hAnsi="Arial"/>
                <w:sz w:val="22"/>
                <w:szCs w:val="22"/>
              </w:rPr>
              <w:t>policy</w:t>
            </w:r>
            <w:r>
              <w:rPr>
                <w:rFonts w:ascii="Arial" w:hAnsi="Arial"/>
                <w:sz w:val="22"/>
                <w:szCs w:val="22"/>
              </w:rPr>
              <w:t xml:space="preserve"> </w:t>
            </w:r>
            <w:r>
              <w:rPr>
                <w:rFonts w:ascii="Arial" w:hAnsi="Arial"/>
                <w:sz w:val="22"/>
                <w:szCs w:val="22"/>
              </w:rPr>
              <w:t>on</w:t>
            </w:r>
            <w:r>
              <w:rPr>
                <w:rFonts w:ascii="Arial" w:hAnsi="Arial"/>
                <w:sz w:val="22"/>
                <w:szCs w:val="22"/>
              </w:rPr>
              <w:t xml:space="preserve"> </w:t>
            </w:r>
            <w:r>
              <w:rPr>
                <w:rFonts w:ascii="Arial" w:hAnsi="Arial"/>
                <w:sz w:val="22"/>
                <w:szCs w:val="22"/>
              </w:rPr>
              <w:t>plagiarism.</w:t>
            </w:r>
            <w:r>
              <w:rPr>
                <w:rFonts w:ascii="Arial" w:hAnsi="Arial"/>
                <w:sz w:val="22"/>
                <w:szCs w:val="22"/>
              </w:rPr>
              <w:t>C. Hornby</w:t>
            </w:r>
          </w:p>
          <w:p>
            <w:pPr>
              <w:pStyle w:val="style94"/>
              <w:spacing w:before="0" w:after="0"/>
              <w:ind w:right="34"/>
              <w:rPr/>
            </w:pPr>
            <w:r>
              <w:rPr>
                <w:rFonts w:ascii="Arial" w:hAnsi="Arial"/>
                <w:sz w:val="22"/>
                <w:szCs w:val="22"/>
              </w:rPr>
              <w:t>Signed</w:t>
            </w:r>
            <w:r>
              <w:rPr>
                <w:rFonts w:ascii="Arial" w:hAnsi="Arial"/>
                <w:sz w:val="22"/>
                <w:szCs w:val="22"/>
              </w:rPr>
              <w:t xml:space="preserve"> </w:t>
            </w:r>
            <w:r>
              <w:rPr>
                <w:rFonts w:ascii="Arial" w:hAnsi="Arial"/>
                <w:sz w:val="22"/>
                <w:szCs w:val="22"/>
              </w:rPr>
              <w:t>……………………………………………………</w:t>
            </w:r>
            <w:r>
              <w:rPr>
                <w:rFonts w:ascii="Arial" w:hAnsi="Arial"/>
                <w:sz w:val="22"/>
                <w:szCs w:val="22"/>
              </w:rPr>
              <w:t>………</w:t>
            </w:r>
          </w:p>
          <w:p>
            <w:pPr>
              <w:pStyle w:val="style94"/>
              <w:spacing w:before="0" w:after="0"/>
              <w:ind w:right="34"/>
              <w:rPr/>
            </w:pPr>
            <w:r>
              <w:rPr>
                <w:rFonts w:ascii="Calibri" w:hAnsi="Calibri"/>
                <w:b/>
                <w:sz w:val="24"/>
                <w:szCs w:val="24"/>
              </w:rPr>
              <w:t>Email</w:t>
            </w:r>
            <w:r>
              <w:rPr>
                <w:rFonts w:ascii="Calibri" w:hAnsi="Calibri"/>
                <w:b/>
                <w:sz w:val="24"/>
                <w:szCs w:val="24"/>
              </w:rPr>
              <w:t xml:space="preserve"> </w:t>
            </w:r>
            <w:r>
              <w:rPr>
                <w:rFonts w:ascii="Calibri" w:hAnsi="Calibri"/>
                <w:b/>
                <w:sz w:val="24"/>
                <w:szCs w:val="24"/>
              </w:rPr>
              <w:t>submission:</w:t>
            </w:r>
            <w:r>
              <w:rPr>
                <w:rFonts w:ascii="Calibri" w:hAnsi="Calibri"/>
                <w:b/>
                <w:sz w:val="24"/>
                <w:szCs w:val="24"/>
              </w:rPr>
              <w:t>if</w:t>
            </w:r>
            <w:r>
              <w:rPr>
                <w:rFonts w:ascii="Calibri" w:hAnsi="Calibri"/>
                <w:b/>
                <w:sz w:val="24"/>
                <w:szCs w:val="24"/>
              </w:rPr>
              <w:t xml:space="preserve"> </w:t>
            </w:r>
            <w:r>
              <w:rPr>
                <w:rFonts w:ascii="Calibri" w:hAnsi="Calibri"/>
                <w:b/>
                <w:sz w:val="24"/>
                <w:szCs w:val="24"/>
              </w:rPr>
              <w:t>you</w:t>
            </w:r>
            <w:r>
              <w:rPr>
                <w:rFonts w:ascii="Calibri" w:hAnsi="Calibri"/>
                <w:b/>
                <w:sz w:val="24"/>
                <w:szCs w:val="24"/>
              </w:rPr>
              <w:t xml:space="preserve"> </w:t>
            </w:r>
            <w:r>
              <w:rPr>
                <w:rFonts w:ascii="Calibri" w:hAnsi="Calibri"/>
                <w:b/>
                <w:sz w:val="24"/>
                <w:szCs w:val="24"/>
              </w:rPr>
              <w:t>are</w:t>
            </w:r>
            <w:r>
              <w:rPr>
                <w:rFonts w:ascii="Calibri" w:hAnsi="Calibri"/>
                <w:b/>
                <w:sz w:val="24"/>
                <w:szCs w:val="24"/>
              </w:rPr>
              <w:t xml:space="preserve"> </w:t>
            </w:r>
            <w:r>
              <w:rPr>
                <w:rFonts w:ascii="Calibri" w:hAnsi="Calibri"/>
                <w:b/>
                <w:sz w:val="24"/>
                <w:szCs w:val="24"/>
              </w:rPr>
              <w:t>submitting</w:t>
            </w:r>
            <w:r>
              <w:rPr>
                <w:rFonts w:ascii="Calibri" w:hAnsi="Calibri"/>
                <w:b/>
                <w:sz w:val="24"/>
                <w:szCs w:val="24"/>
              </w:rPr>
              <w:t xml:space="preserve"> </w:t>
            </w:r>
            <w:r>
              <w:rPr>
                <w:rFonts w:ascii="Calibri" w:hAnsi="Calibri"/>
                <w:b/>
                <w:sz w:val="24"/>
                <w:szCs w:val="24"/>
              </w:rPr>
              <w:t>this</w:t>
            </w:r>
            <w:r>
              <w:rPr>
                <w:rFonts w:ascii="Calibri" w:hAnsi="Calibri"/>
                <w:b/>
                <w:sz w:val="24"/>
                <w:szCs w:val="24"/>
              </w:rPr>
              <w:t xml:space="preserve"> </w:t>
            </w:r>
            <w:r>
              <w:rPr>
                <w:rFonts w:ascii="Calibri" w:hAnsi="Calibri"/>
                <w:b/>
                <w:sz w:val="24"/>
                <w:szCs w:val="24"/>
              </w:rPr>
              <w:t>form</w:t>
            </w:r>
            <w:r>
              <w:rPr>
                <w:rFonts w:ascii="Calibri" w:hAnsi="Calibri"/>
                <w:b/>
                <w:sz w:val="24"/>
                <w:szCs w:val="24"/>
              </w:rPr>
              <w:t xml:space="preserve"> </w:t>
            </w:r>
            <w:r>
              <w:rPr>
                <w:rFonts w:ascii="Calibri" w:hAnsi="Calibri"/>
                <w:b/>
                <w:sz w:val="24"/>
                <w:szCs w:val="24"/>
              </w:rPr>
              <w:t>via</w:t>
            </w:r>
            <w:r>
              <w:rPr>
                <w:rFonts w:ascii="Calibri" w:hAnsi="Calibri"/>
                <w:b/>
                <w:sz w:val="24"/>
                <w:szCs w:val="24"/>
              </w:rPr>
              <w:t xml:space="preserve"> </w:t>
            </w:r>
            <w:r>
              <w:rPr>
                <w:rFonts w:ascii="Calibri" w:hAnsi="Calibri"/>
                <w:b/>
                <w:sz w:val="24"/>
                <w:szCs w:val="24"/>
              </w:rPr>
              <w:t>email,</w:t>
            </w:r>
            <w:r>
              <w:rPr>
                <w:rFonts w:ascii="Calibri" w:hAnsi="Calibri"/>
                <w:b/>
                <w:sz w:val="24"/>
                <w:szCs w:val="24"/>
              </w:rPr>
              <w:t xml:space="preserve"> </w:t>
            </w:r>
            <w:r>
              <w:rPr>
                <w:rFonts w:ascii="Calibri" w:hAnsi="Calibri"/>
                <w:b/>
                <w:sz w:val="24"/>
                <w:szCs w:val="24"/>
              </w:rPr>
              <w:t>please</w:t>
            </w:r>
            <w:r>
              <w:rPr>
                <w:rFonts w:ascii="Calibri" w:hAnsi="Calibri"/>
                <w:b/>
                <w:sz w:val="24"/>
                <w:szCs w:val="24"/>
              </w:rPr>
              <w:t xml:space="preserve"> </w:t>
            </w:r>
            <w:r>
              <w:rPr>
                <w:rFonts w:ascii="Calibri" w:hAnsi="Calibri"/>
                <w:b/>
                <w:sz w:val="24"/>
                <w:szCs w:val="24"/>
              </w:rPr>
              <w:t>tick</w:t>
            </w:r>
            <w:r>
              <w:rPr>
                <w:rFonts w:ascii="Calibri" w:hAnsi="Calibri"/>
                <w:b/>
                <w:sz w:val="24"/>
                <w:szCs w:val="24"/>
              </w:rPr>
              <w:t xml:space="preserve"> </w:t>
            </w:r>
            <w:r>
              <w:rPr>
                <w:rFonts w:ascii="Calibri" w:hAnsi="Calibri"/>
                <w:b/>
                <w:sz w:val="24"/>
                <w:szCs w:val="24"/>
              </w:rPr>
              <w:t>this</w:t>
            </w:r>
            <w:r>
              <w:rPr>
                <w:rFonts w:ascii="Calibri" w:hAnsi="Calibri"/>
                <w:b/>
                <w:sz w:val="24"/>
                <w:szCs w:val="24"/>
              </w:rPr>
              <w:t xml:space="preserve"> </w:t>
            </w:r>
            <w:r>
              <w:rPr>
                <w:rFonts w:ascii="Calibri" w:hAnsi="Calibri"/>
                <w:b/>
                <w:sz w:val="24"/>
                <w:szCs w:val="24"/>
              </w:rPr>
              <w:t>box</w:t>
            </w:r>
            <w:r>
              <w:rPr>
                <w:rFonts w:ascii="Calibri" w:hAnsi="Calibri"/>
                <w:b/>
                <w:sz w:val="24"/>
                <w:szCs w:val="24"/>
              </w:rPr>
              <w:t xml:space="preserve"> </w:t>
            </w:r>
            <w:r>
              <w:rPr>
                <w:rFonts w:ascii="Calibri" w:hAnsi="Calibri"/>
                <w:b/>
                <w:sz w:val="44"/>
                <w:szCs w:val="44"/>
              </w:rPr>
              <w:t>□</w:t>
            </w:r>
            <w:r>
              <w:rPr>
                <w:rFonts w:ascii="Calibri" w:hAnsi="Calibri"/>
                <w:b/>
                <w:sz w:val="44"/>
                <w:szCs w:val="44"/>
              </w:rPr>
              <w:t>X</w:t>
            </w:r>
          </w:p>
          <w:p>
            <w:pPr>
              <w:pStyle w:val="style94"/>
              <w:spacing w:before="0" w:after="0"/>
              <w:ind w:right="34"/>
              <w:rPr/>
            </w:pPr>
            <w:r>
              <w:rPr>
                <w:rFonts w:ascii="Calibri" w:hAnsi="Calibri"/>
                <w:b/>
                <w:sz w:val="24"/>
                <w:szCs w:val="24"/>
              </w:rPr>
              <w:t>(as</w:t>
            </w:r>
            <w:r>
              <w:rPr>
                <w:rFonts w:ascii="Calibri" w:hAnsi="Calibri"/>
                <w:b/>
                <w:sz w:val="24"/>
                <w:szCs w:val="24"/>
              </w:rPr>
              <w:t xml:space="preserve"> </w:t>
            </w:r>
            <w:r>
              <w:rPr>
                <w:rFonts w:ascii="Calibri" w:hAnsi="Calibri"/>
                <w:b/>
                <w:sz w:val="24"/>
                <w:szCs w:val="24"/>
              </w:rPr>
              <w:t>a</w:t>
            </w:r>
            <w:r>
              <w:rPr>
                <w:rFonts w:ascii="Calibri" w:hAnsi="Calibri"/>
                <w:b/>
                <w:sz w:val="24"/>
                <w:szCs w:val="24"/>
              </w:rPr>
              <w:t xml:space="preserve"> </w:t>
            </w:r>
            <w:r>
              <w:rPr>
                <w:rFonts w:ascii="Calibri" w:hAnsi="Calibri"/>
                <w:b/>
                <w:sz w:val="24"/>
                <w:szCs w:val="24"/>
              </w:rPr>
              <w:t>substitute</w:t>
            </w:r>
            <w:r>
              <w:rPr>
                <w:rFonts w:ascii="Calibri" w:hAnsi="Calibri"/>
                <w:b/>
                <w:sz w:val="24"/>
                <w:szCs w:val="24"/>
              </w:rPr>
              <w:t xml:space="preserve"> </w:t>
            </w:r>
            <w:r>
              <w:rPr>
                <w:rFonts w:ascii="Calibri" w:hAnsi="Calibri"/>
                <w:b/>
                <w:sz w:val="24"/>
                <w:szCs w:val="24"/>
              </w:rPr>
              <w:t>for</w:t>
            </w:r>
            <w:r>
              <w:rPr>
                <w:rFonts w:ascii="Calibri" w:hAnsi="Calibri"/>
                <w:b/>
                <w:sz w:val="24"/>
                <w:szCs w:val="24"/>
              </w:rPr>
              <w:t xml:space="preserve"> </w:t>
            </w:r>
            <w:r>
              <w:rPr>
                <w:rFonts w:ascii="Calibri" w:hAnsi="Calibri"/>
                <w:b/>
                <w:sz w:val="24"/>
                <w:szCs w:val="24"/>
              </w:rPr>
              <w:t>your</w:t>
            </w:r>
            <w:r>
              <w:rPr>
                <w:rFonts w:ascii="Calibri" w:hAnsi="Calibri"/>
                <w:b/>
                <w:sz w:val="24"/>
                <w:szCs w:val="24"/>
              </w:rPr>
              <w:t xml:space="preserve"> </w:t>
            </w:r>
            <w:r>
              <w:rPr>
                <w:rFonts w:ascii="Calibri" w:hAnsi="Calibri"/>
                <w:b/>
                <w:sz w:val="24"/>
                <w:szCs w:val="24"/>
              </w:rPr>
              <w:t>signature)</w:t>
            </w:r>
            <w:r>
              <w:rPr>
                <w:rFonts w:ascii="Calibri" w:hAnsi="Calibri"/>
                <w:b/>
                <w:sz w:val="24"/>
                <w:szCs w:val="24"/>
              </w:rPr>
              <w:t xml:space="preserve"> </w:t>
            </w:r>
            <w:r>
              <w:rPr>
                <w:rFonts w:ascii="Calibri" w:hAnsi="Calibri"/>
                <w:b/>
                <w:sz w:val="24"/>
                <w:szCs w:val="24"/>
              </w:rPr>
              <w:t>to</w:t>
            </w:r>
            <w:r>
              <w:rPr>
                <w:rFonts w:ascii="Calibri" w:hAnsi="Calibri"/>
                <w:b/>
                <w:sz w:val="24"/>
                <w:szCs w:val="24"/>
              </w:rPr>
              <w:t xml:space="preserve"> </w:t>
            </w:r>
            <w:r>
              <w:rPr>
                <w:rFonts w:ascii="Calibri" w:hAnsi="Calibri"/>
                <w:b/>
                <w:sz w:val="24"/>
                <w:szCs w:val="24"/>
              </w:rPr>
              <w:t>confirm</w:t>
            </w:r>
            <w:r>
              <w:rPr>
                <w:rFonts w:ascii="Calibri" w:hAnsi="Calibri"/>
                <w:b/>
                <w:sz w:val="24"/>
                <w:szCs w:val="24"/>
              </w:rPr>
              <w:t xml:space="preserve"> </w:t>
            </w:r>
            <w:r>
              <w:rPr>
                <w:rFonts w:ascii="Calibri" w:hAnsi="Calibri"/>
                <w:b/>
                <w:sz w:val="24"/>
                <w:szCs w:val="24"/>
              </w:rPr>
              <w:t>that</w:t>
            </w:r>
            <w:r>
              <w:rPr>
                <w:rFonts w:ascii="Calibri" w:hAnsi="Calibri"/>
                <w:b/>
                <w:sz w:val="24"/>
                <w:szCs w:val="24"/>
              </w:rPr>
              <w:t xml:space="preserve"> </w:t>
            </w:r>
            <w:r>
              <w:rPr>
                <w:rFonts w:ascii="Calibri" w:hAnsi="Calibri"/>
                <w:b/>
                <w:sz w:val="24"/>
                <w:szCs w:val="24"/>
              </w:rPr>
              <w:t>you</w:t>
            </w:r>
            <w:r>
              <w:rPr>
                <w:rFonts w:ascii="Calibri" w:hAnsi="Calibri"/>
                <w:b/>
                <w:sz w:val="24"/>
                <w:szCs w:val="24"/>
              </w:rPr>
              <w:t xml:space="preserve"> </w:t>
            </w:r>
            <w:r>
              <w:rPr>
                <w:rFonts w:ascii="Calibri" w:hAnsi="Calibri"/>
                <w:b/>
                <w:sz w:val="24"/>
                <w:szCs w:val="24"/>
              </w:rPr>
              <w:t>agree</w:t>
            </w:r>
            <w:r>
              <w:rPr>
                <w:rFonts w:ascii="Calibri" w:hAnsi="Calibri"/>
                <w:b/>
                <w:sz w:val="24"/>
                <w:szCs w:val="24"/>
              </w:rPr>
              <w:t xml:space="preserve"> </w:t>
            </w:r>
            <w:r>
              <w:rPr>
                <w:rFonts w:ascii="Calibri" w:hAnsi="Calibri"/>
                <w:b/>
                <w:sz w:val="24"/>
                <w:szCs w:val="24"/>
              </w:rPr>
              <w:t>to</w:t>
            </w:r>
            <w:r>
              <w:rPr>
                <w:rFonts w:ascii="Calibri" w:hAnsi="Calibri"/>
                <w:b/>
                <w:sz w:val="24"/>
                <w:szCs w:val="24"/>
              </w:rPr>
              <w:t xml:space="preserve"> </w:t>
            </w:r>
            <w:r>
              <w:rPr>
                <w:rFonts w:ascii="Calibri" w:hAnsi="Calibri"/>
                <w:b/>
                <w:sz w:val="24"/>
                <w:szCs w:val="24"/>
              </w:rPr>
              <w:t>the</w:t>
            </w:r>
            <w:r>
              <w:rPr>
                <w:rFonts w:ascii="Calibri" w:hAnsi="Calibri"/>
                <w:b/>
                <w:sz w:val="24"/>
                <w:szCs w:val="24"/>
              </w:rPr>
              <w:t xml:space="preserve"> </w:t>
            </w:r>
            <w:r>
              <w:rPr>
                <w:rFonts w:ascii="Calibri" w:hAnsi="Calibri"/>
                <w:b/>
                <w:sz w:val="24"/>
                <w:szCs w:val="24"/>
              </w:rPr>
              <w:t>above</w:t>
            </w:r>
            <w:r>
              <w:rPr>
                <w:rFonts w:ascii="Calibri" w:hAnsi="Calibri"/>
                <w:b/>
                <w:sz w:val="24"/>
                <w:szCs w:val="24"/>
              </w:rPr>
              <w:t xml:space="preserve"> </w:t>
            </w:r>
            <w:r>
              <w:rPr>
                <w:rFonts w:ascii="Calibri" w:hAnsi="Calibri"/>
                <w:b/>
                <w:sz w:val="24"/>
                <w:szCs w:val="24"/>
              </w:rPr>
              <w:t>declaration.</w:t>
            </w:r>
          </w:p>
        </w:tc>
      </w:tr>
      <w:tr>
        <w:tblPrEx/>
        <w:trPr>
          <w:cantSplit w:val="false"/>
          <w:trHeight w:val="3972"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b/>
              </w:rPr>
              <w:t>Assignment</w:t>
            </w:r>
            <w:r>
              <w:rPr>
                <w:rFonts w:ascii="Arial" w:hAnsi="Arial"/>
                <w:b/>
              </w:rPr>
              <w:t xml:space="preserve"> </w:t>
            </w:r>
            <w:r>
              <w:rPr>
                <w:rFonts w:ascii="Arial" w:hAnsi="Arial"/>
                <w:b/>
              </w:rPr>
              <w:t>Mark</w:t>
            </w:r>
          </w:p>
          <w:tbl>
            <w:tblPr>
              <w:jc w:val="left"/>
            </w:tblPr>
            <w:tblGrid>
              <w:gridCol w:w="6970"/>
              <w:gridCol w:w="1660"/>
            </w:tblGrid>
            <w:tr>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sz w:val="20"/>
                      <w:szCs w:val="20"/>
                    </w:rPr>
                    <w:t>1</w:t>
                  </w:r>
                  <w:r>
                    <w:rPr>
                      <w:rFonts w:ascii="Arial" w:hAnsi="Arial"/>
                      <w:sz w:val="20"/>
                      <w:szCs w:val="20"/>
                      <w:vertAlign w:val="superscript"/>
                    </w:rPr>
                    <w:t>st</w:t>
                  </w:r>
                  <w:r>
                    <w:rPr>
                      <w:rFonts w:ascii="Arial" w:hAnsi="Arial"/>
                      <w:sz w:val="20"/>
                      <w:szCs w:val="20"/>
                    </w:rPr>
                    <w:t xml:space="preserve"> </w:t>
                  </w:r>
                  <w:r>
                    <w:rPr>
                      <w:rFonts w:ascii="Arial" w:hAnsi="Arial"/>
                      <w:sz w:val="20"/>
                      <w:szCs w:val="20"/>
                    </w:rPr>
                    <w:t>Marker’s</w:t>
                  </w:r>
                  <w:r>
                    <w:rPr>
                      <w:rFonts w:ascii="Arial" w:hAnsi="Arial"/>
                      <w:sz w:val="20"/>
                      <w:szCs w:val="20"/>
                    </w:rPr>
                    <w:t xml:space="preserve"> </w:t>
                  </w:r>
                  <w:r>
                    <w:rPr>
                      <w:rFonts w:ascii="Arial" w:hAnsi="Arial"/>
                      <w:sz w:val="20"/>
                      <w:szCs w:val="20"/>
                    </w:rPr>
                    <w:t>Provisional</w:t>
                  </w:r>
                  <w:r>
                    <w:rPr>
                      <w:rFonts w:ascii="Arial" w:hAnsi="Arial"/>
                      <w:sz w:val="20"/>
                      <w:szCs w:val="20"/>
                    </w:rPr>
                    <w:t xml:space="preserve"> </w:t>
                  </w:r>
                  <w:r>
                    <w:rPr>
                      <w:rFonts w:ascii="Arial" w:hAnsi="Arial"/>
                      <w:sz w:val="20"/>
                      <w:szCs w:val="20"/>
                    </w:rPr>
                    <w:t>mark</w:t>
                  </w: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r>
              <w:tblPrEx/>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sz w:val="20"/>
                      <w:szCs w:val="20"/>
                    </w:rPr>
                    <w:t>2</w:t>
                  </w:r>
                  <w:r>
                    <w:rPr>
                      <w:rFonts w:ascii="Arial" w:hAnsi="Arial"/>
                      <w:sz w:val="20"/>
                      <w:szCs w:val="20"/>
                      <w:vertAlign w:val="superscript"/>
                    </w:rPr>
                    <w:t>nd</w:t>
                  </w:r>
                  <w:r>
                    <w:rPr>
                      <w:rFonts w:ascii="Arial" w:hAnsi="Arial"/>
                      <w:sz w:val="20"/>
                      <w:szCs w:val="20"/>
                    </w:rPr>
                    <w:t xml:space="preserve"> </w:t>
                  </w:r>
                  <w:r>
                    <w:rPr>
                      <w:rFonts w:ascii="Arial" w:hAnsi="Arial"/>
                      <w:sz w:val="20"/>
                      <w:szCs w:val="20"/>
                    </w:rPr>
                    <w:t>Marker</w:t>
                  </w:r>
                  <w:r>
                    <w:rPr>
                      <w:rFonts w:ascii="Arial" w:hAnsi="Arial"/>
                      <w:sz w:val="20"/>
                      <w:szCs w:val="20"/>
                    </w:rPr>
                    <w:t>’s/Moderator’s</w:t>
                  </w:r>
                  <w:r>
                    <w:rPr>
                      <w:rFonts w:ascii="Arial" w:hAnsi="Arial"/>
                      <w:sz w:val="20"/>
                      <w:szCs w:val="20"/>
                    </w:rPr>
                    <w:t xml:space="preserve"> </w:t>
                  </w:r>
                  <w:r>
                    <w:rPr>
                      <w:rFonts w:ascii="Arial" w:hAnsi="Arial"/>
                      <w:sz w:val="20"/>
                      <w:szCs w:val="20"/>
                    </w:rPr>
                    <w:t>provisional</w:t>
                  </w:r>
                  <w:r>
                    <w:rPr>
                      <w:rFonts w:ascii="Arial" w:hAnsi="Arial"/>
                      <w:sz w:val="20"/>
                      <w:szCs w:val="20"/>
                    </w:rPr>
                    <w:t xml:space="preserve"> </w:t>
                  </w:r>
                  <w:r>
                    <w:rPr>
                      <w:rFonts w:ascii="Arial" w:hAnsi="Arial"/>
                      <w:sz w:val="20"/>
                      <w:szCs w:val="20"/>
                    </w:rPr>
                    <w:t>mark</w:t>
                  </w: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r>
              <w:tblPrEx/>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sz w:val="20"/>
                      <w:szCs w:val="20"/>
                    </w:rPr>
                    <w:t>External</w:t>
                  </w:r>
                  <w:r>
                    <w:rPr>
                      <w:rFonts w:ascii="Arial" w:hAnsi="Arial"/>
                      <w:sz w:val="20"/>
                      <w:szCs w:val="20"/>
                    </w:rPr>
                    <w:t xml:space="preserve"> </w:t>
                  </w:r>
                  <w:r>
                    <w:rPr>
                      <w:rFonts w:ascii="Arial" w:hAnsi="Arial"/>
                      <w:sz w:val="20"/>
                      <w:szCs w:val="20"/>
                    </w:rPr>
                    <w:t>Examiner’s</w:t>
                  </w:r>
                  <w:r>
                    <w:rPr>
                      <w:rFonts w:ascii="Arial" w:hAnsi="Arial"/>
                      <w:sz w:val="20"/>
                      <w:szCs w:val="20"/>
                    </w:rPr>
                    <w:t xml:space="preserve"> </w:t>
                  </w:r>
                  <w:r>
                    <w:rPr>
                      <w:rFonts w:ascii="Arial" w:hAnsi="Arial"/>
                      <w:sz w:val="20"/>
                      <w:szCs w:val="20"/>
                    </w:rPr>
                    <w:t>mark</w:t>
                  </w:r>
                  <w:r>
                    <w:rPr>
                      <w:rFonts w:ascii="Arial" w:hAnsi="Arial"/>
                      <w:sz w:val="20"/>
                      <w:szCs w:val="20"/>
                    </w:rPr>
                    <w:t xml:space="preserve"> </w:t>
                  </w:r>
                  <w:r>
                    <w:rPr>
                      <w:rFonts w:ascii="Arial" w:hAnsi="Arial"/>
                      <w:sz w:val="20"/>
                      <w:szCs w:val="20"/>
                    </w:rPr>
                    <w:t>(if</w:t>
                  </w:r>
                  <w:r>
                    <w:rPr>
                      <w:rFonts w:ascii="Arial" w:hAnsi="Arial"/>
                      <w:sz w:val="20"/>
                      <w:szCs w:val="20"/>
                    </w:rPr>
                    <w:t xml:space="preserve"> </w:t>
                  </w:r>
                  <w:r>
                    <w:rPr>
                      <w:rFonts w:ascii="Arial" w:hAnsi="Arial"/>
                      <w:sz w:val="20"/>
                      <w:szCs w:val="20"/>
                    </w:rPr>
                    <w:t>relevant)</w:t>
                  </w: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r>
              <w:tblPrEx/>
              <w:trPr>
                <w:cantSplit w:val="false"/>
                <w:tblHeader w:val="false"/>
                <w:jc w:val="left"/>
              </w:trPr>
              <w:tc>
                <w:tcPr>
                  <w:tcW w:w="6970" w:type="dxa"/>
                  <w:tcBorders>
                    <w:top w:val="single" w:sz="4" w:space="0" w:color="auto"/>
                    <w:left w:val="single" w:sz="4" w:space="0" w:color="auto"/>
                    <w:bottom w:val="single" w:sz="4" w:space="0" w:color="auto"/>
                    <w:right w:val="single" w:sz="4" w:space="0" w:color="auto"/>
                  </w:tcBorders>
                </w:tcPr>
                <w:p>
                  <w:pPr>
                    <w:pStyle w:val="style0"/>
                    <w:rPr/>
                  </w:pPr>
                </w:p>
                <w:p>
                  <w:pPr>
                    <w:pStyle w:val="style0"/>
                    <w:rPr/>
                  </w:pPr>
                  <w:r>
                    <w:rPr>
                      <w:rFonts w:ascii="Arial" w:hAnsi="Arial"/>
                      <w:b/>
                      <w:sz w:val="20"/>
                      <w:szCs w:val="20"/>
                    </w:rPr>
                    <w:t>Final</w:t>
                  </w:r>
                  <w:r>
                    <w:rPr>
                      <w:rFonts w:ascii="Arial" w:hAnsi="Arial"/>
                      <w:b/>
                      <w:sz w:val="20"/>
                      <w:szCs w:val="20"/>
                    </w:rPr>
                    <w:t xml:space="preserve"> </w:t>
                  </w:r>
                  <w:r>
                    <w:rPr>
                      <w:rFonts w:ascii="Arial" w:hAnsi="Arial"/>
                      <w:b/>
                      <w:sz w:val="20"/>
                      <w:szCs w:val="20"/>
                    </w:rPr>
                    <w:t>Mark</w:t>
                  </w:r>
                </w:p>
                <w:p>
                  <w:pPr>
                    <w:pStyle w:val="style0"/>
                    <w:rPr/>
                  </w:pPr>
                </w:p>
              </w:tc>
              <w:tc>
                <w:tcPr>
                  <w:tcW w:w="1660" w:type="dxa"/>
                  <w:tcBorders>
                    <w:top w:val="single" w:sz="4" w:space="0" w:color="auto"/>
                    <w:left w:val="single" w:sz="4" w:space="0" w:color="auto"/>
                    <w:bottom w:val="single" w:sz="4" w:space="0" w:color="auto"/>
                    <w:right w:val="single" w:sz="4" w:space="0" w:color="auto"/>
                  </w:tcBorders>
                </w:tcPr>
                <w:p>
                  <w:pPr>
                    <w:pStyle w:val="style0"/>
                    <w:rPr/>
                  </w:pPr>
                </w:p>
              </w:tc>
            </w:tr>
          </w:tbl>
          <w:p>
            <w:pPr>
              <w:pStyle w:val="style94"/>
              <w:spacing w:before="0" w:after="0"/>
              <w:ind w:left="142" w:right="34"/>
              <w:rPr/>
            </w:pPr>
          </w:p>
          <w:p>
            <w:pPr>
              <w:pStyle w:val="style94"/>
              <w:spacing w:before="0" w:after="0"/>
              <w:ind w:left="142" w:right="34"/>
              <w:rPr/>
            </w:pPr>
            <w:r>
              <w:rPr>
                <w:rFonts w:ascii="Arial" w:hAnsi="Arial"/>
                <w:b/>
                <w:sz w:val="22"/>
                <w:szCs w:val="22"/>
              </w:rPr>
              <w:t>NB.</w:t>
            </w:r>
            <w:r>
              <w:rPr>
                <w:rFonts w:ascii="Arial" w:hAnsi="Arial"/>
                <w:sz w:val="22"/>
                <w:szCs w:val="22"/>
              </w:rPr>
              <w:t xml:space="preserve">  </w:t>
            </w:r>
            <w:r>
              <w:rPr>
                <w:rFonts w:ascii="Arial" w:hAnsi="Arial"/>
                <w:sz w:val="22"/>
                <w:szCs w:val="22"/>
              </w:rPr>
              <w:t>All</w:t>
            </w:r>
            <w:r>
              <w:rPr>
                <w:rFonts w:ascii="Arial" w:hAnsi="Arial"/>
                <w:sz w:val="22"/>
                <w:szCs w:val="22"/>
              </w:rPr>
              <w:t xml:space="preserve"> </w:t>
            </w:r>
            <w:r>
              <w:rPr>
                <w:rFonts w:ascii="Arial" w:hAnsi="Arial"/>
                <w:sz w:val="22"/>
                <w:szCs w:val="22"/>
              </w:rPr>
              <w:t>ma</w:t>
            </w:r>
            <w:r>
              <w:rPr>
                <w:rFonts w:ascii="Arial" w:hAnsi="Arial"/>
                <w:sz w:val="22"/>
                <w:szCs w:val="22"/>
              </w:rPr>
              <w:t>rks</w:t>
            </w:r>
            <w:r>
              <w:rPr>
                <w:rFonts w:ascii="Arial" w:hAnsi="Arial"/>
                <w:sz w:val="22"/>
                <w:szCs w:val="22"/>
              </w:rPr>
              <w:t xml:space="preserve"> </w:t>
            </w:r>
            <w:r>
              <w:rPr>
                <w:rFonts w:ascii="Arial" w:hAnsi="Arial"/>
                <w:sz w:val="22"/>
                <w:szCs w:val="22"/>
              </w:rPr>
              <w:t>are</w:t>
            </w:r>
            <w:r>
              <w:rPr>
                <w:rFonts w:ascii="Arial" w:hAnsi="Arial"/>
                <w:sz w:val="22"/>
                <w:szCs w:val="22"/>
              </w:rPr>
              <w:t xml:space="preserve"> </w:t>
            </w:r>
            <w:r>
              <w:rPr>
                <w:rFonts w:ascii="Arial" w:hAnsi="Arial"/>
                <w:sz w:val="22"/>
                <w:szCs w:val="22"/>
              </w:rPr>
              <w:t>provisional</w:t>
            </w:r>
            <w:r>
              <w:rPr>
                <w:rFonts w:ascii="Arial" w:hAnsi="Arial"/>
                <w:sz w:val="22"/>
                <w:szCs w:val="22"/>
              </w:rPr>
              <w:t xml:space="preserve"> </w:t>
            </w:r>
            <w:r>
              <w:rPr>
                <w:rFonts w:ascii="Arial" w:hAnsi="Arial"/>
                <w:sz w:val="22"/>
                <w:szCs w:val="22"/>
              </w:rPr>
              <w:t>until</w:t>
            </w:r>
            <w:r>
              <w:rPr>
                <w:rFonts w:ascii="Arial" w:hAnsi="Arial"/>
                <w:sz w:val="22"/>
                <w:szCs w:val="22"/>
              </w:rPr>
              <w:t xml:space="preserve"> </w:t>
            </w:r>
            <w:r>
              <w:rPr>
                <w:rFonts w:ascii="Arial" w:hAnsi="Arial"/>
                <w:sz w:val="22"/>
                <w:szCs w:val="22"/>
              </w:rPr>
              <w:t>confirmed</w:t>
            </w:r>
            <w:r>
              <w:rPr>
                <w:rFonts w:ascii="Arial" w:hAnsi="Arial"/>
                <w:sz w:val="22"/>
                <w:szCs w:val="22"/>
              </w:rPr>
              <w:t xml:space="preserve"> </w:t>
            </w:r>
            <w:r>
              <w:rPr>
                <w:rFonts w:ascii="Arial" w:hAnsi="Arial"/>
                <w:sz w:val="22"/>
                <w:szCs w:val="22"/>
              </w:rPr>
              <w:t>by</w:t>
            </w:r>
            <w:r>
              <w:rPr>
                <w:rFonts w:ascii="Arial" w:hAnsi="Arial"/>
                <w:sz w:val="22"/>
                <w:szCs w:val="22"/>
              </w:rPr>
              <w:t xml:space="preserve"> </w:t>
            </w:r>
            <w:r>
              <w:rPr>
                <w:rFonts w:ascii="Arial" w:hAnsi="Arial"/>
                <w:sz w:val="22"/>
                <w:szCs w:val="22"/>
              </w:rPr>
              <w:t>the</w:t>
            </w:r>
            <w:r>
              <w:rPr>
                <w:rFonts w:ascii="Arial" w:hAnsi="Arial"/>
                <w:sz w:val="22"/>
                <w:szCs w:val="22"/>
              </w:rPr>
              <w:t xml:space="preserve"> </w:t>
            </w:r>
            <w:r>
              <w:rPr>
                <w:rFonts w:ascii="Arial" w:hAnsi="Arial"/>
                <w:sz w:val="22"/>
                <w:szCs w:val="22"/>
              </w:rPr>
              <w:t>F</w:t>
            </w:r>
            <w:r>
              <w:rPr>
                <w:rFonts w:ascii="Arial" w:hAnsi="Arial"/>
                <w:sz w:val="22"/>
                <w:szCs w:val="22"/>
              </w:rPr>
              <w:t>inal</w:t>
            </w:r>
            <w:r>
              <w:rPr>
                <w:rFonts w:ascii="Arial" w:hAnsi="Arial"/>
                <w:sz w:val="22"/>
                <w:szCs w:val="22"/>
              </w:rPr>
              <w:t xml:space="preserve"> </w:t>
            </w:r>
            <w:r>
              <w:rPr>
                <w:rFonts w:ascii="Arial" w:hAnsi="Arial"/>
                <w:sz w:val="22"/>
                <w:szCs w:val="22"/>
              </w:rPr>
              <w:t>E</w:t>
            </w:r>
            <w:r>
              <w:rPr>
                <w:rFonts w:ascii="Arial" w:hAnsi="Arial"/>
                <w:sz w:val="22"/>
                <w:szCs w:val="22"/>
              </w:rPr>
              <w:t>xamination</w:t>
            </w:r>
            <w:r>
              <w:rPr>
                <w:rFonts w:ascii="Arial" w:hAnsi="Arial"/>
                <w:sz w:val="22"/>
                <w:szCs w:val="22"/>
              </w:rPr>
              <w:t xml:space="preserve"> </w:t>
            </w:r>
            <w:r>
              <w:rPr>
                <w:rFonts w:ascii="Arial" w:hAnsi="Arial"/>
                <w:sz w:val="22"/>
                <w:szCs w:val="22"/>
              </w:rPr>
              <w:t>Board.</w:t>
            </w:r>
          </w:p>
          <w:p>
            <w:pPr>
              <w:pStyle w:val="style94"/>
              <w:spacing w:before="0" w:after="0"/>
              <w:rPr/>
            </w:pPr>
          </w:p>
          <w:p>
            <w:pPr>
              <w:pStyle w:val="style94"/>
              <w:spacing w:before="0" w:after="0"/>
              <w:rPr/>
            </w:pPr>
          </w:p>
          <w:p>
            <w:pPr>
              <w:pStyle w:val="style94"/>
              <w:spacing w:before="0" w:after="0"/>
              <w:rPr/>
            </w:pPr>
            <w:r>
              <w:rPr>
                <w:rFonts w:ascii="Arial"/>
                <w:b/>
                <w:sz w:val="22"/>
              </w:rPr>
              <w:t xml:space="preserve">            </w:t>
            </w:r>
            <w:r>
              <w:rPr>
                <w:rFonts w:ascii="Arial"/>
                <w:b/>
                <w:sz w:val="22"/>
              </w:rPr>
              <w:t>ALL</w:t>
            </w:r>
            <w:r>
              <w:rPr>
                <w:rFonts w:ascii="Arial"/>
                <w:b/>
                <w:sz w:val="22"/>
              </w:rPr>
              <w:t xml:space="preserve"> </w:t>
            </w:r>
            <w:r>
              <w:rPr>
                <w:rFonts w:ascii="Arial"/>
                <w:b/>
                <w:sz w:val="22"/>
              </w:rPr>
              <w:t>COMMENTS</w:t>
            </w:r>
            <w:r>
              <w:rPr>
                <w:rFonts w:ascii="Arial"/>
                <w:b/>
                <w:sz w:val="22"/>
              </w:rPr>
              <w:t xml:space="preserve"> </w:t>
            </w:r>
            <w:r>
              <w:rPr>
                <w:rFonts w:ascii="Arial"/>
                <w:b/>
                <w:sz w:val="22"/>
              </w:rPr>
              <w:t>ARE</w:t>
            </w:r>
            <w:r>
              <w:rPr>
                <w:rFonts w:ascii="Arial"/>
                <w:b/>
                <w:sz w:val="22"/>
              </w:rPr>
              <w:t xml:space="preserve">  </w:t>
            </w:r>
            <w:r>
              <w:rPr>
                <w:rFonts w:ascii="Arial"/>
                <w:b/>
                <w:sz w:val="22"/>
              </w:rPr>
              <w:t>ON</w:t>
            </w:r>
            <w:r>
              <w:rPr>
                <w:rFonts w:ascii="Arial"/>
                <w:b/>
                <w:sz w:val="22"/>
              </w:rPr>
              <w:t xml:space="preserve"> </w:t>
            </w:r>
            <w:r>
              <w:rPr>
                <w:rFonts w:ascii="Arial"/>
                <w:b/>
                <w:sz w:val="22"/>
              </w:rPr>
              <w:t>THE</w:t>
            </w:r>
            <w:r>
              <w:rPr>
                <w:rFonts w:ascii="Arial"/>
                <w:b/>
                <w:sz w:val="22"/>
              </w:rPr>
              <w:t xml:space="preserve"> </w:t>
            </w:r>
            <w:r>
              <w:rPr>
                <w:rFonts w:ascii="Arial"/>
                <w:b/>
                <w:sz w:val="22"/>
              </w:rPr>
              <w:t>PDF</w:t>
            </w:r>
            <w:r>
              <w:rPr>
                <w:rFonts w:ascii="Arial"/>
                <w:b/>
                <w:sz w:val="22"/>
              </w:rPr>
              <w:t xml:space="preserve"> </w:t>
            </w:r>
            <w:r>
              <w:rPr>
                <w:rFonts w:ascii="Arial"/>
                <w:b/>
                <w:sz w:val="22"/>
              </w:rPr>
              <w:t>OF</w:t>
            </w:r>
            <w:r>
              <w:rPr>
                <w:rFonts w:ascii="Arial"/>
                <w:b/>
                <w:sz w:val="22"/>
              </w:rPr>
              <w:t xml:space="preserve"> </w:t>
            </w:r>
            <w:r>
              <w:rPr>
                <w:rFonts w:ascii="Arial"/>
                <w:b/>
                <w:sz w:val="22"/>
              </w:rPr>
              <w:t>YOUR</w:t>
            </w:r>
            <w:r>
              <w:rPr>
                <w:rFonts w:ascii="Arial"/>
                <w:b/>
                <w:sz w:val="22"/>
              </w:rPr>
              <w:t xml:space="preserve"> </w:t>
            </w:r>
            <w:r>
              <w:rPr>
                <w:rFonts w:ascii="Arial"/>
                <w:b/>
                <w:sz w:val="22"/>
              </w:rPr>
              <w:t>PAPER</w:t>
            </w:r>
            <w:r>
              <w:rPr>
                <w:rFonts w:ascii="Arial"/>
                <w:b/>
                <w:sz w:val="22"/>
              </w:rPr>
              <w:t xml:space="preserve"> </w:t>
            </w:r>
            <w:r>
              <w:rPr>
                <w:rFonts w:ascii="Arial"/>
                <w:b/>
                <w:sz w:val="22"/>
              </w:rPr>
              <w:t>IN</w:t>
            </w:r>
            <w:r>
              <w:rPr>
                <w:rFonts w:ascii="Arial"/>
                <w:b/>
                <w:sz w:val="22"/>
              </w:rPr>
              <w:t xml:space="preserve"> </w:t>
            </w:r>
            <w:r>
              <w:rPr>
                <w:rFonts w:ascii="Arial"/>
                <w:b/>
                <w:sz w:val="22"/>
              </w:rPr>
              <w:t>TURNITIN</w:t>
            </w:r>
            <w:r>
              <w:rPr>
                <w:rFonts w:ascii="Arial"/>
                <w:b/>
                <w:sz w:val="22"/>
              </w:rPr>
              <w:t xml:space="preserve"> </w:t>
            </w:r>
          </w:p>
          <w:p>
            <w:pPr>
              <w:pStyle w:val="style94"/>
              <w:spacing w:before="0" w:after="0"/>
              <w:rPr/>
            </w:pPr>
          </w:p>
          <w:p>
            <w:pPr>
              <w:pStyle w:val="style94"/>
              <w:spacing w:before="0" w:after="0"/>
              <w:rPr/>
            </w:pPr>
          </w:p>
          <w:p>
            <w:pPr>
              <w:pStyle w:val="style94"/>
              <w:spacing w:before="0" w:after="0"/>
              <w:rPr/>
            </w:pPr>
            <w:r>
              <w:rPr>
                <w:rFonts w:ascii="Arial" w:hAnsi="Arial"/>
                <w:b/>
                <w:sz w:val="22"/>
                <w:szCs w:val="22"/>
              </w:rPr>
              <w:t>For</w:t>
            </w:r>
            <w:r>
              <w:rPr>
                <w:rFonts w:ascii="Arial" w:hAnsi="Arial"/>
                <w:b/>
                <w:sz w:val="22"/>
                <w:szCs w:val="22"/>
              </w:rPr>
              <w:t xml:space="preserve"> </w:t>
            </w:r>
            <w:r>
              <w:rPr>
                <w:rFonts w:ascii="Arial" w:hAnsi="Arial"/>
                <w:b/>
                <w:sz w:val="22"/>
                <w:szCs w:val="22"/>
              </w:rPr>
              <w:t>completion</w:t>
            </w:r>
            <w:r>
              <w:rPr>
                <w:rFonts w:ascii="Arial" w:hAnsi="Arial"/>
                <w:b/>
                <w:sz w:val="22"/>
                <w:szCs w:val="22"/>
              </w:rPr>
              <w:t xml:space="preserve"> </w:t>
            </w:r>
            <w:r>
              <w:rPr>
                <w:rFonts w:ascii="Arial" w:hAnsi="Arial"/>
                <w:b/>
                <w:sz w:val="22"/>
                <w:szCs w:val="22"/>
              </w:rPr>
              <w:t>by</w:t>
            </w:r>
            <w:r>
              <w:rPr>
                <w:rFonts w:ascii="Arial" w:hAnsi="Arial"/>
                <w:b/>
                <w:sz w:val="22"/>
                <w:szCs w:val="22"/>
              </w:rPr>
              <w:t xml:space="preserve"> </w:t>
            </w:r>
            <w:r>
              <w:rPr>
                <w:rFonts w:ascii="Arial" w:hAnsi="Arial"/>
                <w:b/>
                <w:sz w:val="22"/>
                <w:szCs w:val="22"/>
              </w:rPr>
              <w:t>M</w:t>
            </w:r>
            <w:r>
              <w:rPr>
                <w:rFonts w:ascii="Arial" w:hAnsi="Arial"/>
                <w:b/>
                <w:sz w:val="22"/>
                <w:szCs w:val="22"/>
              </w:rPr>
              <w:t>arker</w:t>
            </w:r>
            <w:r>
              <w:rPr>
                <w:rFonts w:ascii="Arial" w:hAnsi="Arial"/>
                <w:b/>
                <w:sz w:val="22"/>
                <w:szCs w:val="22"/>
              </w:rPr>
              <w:t xml:space="preserve"> </w:t>
            </w:r>
            <w:r>
              <w:rPr>
                <w:rFonts w:ascii="Arial" w:hAnsi="Arial"/>
                <w:b/>
                <w:sz w:val="22"/>
                <w:szCs w:val="22"/>
              </w:rPr>
              <w:t>1</w:t>
            </w:r>
            <w:r>
              <w:rPr>
                <w:rFonts w:ascii="Arial" w:hAnsi="Arial"/>
                <w:b/>
                <w:sz w:val="22"/>
                <w:szCs w:val="22"/>
              </w:rPr>
              <w:t xml:space="preserve"> </w:t>
            </w:r>
            <w:r>
              <w:rPr>
                <w:rFonts w:ascii="Arial" w:hAnsi="Arial"/>
                <w:b/>
                <w:sz w:val="22"/>
                <w:szCs w:val="22"/>
              </w:rPr>
              <w:t>:</w:t>
            </w:r>
          </w:p>
          <w:p>
            <w:pPr>
              <w:pStyle w:val="style94"/>
              <w:rPr/>
            </w:pPr>
            <w:r>
              <w:rPr>
                <w:rFonts w:ascii="Arial" w:hAnsi="Arial"/>
                <w:sz w:val="22"/>
                <w:szCs w:val="22"/>
              </w:rPr>
              <w:t>Comments</w:t>
            </w:r>
            <w:r>
              <w:rPr>
                <w:rFonts w:ascii="Arial" w:hAnsi="Arial"/>
                <w:sz w:val="22"/>
                <w:szCs w:val="22"/>
              </w:rPr>
              <w:t>:</w:t>
            </w:r>
          </w:p>
          <w:p>
            <w:pPr>
              <w:pStyle w:val="style94"/>
              <w:rPr/>
            </w:pPr>
          </w:p>
        </w:tc>
      </w:tr>
      <w:tr>
        <w:tblPrEx/>
        <w:trPr>
          <w:cantSplit w:val="false"/>
          <w:trHeight w:val="492" w:hRule="atLeast"/>
          <w:tblHeader w:val="false"/>
          <w:jc w:val="left"/>
        </w:trPr>
        <w:tc>
          <w:tcPr>
            <w:tcW w:w="6768" w:type="dxa"/>
            <w:gridSpan w:val="3"/>
            <w:tcBorders>
              <w:top w:val="single" w:sz="4" w:space="0" w:color="auto"/>
              <w:left w:val="single" w:sz="4" w:space="0" w:color="auto"/>
              <w:bottom w:val="single" w:sz="4" w:space="0" w:color="auto"/>
              <w:right w:val="single" w:sz="4" w:space="0" w:color="auto"/>
            </w:tcBorders>
          </w:tcPr>
          <w:p>
            <w:pPr>
              <w:pStyle w:val="style94"/>
              <w:ind w:left="142" w:right="34"/>
              <w:rPr/>
            </w:pPr>
            <w:r>
              <w:rPr>
                <w:rFonts w:ascii="Arial" w:hAnsi="Arial"/>
                <w:sz w:val="22"/>
                <w:szCs w:val="22"/>
              </w:rPr>
              <w:t>M</w:t>
            </w:r>
            <w:r>
              <w:rPr>
                <w:rFonts w:ascii="Arial" w:hAnsi="Arial"/>
                <w:sz w:val="22"/>
                <w:szCs w:val="22"/>
              </w:rPr>
              <w:t>arker</w:t>
            </w:r>
            <w:r>
              <w:rPr>
                <w:rFonts w:ascii="Arial" w:hAnsi="Arial"/>
                <w:sz w:val="22"/>
                <w:szCs w:val="22"/>
              </w:rPr>
              <w:t>’s</w:t>
            </w:r>
            <w:r>
              <w:rPr>
                <w:rFonts w:ascii="Arial" w:hAnsi="Arial"/>
                <w:sz w:val="22"/>
                <w:szCs w:val="22"/>
              </w:rPr>
              <w:t xml:space="preserve"> </w:t>
            </w:r>
            <w:r>
              <w:rPr>
                <w:rFonts w:ascii="Arial" w:hAnsi="Arial"/>
                <w:sz w:val="22"/>
                <w:szCs w:val="22"/>
              </w:rPr>
              <w:t>signatur</w:t>
            </w:r>
            <w:r>
              <w:rPr>
                <w:rFonts w:ascii="Arial" w:hAnsi="Arial"/>
                <w:sz w:val="22"/>
                <w:szCs w:val="22"/>
              </w:rPr>
              <w:t>e:</w:t>
            </w:r>
          </w:p>
        </w:tc>
        <w:tc>
          <w:tcPr>
            <w:tcW w:w="2088" w:type="dxa"/>
            <w:gridSpan w:val="3"/>
            <w:tcBorders>
              <w:top w:val="single" w:sz="4" w:space="0" w:color="auto"/>
              <w:left w:val="single" w:sz="4" w:space="0" w:color="auto"/>
              <w:bottom w:val="single" w:sz="4" w:space="0" w:color="auto"/>
              <w:right w:val="single" w:sz="4" w:space="0" w:color="auto"/>
            </w:tcBorders>
          </w:tcPr>
          <w:p>
            <w:pPr>
              <w:pStyle w:val="style94"/>
              <w:spacing w:after="0"/>
              <w:ind w:left="142" w:right="34"/>
              <w:rPr/>
            </w:pPr>
            <w:r>
              <w:rPr>
                <w:rFonts w:ascii="Arial" w:hAnsi="Arial"/>
                <w:sz w:val="22"/>
                <w:szCs w:val="22"/>
              </w:rPr>
              <w:t>D</w:t>
            </w:r>
            <w:r>
              <w:rPr>
                <w:rFonts w:ascii="Arial" w:hAnsi="Arial"/>
                <w:sz w:val="22"/>
                <w:szCs w:val="22"/>
              </w:rPr>
              <w:t>ate</w:t>
            </w:r>
            <w:r>
              <w:rPr>
                <w:rFonts w:ascii="Arial" w:hAnsi="Arial"/>
                <w:sz w:val="22"/>
                <w:szCs w:val="22"/>
              </w:rPr>
              <w:t>:</w:t>
            </w:r>
          </w:p>
        </w:tc>
      </w:tr>
      <w:tr>
        <w:tblPrEx/>
        <w:trPr>
          <w:cantSplit w:val="false"/>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94"/>
              <w:spacing w:before="0" w:after="0"/>
              <w:ind w:right="-334"/>
              <w:rPr/>
            </w:pPr>
          </w:p>
          <w:p>
            <w:pPr>
              <w:pStyle w:val="style94"/>
              <w:spacing w:before="0" w:after="0"/>
              <w:ind w:right="-334"/>
              <w:rPr/>
            </w:pPr>
            <w:r>
              <w:rPr>
                <w:rFonts w:ascii="Arial" w:hAnsi="Arial"/>
                <w:b/>
                <w:sz w:val="22"/>
                <w:szCs w:val="22"/>
              </w:rPr>
              <w:t>For</w:t>
            </w:r>
            <w:r>
              <w:rPr>
                <w:rFonts w:ascii="Arial" w:hAnsi="Arial"/>
                <w:b/>
                <w:sz w:val="22"/>
                <w:szCs w:val="22"/>
              </w:rPr>
              <w:t xml:space="preserve"> </w:t>
            </w:r>
            <w:r>
              <w:rPr>
                <w:rFonts w:ascii="Arial" w:hAnsi="Arial"/>
                <w:b/>
                <w:sz w:val="22"/>
                <w:szCs w:val="22"/>
              </w:rPr>
              <w:t>completion</w:t>
            </w:r>
            <w:r>
              <w:rPr>
                <w:rFonts w:ascii="Arial" w:hAnsi="Arial"/>
                <w:b/>
                <w:sz w:val="22"/>
                <w:szCs w:val="22"/>
              </w:rPr>
              <w:t xml:space="preserve"> </w:t>
            </w:r>
            <w:r>
              <w:rPr>
                <w:rFonts w:ascii="Arial" w:hAnsi="Arial"/>
                <w:b/>
                <w:sz w:val="22"/>
                <w:szCs w:val="22"/>
              </w:rPr>
              <w:t>by</w:t>
            </w:r>
            <w:r>
              <w:rPr>
                <w:rFonts w:ascii="Arial" w:hAnsi="Arial"/>
                <w:b/>
                <w:sz w:val="22"/>
                <w:szCs w:val="22"/>
              </w:rPr>
              <w:t xml:space="preserve"> </w:t>
            </w:r>
            <w:r>
              <w:rPr>
                <w:rFonts w:ascii="Arial" w:hAnsi="Arial"/>
                <w:b/>
                <w:sz w:val="22"/>
                <w:szCs w:val="22"/>
              </w:rPr>
              <w:t>M</w:t>
            </w:r>
            <w:r>
              <w:rPr>
                <w:rFonts w:ascii="Arial" w:hAnsi="Arial"/>
                <w:b/>
                <w:sz w:val="22"/>
                <w:szCs w:val="22"/>
              </w:rPr>
              <w:t>arker</w:t>
            </w:r>
            <w:r>
              <w:rPr>
                <w:rFonts w:ascii="Arial" w:hAnsi="Arial"/>
                <w:b/>
                <w:sz w:val="22"/>
                <w:szCs w:val="22"/>
              </w:rPr>
              <w:t xml:space="preserve"> </w:t>
            </w:r>
            <w:r>
              <w:rPr>
                <w:rFonts w:ascii="Arial" w:hAnsi="Arial"/>
                <w:b/>
                <w:sz w:val="22"/>
                <w:szCs w:val="22"/>
              </w:rPr>
              <w:t>2</w:t>
            </w:r>
            <w:r>
              <w:rPr>
                <w:rFonts w:ascii="Arial" w:hAnsi="Arial"/>
                <w:b/>
                <w:sz w:val="22"/>
                <w:szCs w:val="22"/>
              </w:rPr>
              <w:t>/M</w:t>
            </w:r>
            <w:r>
              <w:rPr>
                <w:rFonts w:ascii="Arial" w:hAnsi="Arial"/>
                <w:b/>
                <w:sz w:val="22"/>
                <w:szCs w:val="22"/>
              </w:rPr>
              <w:t>oderator</w:t>
            </w:r>
            <w:r>
              <w:rPr>
                <w:rFonts w:ascii="Arial" w:hAnsi="Arial"/>
                <w:b/>
                <w:sz w:val="22"/>
                <w:szCs w:val="22"/>
              </w:rPr>
              <w:t>:</w:t>
            </w:r>
          </w:p>
          <w:p>
            <w:pPr>
              <w:pStyle w:val="style94"/>
              <w:spacing w:before="0" w:after="0"/>
              <w:ind w:right="-334"/>
              <w:rPr/>
            </w:pPr>
          </w:p>
          <w:p>
            <w:pPr>
              <w:pStyle w:val="style94"/>
              <w:spacing w:before="0" w:after="0"/>
              <w:ind w:right="-334"/>
              <w:rPr/>
            </w:pPr>
            <w:r>
              <w:rPr>
                <w:rFonts w:ascii="Arial" w:hAnsi="Arial"/>
                <w:sz w:val="22"/>
                <w:szCs w:val="22"/>
              </w:rPr>
              <w:t>Comments:</w:t>
            </w:r>
          </w:p>
          <w:p>
            <w:pPr>
              <w:pStyle w:val="style94"/>
              <w:spacing w:before="0" w:after="0"/>
              <w:ind w:right="-334"/>
              <w:rPr/>
            </w:pPr>
          </w:p>
          <w:p>
            <w:pPr>
              <w:pStyle w:val="style94"/>
              <w:spacing w:before="0" w:after="0"/>
              <w:ind w:right="-334"/>
              <w:rPr/>
            </w:pPr>
          </w:p>
        </w:tc>
      </w:tr>
      <w:tr>
        <w:tblPrEx/>
        <w:trPr>
          <w:cantSplit w:val="false"/>
          <w:trHeight w:val="720" w:hRule="atLeast"/>
          <w:tblHeader w:val="false"/>
          <w:jc w:val="left"/>
        </w:trPr>
        <w:tc>
          <w:tcPr>
            <w:tcW w:w="5211" w:type="dxa"/>
            <w:gridSpan w:val="2"/>
            <w:tcBorders>
              <w:top w:val="single" w:sz="4" w:space="0" w:color="auto"/>
              <w:left w:val="single" w:sz="4" w:space="0" w:color="auto"/>
              <w:bottom w:val="single" w:sz="4" w:space="0" w:color="auto"/>
              <w:right w:val="single" w:sz="4" w:space="0" w:color="auto"/>
            </w:tcBorders>
          </w:tcPr>
          <w:p>
            <w:pPr>
              <w:pStyle w:val="style94"/>
              <w:spacing w:before="0" w:after="0"/>
              <w:ind w:right="-334"/>
              <w:rPr/>
            </w:pPr>
            <w:r>
              <w:rPr>
                <w:rFonts w:ascii="Arial" w:hAnsi="Arial"/>
                <w:sz w:val="22"/>
                <w:szCs w:val="22"/>
              </w:rPr>
              <w:t>Marker’s</w:t>
            </w:r>
            <w:r>
              <w:rPr>
                <w:rFonts w:ascii="Arial" w:hAnsi="Arial"/>
                <w:sz w:val="22"/>
                <w:szCs w:val="22"/>
              </w:rPr>
              <w:t xml:space="preserve"> </w:t>
            </w:r>
            <w:r>
              <w:rPr>
                <w:rFonts w:ascii="Arial" w:hAnsi="Arial"/>
                <w:sz w:val="22"/>
                <w:szCs w:val="22"/>
              </w:rPr>
              <w:t>Signature</w:t>
            </w:r>
            <w:r>
              <w:rPr>
                <w:rFonts w:ascii="Arial" w:hAnsi="Arial"/>
                <w:sz w:val="22"/>
                <w:szCs w:val="22"/>
              </w:rPr>
              <w:t>:</w:t>
            </w:r>
          </w:p>
        </w:tc>
        <w:tc>
          <w:tcPr>
            <w:tcW w:w="3645" w:type="dxa"/>
            <w:gridSpan w:val="4"/>
            <w:tcBorders>
              <w:top w:val="single" w:sz="4" w:space="0" w:color="auto"/>
              <w:left w:val="single" w:sz="4" w:space="0" w:color="auto"/>
              <w:bottom w:val="single" w:sz="4" w:space="0" w:color="auto"/>
              <w:right w:val="single" w:sz="4" w:space="0" w:color="auto"/>
            </w:tcBorders>
          </w:tcPr>
          <w:p>
            <w:pPr>
              <w:pStyle w:val="style94"/>
              <w:spacing w:before="0" w:after="0"/>
              <w:ind w:right="-334"/>
              <w:rPr/>
            </w:pPr>
            <w:r>
              <w:rPr>
                <w:rFonts w:ascii="Arial" w:hAnsi="Arial"/>
                <w:sz w:val="22"/>
                <w:szCs w:val="22"/>
              </w:rPr>
              <w:t>Date:</w:t>
            </w:r>
          </w:p>
        </w:tc>
      </w:tr>
      <w:tr>
        <w:tblPrEx/>
        <w:trPr>
          <w:cantSplit w:val="false"/>
          <w:trHeight w:val="720" w:hRule="atLeast"/>
          <w:tblHeader w:val="false"/>
          <w:jc w:val="left"/>
        </w:trPr>
        <w:tc>
          <w:tcPr>
            <w:tcW w:w="8856" w:type="dxa"/>
            <w:gridSpan w:val="6"/>
            <w:tcBorders>
              <w:top w:val="single" w:sz="4" w:space="0" w:color="auto"/>
              <w:left w:val="single" w:sz="4" w:space="0" w:color="auto"/>
              <w:bottom w:val="single" w:sz="4" w:space="0" w:color="auto"/>
              <w:right w:val="single" w:sz="4" w:space="0" w:color="auto"/>
            </w:tcBorders>
          </w:tcPr>
          <w:p>
            <w:pPr>
              <w:pStyle w:val="style0"/>
              <w:rPr/>
            </w:pPr>
            <w:r>
              <w:rPr>
                <w:rFonts w:ascii="Arial" w:hAnsi="Arial"/>
                <w:b/>
                <w:sz w:val="22"/>
                <w:szCs w:val="22"/>
              </w:rPr>
              <w:t>External</w:t>
            </w:r>
            <w:r>
              <w:rPr>
                <w:rFonts w:ascii="Arial" w:hAnsi="Arial"/>
                <w:b/>
                <w:sz w:val="22"/>
                <w:szCs w:val="22"/>
              </w:rPr>
              <w:t xml:space="preserve"> </w:t>
            </w:r>
            <w:r>
              <w:rPr>
                <w:rFonts w:ascii="Arial" w:hAnsi="Arial"/>
                <w:b/>
                <w:sz w:val="22"/>
                <w:szCs w:val="22"/>
              </w:rPr>
              <w:t>Examiner’s</w:t>
            </w:r>
            <w:r>
              <w:rPr>
                <w:rFonts w:ascii="Arial" w:hAnsi="Arial"/>
                <w:b/>
                <w:sz w:val="22"/>
                <w:szCs w:val="22"/>
              </w:rPr>
              <w:t xml:space="preserve"> </w:t>
            </w:r>
            <w:r>
              <w:rPr>
                <w:rFonts w:ascii="Arial" w:hAnsi="Arial"/>
                <w:b/>
                <w:sz w:val="22"/>
                <w:szCs w:val="22"/>
              </w:rPr>
              <w:t>comments</w:t>
            </w:r>
            <w:r>
              <w:rPr>
                <w:rFonts w:ascii="Arial" w:hAnsi="Arial"/>
                <w:b/>
                <w:sz w:val="22"/>
                <w:szCs w:val="22"/>
              </w:rPr>
              <w:t xml:space="preserve"> </w:t>
            </w:r>
            <w:r>
              <w:rPr>
                <w:rFonts w:ascii="Arial" w:hAnsi="Arial"/>
                <w:b/>
                <w:sz w:val="22"/>
                <w:szCs w:val="22"/>
              </w:rPr>
              <w:t>(if</w:t>
            </w:r>
            <w:r>
              <w:rPr>
                <w:rFonts w:ascii="Arial" w:hAnsi="Arial"/>
                <w:b/>
                <w:sz w:val="22"/>
                <w:szCs w:val="22"/>
              </w:rPr>
              <w:t xml:space="preserve"> </w:t>
            </w:r>
            <w:r>
              <w:rPr>
                <w:rFonts w:ascii="Arial" w:hAnsi="Arial"/>
                <w:b/>
                <w:sz w:val="22"/>
                <w:szCs w:val="22"/>
              </w:rPr>
              <w:t>relevant)</w:t>
            </w:r>
          </w:p>
          <w:p>
            <w:pPr>
              <w:pStyle w:val="style94"/>
              <w:spacing w:before="0" w:after="0"/>
              <w:ind w:right="-334"/>
              <w:rPr/>
            </w:pPr>
          </w:p>
        </w:tc>
      </w:tr>
      <w:tr>
        <w:tblPrEx/>
        <w:trPr>
          <w:cantSplit w:val="false"/>
          <w:trHeight w:val="720" w:hRule="atLeast"/>
          <w:tblHeader w:val="false"/>
          <w:jc w:val="left"/>
        </w:trPr>
        <w:tc>
          <w:tcPr>
            <w:tcW w:w="5211" w:type="dxa"/>
            <w:gridSpan w:val="2"/>
            <w:tcBorders>
              <w:top w:val="single" w:sz="4" w:space="0" w:color="auto"/>
              <w:left w:val="single" w:sz="4" w:space="0" w:color="auto"/>
              <w:bottom w:val="single" w:sz="4" w:space="0" w:color="auto"/>
              <w:right w:val="single" w:sz="4" w:space="0" w:color="auto"/>
            </w:tcBorders>
          </w:tcPr>
          <w:p>
            <w:pPr>
              <w:pStyle w:val="style0"/>
              <w:rPr/>
            </w:pPr>
            <w:r>
              <w:rPr>
                <w:rFonts w:ascii="Arial" w:hAnsi="Arial"/>
                <w:sz w:val="22"/>
                <w:szCs w:val="22"/>
              </w:rPr>
              <w:t>External</w:t>
            </w:r>
            <w:r>
              <w:rPr>
                <w:rFonts w:ascii="Arial" w:hAnsi="Arial"/>
                <w:sz w:val="22"/>
                <w:szCs w:val="22"/>
              </w:rPr>
              <w:t xml:space="preserve"> </w:t>
            </w:r>
            <w:r>
              <w:rPr>
                <w:rFonts w:ascii="Arial" w:hAnsi="Arial"/>
                <w:sz w:val="22"/>
                <w:szCs w:val="22"/>
              </w:rPr>
              <w:t>Examiner’s</w:t>
            </w:r>
            <w:r>
              <w:rPr>
                <w:rFonts w:ascii="Arial" w:hAnsi="Arial"/>
                <w:sz w:val="22"/>
                <w:szCs w:val="22"/>
              </w:rPr>
              <w:t xml:space="preserve"> </w:t>
            </w:r>
            <w:r>
              <w:rPr>
                <w:rFonts w:ascii="Arial" w:hAnsi="Arial"/>
                <w:sz w:val="22"/>
                <w:szCs w:val="22"/>
              </w:rPr>
              <w:t>Signature:</w:t>
            </w:r>
          </w:p>
        </w:tc>
        <w:tc>
          <w:tcPr>
            <w:tcW w:w="3645" w:type="dxa"/>
            <w:gridSpan w:val="4"/>
            <w:tcBorders>
              <w:top w:val="single" w:sz="4" w:space="0" w:color="auto"/>
              <w:left w:val="single" w:sz="4" w:space="0" w:color="auto"/>
              <w:bottom w:val="single" w:sz="4" w:space="0" w:color="auto"/>
              <w:right w:val="single" w:sz="4" w:space="0" w:color="auto"/>
            </w:tcBorders>
          </w:tcPr>
          <w:p>
            <w:pPr>
              <w:pStyle w:val="style0"/>
              <w:rPr/>
            </w:pPr>
            <w:r>
              <w:rPr>
                <w:rFonts w:ascii="Arial" w:hAnsi="Arial"/>
                <w:sz w:val="22"/>
                <w:szCs w:val="22"/>
              </w:rPr>
              <w:t>Date:</w:t>
            </w:r>
          </w:p>
        </w:tc>
      </w:tr>
    </w:tbl>
    <w:p>
      <w:pPr>
        <w:pStyle w:val="style94"/>
        <w:spacing w:before="0" w:after="0"/>
        <w:ind w:right="-334"/>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hAnsi="Arial Rounded MT Bold"/>
          <w:sz w:val="36"/>
          <w:szCs w:val="36"/>
          <w:lang w:val="en-US"/>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Depictions of Heaven in Three Sky Paintings of the Italian Renaissance  </w:t>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It is noted in the National Gallery book Heaven in Art  that for much of history and specifically during the Renaissance era that the purpose of religious art was to visually represent celestial concepts described in the Bible and additional influential texts. An example of the latter would be the writings of St. Augustine. Erika Langmuir states in her Introduction to the book that: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For hundreds of years, the main task of such paintings was to assist Christian devotion: to make the invisible tenets of faith visible to plain sight. Above all, the artists strove to surpass the evocative power of the words spoken and sung by prophets, mystics and poets, by depicting, in precious materials and with exquisite craft, the resplendence of Heaven, the ineffable tenderness of divine love and the fortitude of saints.</w:t>
      </w:r>
      <w:r>
        <w:rPr>
          <w:rFonts w:ascii="Arial Rounded MT Bold" w:cs="Arial Rounded MT Bold" w:eastAsia="Arial Rounded MT Bold" w:hAnsi="Arial Rounded MT Bold"/>
          <w:sz w:val="36"/>
          <w:szCs w:val="36"/>
          <w:vertAlign w:val="superscript"/>
        </w:rPr>
        <w:footnoteReference w:id="1"/>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As Langmuir states, the Renaissance era in Western Europe was very much a Christian world. The religion featured in the paintings is therefore Christianity. Renaissance literally means </w:t>
      </w:r>
      <w:r>
        <w:rPr>
          <w:rFonts w:ascii="Arial Rounded MT Bold" w:hAnsi="Arial Rounded MT Bold" w:hint="default"/>
          <w:sz w:val="36"/>
          <w:szCs w:val="36"/>
          <w:lang w:val="en-US"/>
        </w:rPr>
        <w:t>‘</w:t>
      </w:r>
      <w:r>
        <w:rPr>
          <w:rFonts w:ascii="Arial Rounded MT Bold" w:hAnsi="Arial Rounded MT Bold"/>
          <w:sz w:val="36"/>
          <w:szCs w:val="36"/>
          <w:lang w:val="en-US"/>
        </w:rPr>
        <w:t>rebirth</w:t>
      </w:r>
      <w:r>
        <w:rPr>
          <w:rFonts w:ascii="Arial Rounded MT Bold" w:hAnsi="Arial Rounded MT Bold" w:hint="default"/>
          <w:sz w:val="36"/>
          <w:szCs w:val="36"/>
          <w:lang w:val="en-US"/>
        </w:rPr>
        <w:t>’</w:t>
      </w:r>
      <w:r>
        <w:rPr>
          <w:rFonts w:ascii="Arial Rounded MT Bold" w:hAnsi="Arial Rounded MT Bold"/>
          <w:sz w:val="36"/>
          <w:szCs w:val="36"/>
          <w:lang w:val="en-US"/>
        </w:rPr>
        <w:t>. It refers to the rediscovery of texts from the Classical world. The Ancient texts were subsequently translated and circulated. This, and the increasing literacy of the period led to a phenomenon known as the New Learning.</w:t>
      </w:r>
      <w:r>
        <w:rPr>
          <w:rFonts w:ascii="Arial Rounded MT Bold" w:cs="Arial Rounded MT Bold" w:eastAsia="Arial Rounded MT Bold" w:hAnsi="Arial Rounded MT Bold"/>
          <w:sz w:val="36"/>
          <w:szCs w:val="36"/>
          <w:vertAlign w:val="superscript"/>
        </w:rPr>
        <w:footnoteReference w:id="2"/>
      </w:r>
      <w:r>
        <w:rPr>
          <w:rFonts w:ascii="Arial Rounded MT Bold" w:hAnsi="Arial Rounded MT Bold"/>
          <w:sz w:val="36"/>
          <w:szCs w:val="36"/>
          <w:lang w:val="en-US"/>
        </w:rPr>
        <w:t xml:space="preserve"> There were substantial cultural developments during this period. A prominent example is Renaissance art. Arguably, Italy was the very centre and heart of the Renaissance Art World. Many great masterpieces were produced there, in both painting and sculpture. This essay will therefore focus on Italian Art, specifically paintings. There is some debate over the exact dates of the Renaissance. However, 1500-1700 is the conservative estimate used for this essay. The three paintings focused on were all created during this time period. They are also all located in the National Gallery in London, and all feature in Langmuir</w:t>
      </w:r>
      <w:r>
        <w:rPr>
          <w:rFonts w:ascii="Arial Rounded MT Bold" w:hAnsi="Arial Rounded MT Bold" w:hint="default"/>
          <w:sz w:val="36"/>
          <w:szCs w:val="36"/>
          <w:lang w:val="en-US"/>
        </w:rPr>
        <w:t>’</w:t>
      </w:r>
      <w:r>
        <w:rPr>
          <w:rFonts w:ascii="Arial Rounded MT Bold" w:hAnsi="Arial Rounded MT Bold"/>
          <w:sz w:val="36"/>
          <w:szCs w:val="36"/>
          <w:lang w:val="en-US"/>
        </w:rPr>
        <w:t>s book. Chronologically, the three paintings are Sandro Botticelli</w:t>
      </w:r>
      <w:r>
        <w:rPr>
          <w:rFonts w:ascii="Arial Rounded MT Bold" w:hAnsi="Arial Rounded MT Bold" w:hint="default"/>
          <w:sz w:val="36"/>
          <w:szCs w:val="36"/>
          <w:lang w:val="en-US"/>
        </w:rPr>
        <w:t>’</w:t>
      </w:r>
      <w:r>
        <w:rPr>
          <w:rFonts w:ascii="Arial Rounded MT Bold" w:hAnsi="Arial Rounded MT Bold"/>
          <w:sz w:val="36"/>
          <w:szCs w:val="36"/>
          <w:lang w:val="en-US"/>
        </w:rPr>
        <w:t>s Mystic Nativity (1500), Garofalo</w:t>
      </w:r>
      <w:r>
        <w:rPr>
          <w:rFonts w:ascii="Arial Rounded MT Bold" w:hAnsi="Arial Rounded MT Bold" w:hint="default"/>
          <w:sz w:val="36"/>
          <w:szCs w:val="36"/>
          <w:lang w:val="en-US"/>
        </w:rPr>
        <w:t>’</w:t>
      </w:r>
      <w:r>
        <w:rPr>
          <w:rFonts w:ascii="Arial Rounded MT Bold" w:hAnsi="Arial Rounded MT Bold"/>
          <w:sz w:val="36"/>
          <w:szCs w:val="36"/>
          <w:lang w:val="en-US"/>
        </w:rPr>
        <w:t>s Saint Augustine with the Holy Family and Saint Catherine of Alexandria (</w:t>
      </w:r>
      <w:r>
        <w:rPr>
          <w:rFonts w:ascii="Arial Rounded MT Bold" w:hAnsi="Arial Rounded MT Bold" w:hint="default"/>
          <w:sz w:val="36"/>
          <w:szCs w:val="36"/>
          <w:lang w:val="en-US"/>
        </w:rPr>
        <w:t>‘</w:t>
      </w:r>
      <w:r>
        <w:rPr>
          <w:rFonts w:ascii="Arial Rounded MT Bold" w:hAnsi="Arial Rounded MT Bold"/>
          <w:sz w:val="36"/>
          <w:szCs w:val="36"/>
          <w:lang w:val="en-US"/>
        </w:rPr>
        <w:t>The Vision of Saint Augustine</w:t>
      </w:r>
      <w:r>
        <w:rPr>
          <w:rFonts w:ascii="Arial Rounded MT Bold" w:hAnsi="Arial Rounded MT Bold" w:hint="default"/>
          <w:sz w:val="36"/>
          <w:szCs w:val="36"/>
          <w:lang w:val="en-US"/>
        </w:rPr>
        <w:t>’</w:t>
      </w:r>
      <w:r>
        <w:rPr>
          <w:rFonts w:ascii="Arial Rounded MT Bold" w:hAnsi="Arial Rounded MT Bold"/>
          <w:sz w:val="36"/>
          <w:szCs w:val="36"/>
          <w:lang w:val="en-US"/>
        </w:rPr>
        <w:t xml:space="preserve">) (1520) </w:t>
      </w: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and Guido Reni</w:t>
      </w:r>
      <w:r>
        <w:rPr>
          <w:rFonts w:ascii="Arial Rounded MT Bold" w:hAnsi="Arial Rounded MT Bold" w:hint="default"/>
          <w:sz w:val="36"/>
          <w:szCs w:val="36"/>
          <w:lang w:val="en-US"/>
        </w:rPr>
        <w:t>’</w:t>
      </w:r>
      <w:r>
        <w:rPr>
          <w:rFonts w:ascii="Arial Rounded MT Bold" w:hAnsi="Arial Rounded MT Bold"/>
          <w:sz w:val="36"/>
          <w:szCs w:val="36"/>
          <w:lang w:val="en-US"/>
        </w:rPr>
        <w:t>s The Coronation of the Virgin (1607). These paintings all contain images of the sky that represent Heaven. Saints and angels typically inhabit them. The artists therefore recreate the sky as they may have observed it, while adding a vision of Heaven as they may have read about and imagined. This would subsequently allow their viewers to envision Heaven as the artists did, and connect it to the sky in spatial terms.</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Rainer Hagen</w:t>
      </w:r>
      <w:r>
        <w:rPr>
          <w:rFonts w:ascii="Arial Rounded MT Bold" w:hAnsi="Arial Rounded MT Bold" w:hint="default"/>
          <w:sz w:val="36"/>
          <w:szCs w:val="36"/>
          <w:lang w:val="en-US"/>
        </w:rPr>
        <w:t>’</w:t>
      </w:r>
      <w:r>
        <w:rPr>
          <w:rFonts w:ascii="Arial Rounded MT Bold" w:hAnsi="Arial Rounded MT Bold"/>
          <w:sz w:val="36"/>
          <w:szCs w:val="36"/>
          <w:lang w:val="en-US"/>
        </w:rPr>
        <w:t>s book, 15th Century Paintings (which covers Botticelli, as he lived in both the 15th and 16th centuries) states that: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Practically all art had a religious content...only 13 percent of artworks had secular themes, the majority of them portraits.</w:t>
      </w:r>
      <w:r>
        <w:rPr>
          <w:rFonts w:ascii="Arial Rounded MT Bold" w:cs="Arial Rounded MT Bold" w:eastAsia="Arial Rounded MT Bold" w:hAnsi="Arial Rounded MT Bold"/>
          <w:sz w:val="36"/>
          <w:szCs w:val="36"/>
          <w:vertAlign w:val="superscript"/>
        </w:rPr>
        <w:footnoteReference w:id="3"/>
      </w: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This then, was the world in which Renaissance artists were living. The transition from the Medieval world to the Renaissance world was essentially that from a God-centred world to a Man-centred one. The emphasis in the Renaissance was on the capabilities of Man. This became known as the rise of Renaissance Humanism.</w:t>
      </w:r>
      <w:r>
        <w:rPr>
          <w:rFonts w:ascii="Arial Rounded MT Bold" w:cs="Arial Rounded MT Bold" w:eastAsia="Arial Rounded MT Bold" w:hAnsi="Arial Rounded MT Bold"/>
          <w:sz w:val="36"/>
          <w:szCs w:val="36"/>
          <w:vertAlign w:val="superscript"/>
        </w:rPr>
        <w:footnoteReference w:id="4"/>
      </w:r>
      <w:r>
        <w:rPr>
          <w:rFonts w:ascii="Arial Rounded MT Bold" w:hAnsi="Arial Rounded MT Bold"/>
          <w:sz w:val="36"/>
          <w:szCs w:val="36"/>
          <w:lang w:val="en-US"/>
        </w:rPr>
        <w:t xml:space="preserve"> The aim was to become the multi-talented Renaissance Man, the ultimate example being Leonardo Da Vinci; artist, scientist and inventor. Furthermore, as humanistic ideas spread, this led to a shift in public opinion on artists. They were increasingly viewed as intellectuals, rather than as simply craftsmen. They began to be considered as gifted, inspired and unique, whereas they had previously been thought of as tradesmen. This led to artists being given greater freedom in their commissions and having more influence over their own works. Relevant quotations from the artists themselves include Michelangelo</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w:t>
      </w:r>
      <w:r>
        <w:rPr>
          <w:rFonts w:ascii="Arial Rounded MT Bold" w:hAnsi="Arial Rounded MT Bold" w:hint="default"/>
          <w:sz w:val="36"/>
          <w:szCs w:val="36"/>
          <w:lang w:val="en-US"/>
        </w:rPr>
        <w:t>“</w:t>
      </w:r>
      <w:r>
        <w:rPr>
          <w:rFonts w:ascii="Arial Rounded MT Bold" w:hAnsi="Arial Rounded MT Bold"/>
          <w:sz w:val="36"/>
          <w:szCs w:val="36"/>
          <w:lang w:val="en-US"/>
        </w:rPr>
        <w:t>one paints... with the brain</w:t>
      </w:r>
      <w:r>
        <w:rPr>
          <w:rFonts w:ascii="Arial Rounded MT Bold" w:hAnsi="Arial Rounded MT Bold" w:hint="default"/>
          <w:sz w:val="36"/>
          <w:szCs w:val="36"/>
          <w:lang w:val="en-US"/>
        </w:rPr>
        <w:t xml:space="preserve">” </w:t>
      </w:r>
      <w:r>
        <w:rPr>
          <w:rFonts w:ascii="Arial Rounded MT Bold" w:hAnsi="Arial Rounded MT Bold"/>
          <w:sz w:val="36"/>
          <w:szCs w:val="36"/>
          <w:lang w:val="en-US"/>
        </w:rPr>
        <w:t>and Leonardo</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w:t>
      </w:r>
      <w:r>
        <w:rPr>
          <w:rFonts w:ascii="Arial Rounded MT Bold" w:hAnsi="Arial Rounded MT Bold" w:hint="default"/>
          <w:sz w:val="36"/>
          <w:szCs w:val="36"/>
          <w:lang w:val="en-US"/>
        </w:rPr>
        <w:t>“</w:t>
      </w:r>
      <w:r>
        <w:rPr>
          <w:rFonts w:ascii="Arial Rounded MT Bold" w:hAnsi="Arial Rounded MT Bold"/>
          <w:sz w:val="36"/>
          <w:szCs w:val="36"/>
          <w:lang w:val="en-US"/>
        </w:rPr>
        <w:t>every painter paints himself</w:t>
      </w:r>
      <w:r>
        <w:rPr>
          <w:rFonts w:ascii="Arial Rounded MT Bold" w:hAnsi="Arial Rounded MT Bold" w:hint="default"/>
          <w:sz w:val="36"/>
          <w:szCs w:val="36"/>
          <w:lang w:val="en-US"/>
        </w:rPr>
        <w:t>”</w:t>
      </w:r>
      <w:r>
        <w:rPr>
          <w:rFonts w:ascii="Arial Rounded MT Bold" w:hAnsi="Arial Rounded MT Bold"/>
          <w:sz w:val="36"/>
          <w:szCs w:val="36"/>
          <w:lang w:val="en-US"/>
        </w:rPr>
        <w:t>.</w:t>
      </w:r>
      <w:r>
        <w:rPr>
          <w:rFonts w:ascii="Arial Rounded MT Bold" w:cs="Arial Rounded MT Bold" w:eastAsia="Arial Rounded MT Bold" w:hAnsi="Arial Rounded MT Bold"/>
          <w:sz w:val="36"/>
          <w:szCs w:val="36"/>
          <w:vertAlign w:val="superscript"/>
        </w:rPr>
        <w:footnoteReference w:id="5"/>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In spite of the gradual shift from the sacred to the humanistic worldview, religious paintings remained a major art genre. As Langmuir stated in the opening quote, there was a connection between poetry and painting, in the sense of artists capturing on canvas (or wood, or copper) what they had perused on paper. Arguably, the greatest poetical influence over Renaissance sky painting was Dante</w:t>
      </w:r>
      <w:r>
        <w:rPr>
          <w:rFonts w:ascii="Arial Rounded MT Bold" w:hAnsi="Arial Rounded MT Bold" w:hint="default"/>
          <w:sz w:val="36"/>
          <w:szCs w:val="36"/>
          <w:lang w:val="en-US"/>
        </w:rPr>
        <w:t>’</w:t>
      </w:r>
      <w:r>
        <w:rPr>
          <w:rFonts w:ascii="Arial Rounded MT Bold" w:hAnsi="Arial Rounded MT Bold"/>
          <w:sz w:val="36"/>
          <w:szCs w:val="36"/>
          <w:lang w:val="en-US"/>
        </w:rPr>
        <w:t>s Divine Comedy.</w:t>
      </w:r>
      <w:r>
        <w:rPr>
          <w:rFonts w:ascii="Arial Rounded MT Bold" w:cs="Arial Rounded MT Bold" w:eastAsia="Arial Rounded MT Bold" w:hAnsi="Arial Rounded MT Bold"/>
          <w:sz w:val="36"/>
          <w:szCs w:val="36"/>
          <w:vertAlign w:val="superscript"/>
        </w:rPr>
        <w:footnoteReference w:id="6"/>
      </w:r>
      <w:r>
        <w:rPr>
          <w:rFonts w:ascii="Arial Rounded MT Bold" w:hAnsi="Arial Rounded MT Bold"/>
          <w:sz w:val="36"/>
          <w:szCs w:val="36"/>
          <w:lang w:val="en-US"/>
        </w:rPr>
        <w:t xml:space="preserve"> Published in 1320, it constitutes an epic journey through Hell, Purgatory and Heaven (Paradise). It was tremendously influential, and illustrations to it were created shortly after its publication and subsequently by many artists. A medieval example is Giovanni Di Paolo</w:t>
      </w:r>
      <w:r>
        <w:rPr>
          <w:rFonts w:ascii="Arial Rounded MT Bold" w:hAnsi="Arial Rounded MT Bold" w:hint="default"/>
          <w:sz w:val="36"/>
          <w:szCs w:val="36"/>
          <w:lang w:val="en-US"/>
        </w:rPr>
        <w:t>’</w:t>
      </w:r>
      <w:r>
        <w:rPr>
          <w:rFonts w:ascii="Arial Rounded MT Bold" w:hAnsi="Arial Rounded MT Bold"/>
          <w:sz w:val="36"/>
          <w:szCs w:val="36"/>
          <w:lang w:val="en-US"/>
        </w:rPr>
        <w:t>s, dating from the 1440</w:t>
      </w:r>
      <w:r>
        <w:rPr>
          <w:rFonts w:ascii="Arial Rounded MT Bold" w:hAnsi="Arial Rounded MT Bold" w:hint="default"/>
          <w:sz w:val="36"/>
          <w:szCs w:val="36"/>
          <w:lang w:val="en-US"/>
        </w:rPr>
        <w:t>’</w:t>
      </w:r>
      <w:r>
        <w:rPr>
          <w:rFonts w:ascii="Arial Rounded MT Bold" w:hAnsi="Arial Rounded MT Bold"/>
          <w:sz w:val="36"/>
          <w:szCs w:val="36"/>
          <w:lang w:val="en-US"/>
        </w:rPr>
        <w:t>s. This version is very stylised and features a Heaven with Bishops floating in it.</w:t>
      </w:r>
      <w:r>
        <w:rPr>
          <w:rFonts w:ascii="Arial Rounded MT Bold" w:cs="Arial Rounded MT Bold" w:eastAsia="Arial Rounded MT Bold" w:hAnsi="Arial Rounded MT Bold"/>
          <w:sz w:val="36"/>
          <w:szCs w:val="36"/>
          <w:vertAlign w:val="superscript"/>
        </w:rPr>
        <w:footnoteReference w:id="7"/>
      </w:r>
      <w:r>
        <w:rPr>
          <w:rFonts w:ascii="Arial Rounded MT Bold" w:hAnsi="Arial Rounded MT Bold"/>
          <w:sz w:val="36"/>
          <w:szCs w:val="36"/>
          <w:lang w:val="en-US"/>
        </w:rPr>
        <w:t xml:space="preserve"> Thus, interestingly, the popular images of both Heaven and Hell are not directly from the Bible (which refers to these realms, but with limited description), but owe more to Dante. Milton</w:t>
      </w:r>
      <w:r>
        <w:rPr>
          <w:rFonts w:ascii="Arial Rounded MT Bold" w:hAnsi="Arial Rounded MT Bold" w:hint="default"/>
          <w:sz w:val="36"/>
          <w:szCs w:val="36"/>
          <w:lang w:val="en-US"/>
        </w:rPr>
        <w:t>’</w:t>
      </w:r>
      <w:r>
        <w:rPr>
          <w:rFonts w:ascii="Arial Rounded MT Bold" w:hAnsi="Arial Rounded MT Bold"/>
          <w:sz w:val="36"/>
          <w:szCs w:val="36"/>
          <w:lang w:val="en-US"/>
        </w:rPr>
        <w:t>s Paradise Lost was a subsequent contribution. Richard Townsend refers to Dante</w:t>
      </w:r>
      <w:r>
        <w:rPr>
          <w:rFonts w:ascii="Arial Rounded MT Bold" w:hAnsi="Arial Rounded MT Bold" w:hint="default"/>
          <w:sz w:val="36"/>
          <w:szCs w:val="36"/>
          <w:lang w:val="en-US"/>
        </w:rPr>
        <w:t>’</w:t>
      </w:r>
      <w:r>
        <w:rPr>
          <w:rFonts w:ascii="Arial Rounded MT Bold" w:hAnsi="Arial Rounded MT Bold"/>
          <w:sz w:val="36"/>
          <w:szCs w:val="36"/>
          <w:lang w:val="en-US"/>
        </w:rPr>
        <w:t>s influence on Renaissance art: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Dante</w:t>
      </w:r>
      <w:r>
        <w:rPr>
          <w:rFonts w:ascii="Arial Rounded MT Bold" w:hAnsi="Arial Rounded MT Bold" w:hint="default"/>
          <w:sz w:val="36"/>
          <w:szCs w:val="36"/>
          <w:lang w:val="en-US"/>
        </w:rPr>
        <w:t>’</w:t>
      </w:r>
      <w:r>
        <w:rPr>
          <w:rFonts w:ascii="Arial Rounded MT Bold" w:hAnsi="Arial Rounded MT Bold"/>
          <w:sz w:val="36"/>
          <w:szCs w:val="36"/>
          <w:lang w:val="en-US"/>
        </w:rPr>
        <w:t>s Divine Comedy, with its bizarre, layered visions of Heaven and Hell, had a huge impact. By the time of the Renaissance, frescoes depicted Heaven as a place in the clouds, where your ancestors resided with God.</w:t>
      </w:r>
      <w:r>
        <w:rPr>
          <w:rFonts w:ascii="Arial Rounded MT Bold" w:cs="Arial Rounded MT Bold" w:eastAsia="Arial Rounded MT Bold" w:hAnsi="Arial Rounded MT Bold"/>
          <w:sz w:val="36"/>
          <w:szCs w:val="36"/>
          <w:vertAlign w:val="superscript"/>
        </w:rPr>
        <w:footnoteReference w:id="8"/>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Interestingly Botticelli himself was commissioned to illustrate the Divine Comedy, and a selection of his drawings from this (though not painted) survive. However, it seems that he did not complete the project and did not illustrate the Paradiso verses (the Heavens). Pope-Hennessy states that the Paradiso was </w:t>
      </w:r>
      <w:r>
        <w:rPr>
          <w:rFonts w:ascii="Arial Rounded MT Bold" w:hAnsi="Arial Rounded MT Bold" w:hint="default"/>
          <w:sz w:val="36"/>
          <w:szCs w:val="36"/>
          <w:lang w:val="en-US"/>
        </w:rPr>
        <w:t>“</w:t>
      </w:r>
      <w:r>
        <w:rPr>
          <w:rFonts w:ascii="Arial Rounded MT Bold" w:hAnsi="Arial Rounded MT Bold"/>
          <w:sz w:val="36"/>
          <w:szCs w:val="36"/>
          <w:lang w:val="en-US"/>
        </w:rPr>
        <w:t>more resistant to illustration</w:t>
      </w:r>
      <w:r>
        <w:rPr>
          <w:rFonts w:ascii="Arial Rounded MT Bold" w:hAnsi="Arial Rounded MT Bold" w:hint="default"/>
          <w:sz w:val="36"/>
          <w:szCs w:val="36"/>
          <w:lang w:val="en-US"/>
        </w:rPr>
        <w:t>”</w:t>
      </w:r>
      <w:r>
        <w:rPr>
          <w:rFonts w:ascii="Arial Rounded MT Bold" w:hAnsi="Arial Rounded MT Bold"/>
          <w:sz w:val="36"/>
          <w:szCs w:val="36"/>
          <w:lang w:val="en-US"/>
        </w:rPr>
        <w:t>, due to its mysteries, than the other two sections.</w:t>
      </w:r>
      <w:r>
        <w:rPr>
          <w:rFonts w:ascii="Arial Rounded MT Bold" w:cs="Arial Rounded MT Bold" w:eastAsia="Arial Rounded MT Bold" w:hAnsi="Arial Rounded MT Bold"/>
          <w:sz w:val="36"/>
          <w:szCs w:val="36"/>
          <w:vertAlign w:val="superscript"/>
        </w:rPr>
        <w:footnoteReference w:id="9"/>
      </w:r>
      <w:r>
        <w:rPr>
          <w:rFonts w:ascii="Arial Rounded MT Bold" w:hAnsi="Arial Rounded MT Bold"/>
          <w:sz w:val="36"/>
          <w:szCs w:val="36"/>
          <w:lang w:val="en-US"/>
        </w:rPr>
        <w:t xml:space="preserve"> Evidently, Botticelli preferred to paint his own heavenly visions, such as Mystical Nativity, as did other artists. The influence of the Divine Comedy may well have contributed to the fascination of later artworks depicting the Heavens, as well as likely partially inspiring them.</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 Italian Renaissance artists had something of a mixed heritage; living in Italy, which was both the ancestral home of the ancient Romans and the heart of the Roman Catholic world. Both, as the names imply, were centred in Rome. Helen de Borchgrave expresses that: </w:t>
      </w: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 </w:t>
      </w: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great Italian artists were heirs to the classical heritage  (but) also members of the Catholic Church, surrounded by all the evidence of faith with its mystical and devotional piety.</w:t>
      </w:r>
      <w:r>
        <w:rPr>
          <w:rFonts w:ascii="Arial Rounded MT Bold" w:cs="Arial Rounded MT Bold" w:eastAsia="Arial Rounded MT Bold" w:hAnsi="Arial Rounded MT Bold"/>
          <w:sz w:val="36"/>
          <w:szCs w:val="36"/>
          <w:vertAlign w:val="superscript"/>
        </w:rPr>
        <w:footnoteReference w:id="10"/>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This partially explains why Italian Renaissance artists may have painted both classical myth scenes and Christian devotional art. Botticelli was especially known for his works in both. He is probably best known nowadays for his classical works, such as Birth of Venus (c. 1485),  Primavera (c. 1482) and Venus and Mars. (c. 1485) Hagen dates the shift in Botticelli</w:t>
      </w:r>
      <w:r>
        <w:rPr>
          <w:rFonts w:ascii="Arial Rounded MT Bold" w:hAnsi="Arial Rounded MT Bold" w:hint="default"/>
          <w:sz w:val="36"/>
          <w:szCs w:val="36"/>
          <w:lang w:val="en-US"/>
        </w:rPr>
        <w:t>’</w:t>
      </w:r>
      <w:r>
        <w:rPr>
          <w:rFonts w:ascii="Arial Rounded MT Bold" w:hAnsi="Arial Rounded MT Bold"/>
          <w:sz w:val="36"/>
          <w:szCs w:val="36"/>
          <w:lang w:val="en-US"/>
        </w:rPr>
        <w:t>s paintings from the classical to the Christian devotional to some time after 1497; when he likely became a follower of the strict monk, Savonarola. This is consistent with the 1500 date of the Mystical Nativity painting. The claim of Botticelli becoming a follower of Savonarola is supported by his near contemporary biographer Giorgio Vasari. Hagen names Botticelli as:</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a devout Christian, whose studio... satisfied the... demands of the public for devotional pictures: saints, gentle-faced Virgins and the Holy Child.</w:t>
      </w:r>
      <w:r>
        <w:rPr>
          <w:rFonts w:ascii="Arial Rounded MT Bold" w:cs="Arial Rounded MT Bold" w:eastAsia="Arial Rounded MT Bold" w:hAnsi="Arial Rounded MT Bold"/>
          <w:sz w:val="36"/>
          <w:szCs w:val="36"/>
          <w:vertAlign w:val="superscript"/>
        </w:rPr>
        <w:footnoteReference w:id="11"/>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Much of the above quotation would describe the Mystical Nativity painting (1500). </w:t>
      </w:r>
      <w:r>
        <w:rPr>
          <w:rFonts w:ascii="Arial Rounded MT Bold" w:hAnsi="Arial Rounded MT Bold"/>
          <w:sz w:val="36"/>
          <w:szCs w:val="36"/>
          <w:lang w:val="en-US"/>
        </w:rPr>
        <w:t>The estimated dates for the life of Sandro Botticelli are given as c. 1445-1510.</w:t>
      </w:r>
      <w:r>
        <w:rPr>
          <w:rFonts w:ascii="Arial Rounded MT Bold" w:cs="Arial Rounded MT Bold" w:eastAsia="Arial Rounded MT Bold" w:hAnsi="Arial Rounded MT Bold"/>
          <w:sz w:val="36"/>
          <w:szCs w:val="36"/>
          <w:vertAlign w:val="superscript"/>
        </w:rPr>
        <w:footnoteReference w:id="12"/>
      </w:r>
      <w:r>
        <w:rPr>
          <w:rFonts w:ascii="Arial Rounded MT Bold" w:hAnsi="Arial Rounded MT Bold"/>
          <w:sz w:val="36"/>
          <w:szCs w:val="36"/>
          <w:lang w:val="en-US"/>
        </w:rPr>
        <w:t xml:space="preserve"> These dates contextualise him as an Early Renaissance painter. His birth name was Alessandro di Mariano di Vanni Filipepi.</w:t>
      </w:r>
      <w:r>
        <w:rPr>
          <w:rFonts w:ascii="Arial Rounded MT Bold" w:cs="Arial Rounded MT Bold" w:eastAsia="Arial Rounded MT Bold" w:hAnsi="Arial Rounded MT Bold"/>
          <w:sz w:val="36"/>
          <w:szCs w:val="36"/>
          <w:vertAlign w:val="superscript"/>
        </w:rPr>
        <w:footnoteReference w:id="13"/>
      </w:r>
      <w:r>
        <w:rPr>
          <w:rFonts w:ascii="Arial Rounded MT Bold" w:hAnsi="Arial Rounded MT Bold"/>
          <w:sz w:val="36"/>
          <w:szCs w:val="36"/>
          <w:lang w:val="en-US"/>
        </w:rPr>
        <w:t xml:space="preserve"> He was a native of Florence in Italy and lived there during the age of the Medicis; a very powerful and influential family. The Medicis were patrons of his, and commissioned a number of his works. </w:t>
      </w:r>
      <w:r>
        <w:rPr>
          <w:rFonts w:ascii="Arial Rounded MT Bold" w:hAnsi="Arial Rounded MT Bold"/>
          <w:sz w:val="36"/>
          <w:szCs w:val="36"/>
          <w:lang w:val="en-US"/>
        </w:rPr>
        <w:t xml:space="preserve">The city of Florence is noteworthy, as according to Victoria Charles: </w:t>
      </w:r>
      <w:r>
        <w:rPr>
          <w:rFonts w:ascii="Arial Rounded MT Bold" w:hAnsi="Arial Rounded MT Bold" w:hint="default"/>
          <w:sz w:val="36"/>
          <w:szCs w:val="36"/>
          <w:lang w:val="en-US"/>
        </w:rPr>
        <w:t>“</w:t>
      </w:r>
      <w:r>
        <w:rPr>
          <w:rFonts w:ascii="Arial Rounded MT Bold" w:hAnsi="Arial Rounded MT Bold"/>
          <w:sz w:val="36"/>
          <w:szCs w:val="36"/>
          <w:lang w:val="en-US"/>
        </w:rPr>
        <w:t>The earliest traces of the Renaissance are found in Florence.</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14"/>
      </w:r>
      <w:r>
        <w:rPr>
          <w:rFonts w:ascii="Arial Rounded MT Bold" w:hAnsi="Arial Rounded MT Bold"/>
          <w:sz w:val="36"/>
          <w:szCs w:val="36"/>
          <w:lang w:val="en-US"/>
        </w:rPr>
        <w:t xml:space="preserve">  This fits with Botticelli being an early Renaissance painter. History</w:t>
      </w:r>
      <w:r>
        <w:rPr>
          <w:rFonts w:ascii="Arial Rounded MT Bold" w:hAnsi="Arial Rounded MT Bold"/>
          <w:sz w:val="36"/>
          <w:szCs w:val="36"/>
          <w:lang w:val="en-US"/>
        </w:rPr>
        <w:t xml:space="preserve"> knows this artist as Sandro Botticelli; a much shorter and more memorable name than that he was born with. Sandro is an obvious diminutive of Alessandro. The nickname of Botticelli requires a bit more explanation. Alston offers two alternative background stories for the name, stating that: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 first theory is that his older brother, Giovanni, was quite fat and therefore nicknamed </w:t>
      </w:r>
      <w:r>
        <w:rPr>
          <w:rFonts w:ascii="Arial Rounded MT Bold" w:hAnsi="Arial Rounded MT Bold" w:hint="default"/>
          <w:sz w:val="36"/>
          <w:szCs w:val="36"/>
          <w:lang w:val="en-US"/>
        </w:rPr>
        <w:t>“</w:t>
      </w:r>
      <w:r>
        <w:rPr>
          <w:rFonts w:ascii="Arial Rounded MT Bold" w:hAnsi="Arial Rounded MT Bold"/>
          <w:sz w:val="36"/>
          <w:szCs w:val="36"/>
          <w:lang w:val="en-US"/>
        </w:rPr>
        <w:t>Botticella</w:t>
      </w:r>
      <w:r>
        <w:rPr>
          <w:rFonts w:ascii="Arial Rounded MT Bold" w:hAnsi="Arial Rounded MT Bold" w:hint="default"/>
          <w:sz w:val="36"/>
          <w:szCs w:val="36"/>
          <w:lang w:val="en-US"/>
        </w:rPr>
        <w:t>”</w:t>
      </w:r>
      <w:r>
        <w:rPr>
          <w:rFonts w:ascii="Arial Rounded MT Bold" w:hAnsi="Arial Rounded MT Bold"/>
          <w:sz w:val="36"/>
          <w:szCs w:val="36"/>
          <w:lang w:val="en-US"/>
        </w:rPr>
        <w:t xml:space="preserve">, which means a keg or barrel. </w:t>
      </w:r>
      <w:r>
        <w:rPr>
          <w:rFonts w:ascii="Arial Rounded MT Bold" w:hAnsi="Arial Rounded MT Bold" w:hint="default"/>
          <w:sz w:val="36"/>
          <w:szCs w:val="36"/>
          <w:lang w:val="en-US"/>
        </w:rPr>
        <w:t>“</w:t>
      </w:r>
      <w:r>
        <w:rPr>
          <w:rFonts w:ascii="Arial Rounded MT Bold" w:hAnsi="Arial Rounded MT Bold"/>
          <w:sz w:val="36"/>
          <w:szCs w:val="36"/>
          <w:lang w:val="en-US"/>
        </w:rPr>
        <w:t>Botticelli</w:t>
      </w:r>
      <w:r>
        <w:rPr>
          <w:rFonts w:ascii="Arial Rounded MT Bold" w:hAnsi="Arial Rounded MT Bold" w:hint="default"/>
          <w:sz w:val="36"/>
          <w:szCs w:val="36"/>
          <w:lang w:val="en-US"/>
        </w:rPr>
        <w:t xml:space="preserve">” </w:t>
      </w:r>
      <w:r>
        <w:rPr>
          <w:rFonts w:ascii="Arial Rounded MT Bold" w:hAnsi="Arial Rounded MT Bold"/>
          <w:sz w:val="36"/>
          <w:szCs w:val="36"/>
          <w:lang w:val="en-US"/>
        </w:rPr>
        <w:t>means mini keg, an appropriate nickname for the younger brother. The second theory is that Alessandro was briefly an apprentice to another of his brothers who was a goldsmith. Botticelli</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primary job was to hit the gold repeatedly with a hammer to shape it, referred to in Italian as </w:t>
      </w:r>
      <w:r>
        <w:rPr>
          <w:rFonts w:ascii="Arial Rounded MT Bold" w:hAnsi="Arial Rounded MT Bold" w:hint="default"/>
          <w:sz w:val="36"/>
          <w:szCs w:val="36"/>
          <w:lang w:val="en-US"/>
        </w:rPr>
        <w:t>‘</w:t>
      </w:r>
      <w:r>
        <w:rPr>
          <w:rFonts w:ascii="Arial Rounded MT Bold" w:hAnsi="Arial Rounded MT Bold"/>
          <w:sz w:val="36"/>
          <w:szCs w:val="36"/>
          <w:lang w:val="en-US"/>
        </w:rPr>
        <w:t>battigello</w:t>
      </w:r>
      <w:r>
        <w:rPr>
          <w:rFonts w:ascii="Arial Rounded MT Bold" w:hAnsi="Arial Rounded MT Bold" w:hint="default"/>
          <w:sz w:val="36"/>
          <w:szCs w:val="36"/>
          <w:lang w:val="en-US"/>
        </w:rPr>
        <w:t>’</w:t>
      </w:r>
      <w:r>
        <w:rPr>
          <w:rFonts w:ascii="Arial Rounded MT Bold" w:hAnsi="Arial Rounded MT Bold"/>
          <w:sz w:val="36"/>
          <w:szCs w:val="36"/>
          <w:lang w:val="en-US"/>
        </w:rPr>
        <w:t>, and this possibly could have morphed into Botticelli over time.</w:t>
      </w:r>
      <w:r>
        <w:rPr>
          <w:rFonts w:ascii="Arial Rounded MT Bold" w:cs="Arial Rounded MT Bold" w:eastAsia="Arial Rounded MT Bold" w:hAnsi="Arial Rounded MT Bold"/>
          <w:sz w:val="36"/>
          <w:szCs w:val="36"/>
          <w:vertAlign w:val="superscript"/>
        </w:rPr>
        <w:footnoteReference w:id="15"/>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These are both plausible theories, accounting for the nickname by way of the intricacies of the Italian language. Either or both could be true. However, slightly more weight might be given to the second theory. This is because supporting evidence can be gleaned from some of Botticelli</w:t>
      </w:r>
      <w:r>
        <w:rPr>
          <w:rFonts w:ascii="Arial Rounded MT Bold" w:hAnsi="Arial Rounded MT Bold" w:hint="default"/>
          <w:sz w:val="36"/>
          <w:szCs w:val="36"/>
          <w:lang w:val="en-US"/>
        </w:rPr>
        <w:t>’</w:t>
      </w:r>
      <w:r>
        <w:rPr>
          <w:rFonts w:ascii="Arial Rounded MT Bold" w:hAnsi="Arial Rounded MT Bold"/>
          <w:sz w:val="36"/>
          <w:szCs w:val="36"/>
          <w:lang w:val="en-US"/>
        </w:rPr>
        <w:t>s own paintings that he was apprenticed to a goldsmith at some point, early in his life. One of these paintings is, in fact, Mystic Nativity, also known as Mystical Nativity, the one of most relevance to this essay. Furthermore, the</w:t>
      </w:r>
      <w:r>
        <w:rPr>
          <w:rFonts w:ascii="Arial Rounded MT Bold" w:hAnsi="Arial Rounded MT Bold"/>
          <w:sz w:val="36"/>
          <w:szCs w:val="36"/>
          <w:lang w:val="en-US"/>
        </w:rPr>
        <w:t xml:space="preserve"> aforementioned </w:t>
      </w:r>
      <w:r>
        <w:rPr>
          <w:rFonts w:ascii="Arial Rounded MT Bold" w:hAnsi="Arial Rounded MT Bold"/>
          <w:sz w:val="36"/>
          <w:szCs w:val="36"/>
          <w:lang w:val="en-US"/>
        </w:rPr>
        <w:t>sixteenth century art historian, Giorgio Vasari, also claimed in his Life of Botticelli, that the eponymous artist had been initially trained as a goldsmith. Botticelli</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primary apprenticeship began in 1462, at around the age of seventeen, and lasted about five years. He </w:t>
      </w:r>
      <w:r>
        <w:rPr>
          <w:rFonts w:ascii="Arial Rounded MT Bold" w:hAnsi="Arial Rounded MT Bold" w:hint="default"/>
          <w:sz w:val="36"/>
          <w:szCs w:val="36"/>
          <w:lang w:val="en-US"/>
        </w:rPr>
        <w:t>“</w:t>
      </w:r>
      <w:r>
        <w:rPr>
          <w:rFonts w:ascii="Arial Rounded MT Bold" w:hAnsi="Arial Rounded MT Bold"/>
          <w:sz w:val="36"/>
          <w:szCs w:val="36"/>
          <w:lang w:val="en-US"/>
        </w:rPr>
        <w:t>was apprenticed to the artist, Fra Filippo Lippi, considered to be the best Florentine painter of the period.</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16"/>
      </w:r>
      <w:r>
        <w:rPr>
          <w:rFonts w:ascii="Arial Rounded MT Bold" w:hAnsi="Arial Rounded MT Bold"/>
          <w:sz w:val="36"/>
          <w:szCs w:val="36"/>
          <w:lang w:val="en-US"/>
        </w:rPr>
        <w:t xml:space="preserve">  This judgment was likely considered reasonable in its own time. However, it is arguable that his apprentice, Botticelli, went on to eclipse his former mentor Lippi, in terms of both artistic achievements and posthumous reputation. Alston accounts for the fact of Botticelli</w:t>
      </w:r>
      <w:r>
        <w:rPr>
          <w:rFonts w:ascii="Arial Rounded MT Bold" w:hAnsi="Arial Rounded MT Bold" w:hint="default"/>
          <w:sz w:val="36"/>
          <w:szCs w:val="36"/>
          <w:lang w:val="en-US"/>
        </w:rPr>
        <w:t>’</w:t>
      </w:r>
      <w:r>
        <w:rPr>
          <w:rFonts w:ascii="Arial Rounded MT Bold" w:hAnsi="Arial Rounded MT Bold"/>
          <w:sz w:val="36"/>
          <w:szCs w:val="36"/>
          <w:lang w:val="en-US"/>
        </w:rPr>
        <w:t>s relatively late apprenticeship (twelve would have been a more typical age to be apprenticed) to his having been educated.</w:t>
      </w:r>
      <w:r>
        <w:rPr>
          <w:rFonts w:ascii="Arial Rounded MT Bold" w:cs="Arial Rounded MT Bold" w:eastAsia="Arial Rounded MT Bold" w:hAnsi="Arial Rounded MT Bold"/>
          <w:sz w:val="36"/>
          <w:szCs w:val="36"/>
          <w:vertAlign w:val="superscript"/>
        </w:rPr>
        <w:footnoteReference w:id="17"/>
      </w:r>
      <w:r>
        <w:rPr>
          <w:rFonts w:ascii="Arial Rounded MT Bold" w:hAnsi="Arial Rounded MT Bold"/>
          <w:sz w:val="36"/>
          <w:szCs w:val="36"/>
          <w:lang w:val="en-US"/>
        </w:rPr>
        <w:t xml:space="preserve"> This, like the goldsmith apprenticeship theory, is another speculation that seems to be internally supported by the evidence of Botticelli</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paintings. </w:t>
      </w:r>
      <w:r>
        <w:rPr>
          <w:rFonts w:ascii="Arial Rounded MT Bold" w:hAnsi="Arial Rounded MT Bold"/>
          <w:sz w:val="36"/>
          <w:szCs w:val="36"/>
          <w:lang w:val="en-US"/>
        </w:rPr>
        <w:t xml:space="preserve">As considered, his </w:t>
      </w:r>
      <w:r>
        <w:rPr>
          <w:rFonts w:ascii="Arial Rounded MT Bold" w:hAnsi="Arial Rounded MT Bold"/>
          <w:sz w:val="36"/>
          <w:szCs w:val="36"/>
          <w:lang w:val="en-US"/>
        </w:rPr>
        <w:t>artworks encompass both mythological subjects and Christian devotion. This is suggestive of his having benefited from a Classical education, an asset prized during the Renaissance, period of the New Learning. The aforementioned Giorgio Vasari mentions Botticelli</w:t>
      </w:r>
      <w:r>
        <w:rPr>
          <w:rFonts w:ascii="Arial Rounded MT Bold" w:hAnsi="Arial Rounded MT Bold" w:hint="default"/>
          <w:sz w:val="36"/>
          <w:szCs w:val="36"/>
          <w:lang w:val="en-US"/>
        </w:rPr>
        <w:t>’</w:t>
      </w:r>
      <w:r>
        <w:rPr>
          <w:rFonts w:ascii="Arial Rounded MT Bold" w:hAnsi="Arial Rounded MT Bold"/>
          <w:sz w:val="36"/>
          <w:szCs w:val="36"/>
          <w:lang w:val="en-US"/>
        </w:rPr>
        <w:t>s education, naming him as an apt pupil, albeit one with a tendency towards restlessness, prior to his apprenticeship as a goldsmith. (Vasari, 147)</w:t>
      </w:r>
    </w:p>
    <w:p>
      <w:pPr>
        <w:pStyle w:val="style4099"/>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Art History textbook Masters of Art: Sandro Botticelli lists The Mystical Nativity among the highlights of the artist</w:t>
      </w:r>
      <w:r>
        <w:rPr>
          <w:rFonts w:ascii="Arial Rounded MT Bold" w:hAnsi="Arial Rounded MT Bold" w:hint="default"/>
          <w:sz w:val="36"/>
          <w:szCs w:val="36"/>
          <w:lang w:val="en-US"/>
        </w:rPr>
        <w:t>’</w:t>
      </w:r>
      <w:r>
        <w:rPr>
          <w:rFonts w:ascii="Arial Rounded MT Bold" w:hAnsi="Arial Rounded MT Bold"/>
          <w:sz w:val="36"/>
          <w:szCs w:val="36"/>
          <w:lang w:val="en-US"/>
        </w:rPr>
        <w:t>s work.</w:t>
      </w:r>
      <w:r>
        <w:rPr>
          <w:rFonts w:ascii="Arial Rounded MT Bold" w:cs="Arial Rounded MT Bold" w:eastAsia="Arial Rounded MT Bold" w:hAnsi="Arial Rounded MT Bold"/>
          <w:sz w:val="36"/>
          <w:szCs w:val="36"/>
          <w:vertAlign w:val="superscript"/>
        </w:rPr>
        <w:footnoteReference w:id="18"/>
      </w:r>
      <w:r>
        <w:rPr>
          <w:rFonts w:ascii="Arial Rounded MT Bold" w:hAnsi="Arial Rounded MT Bold"/>
          <w:sz w:val="36"/>
          <w:szCs w:val="36"/>
          <w:lang w:val="en-US"/>
        </w:rPr>
        <w:t xml:space="preserve"> This gives some indication of its status and reputation. It is, however, considered fairly small, in comparison with </w:t>
      </w:r>
      <w:r>
        <w:rPr>
          <w:rFonts w:ascii="Arial Rounded MT Bold" w:hAnsi="Arial Rounded MT Bold"/>
          <w:sz w:val="36"/>
          <w:szCs w:val="36"/>
          <w:lang w:val="en-US"/>
        </w:rPr>
        <w:t xml:space="preserve">his </w:t>
      </w:r>
      <w:r>
        <w:rPr>
          <w:rFonts w:ascii="Arial Rounded MT Bold" w:hAnsi="Arial Rounded MT Bold"/>
          <w:sz w:val="36"/>
          <w:szCs w:val="36"/>
          <w:lang w:val="en-US"/>
        </w:rPr>
        <w:t>other works</w:t>
      </w:r>
      <w:r>
        <w:rPr>
          <w:rFonts w:ascii="Arial Rounded MT Bold" w:hAnsi="Arial Rounded MT Bold"/>
          <w:sz w:val="36"/>
          <w:szCs w:val="36"/>
          <w:lang w:val="en-US"/>
        </w:rPr>
        <w:t xml:space="preserve">. </w:t>
      </w:r>
      <w:r>
        <w:rPr>
          <w:rFonts w:ascii="Arial Rounded MT Bold" w:hAnsi="Arial Rounded MT Bold"/>
          <w:sz w:val="36"/>
          <w:szCs w:val="36"/>
          <w:lang w:val="en-US"/>
        </w:rPr>
        <w:t>The painting measures 42.7 inches by 29.5 inches. It was painted in oil on canvas. The Mystical Nativity is singular among Botticelli's works for being the only one both signed by him and inscribed with a date.</w:t>
      </w:r>
      <w:r>
        <w:rPr>
          <w:rFonts w:ascii="Arial Rounded MT Bold" w:cs="Arial Rounded MT Bold" w:eastAsia="Arial Rounded MT Bold" w:hAnsi="Arial Rounded MT Bold"/>
          <w:sz w:val="36"/>
          <w:szCs w:val="36"/>
          <w:vertAlign w:val="superscript"/>
        </w:rPr>
        <w:footnoteReference w:id="19"/>
      </w:r>
      <w:r>
        <w:rPr>
          <w:rFonts w:ascii="Arial Rounded MT Bold" w:hAnsi="Arial Rounded MT Bold"/>
          <w:sz w:val="36"/>
          <w:szCs w:val="36"/>
          <w:lang w:val="en-US"/>
        </w:rPr>
        <w:t xml:space="preserve"> It can therefore be more precisely dated than his other works. The date stated is 1500. This contextualises the painting as a mature work, created when the artist was approximately fifty-five years old, ten years prior to his death. In addition to the artist's signature and the date, the top of the painting also features a lengthy inscription written in Greek. This demonstrates the artist's familiarity with the language and provides further internal evidence of his classical education. The National Gallery; residence of this painting, have provided an English translation of the Greek on their website:</w:t>
      </w:r>
    </w:p>
    <w:p>
      <w:pPr>
        <w:pStyle w:val="style4099"/>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This picture, at the end of the year 1500, in the troubles of Italy, I, Alessandro, in the half-time after the time, painted, according to the eleventh [chapter] of Saint John, in the second woe of the Apocalypse, during the release of the devil for three and a half years; then he shall be bound in the twelfth [chapter] and we shall see [him buried] as in this picture.</w:t>
      </w:r>
      <w:r>
        <w:rPr>
          <w:rFonts w:ascii="Arial Rounded MT Bold" w:cs="Arial Rounded MT Bold" w:eastAsia="Arial Rounded MT Bold" w:hAnsi="Arial Rounded MT Bold"/>
          <w:sz w:val="36"/>
          <w:szCs w:val="36"/>
          <w:vertAlign w:val="superscript"/>
        </w:rPr>
        <w:footnoteReference w:id="20"/>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Greek inscription appears at the topmost part of the painting. It is therefore higher even than the sky, which features as a heavenly scene. The Greek words are inscribed on a silver background. This constitutes an effective and complementary pairing with the gold of the sky. Interestingly, Fra Filippo Lippi, Botticelli</w:t>
      </w:r>
      <w:r>
        <w:rPr>
          <w:rFonts w:ascii="Arial Rounded MT Bold" w:hAnsi="Arial Rounded MT Bold" w:hint="default"/>
          <w:sz w:val="36"/>
          <w:szCs w:val="36"/>
          <w:lang w:val="en-US"/>
        </w:rPr>
        <w:t>’</w:t>
      </w:r>
      <w:r>
        <w:rPr>
          <w:rFonts w:ascii="Arial Rounded MT Bold" w:hAnsi="Arial Rounded MT Bold"/>
          <w:sz w:val="36"/>
          <w:szCs w:val="36"/>
          <w:lang w:val="en-US"/>
        </w:rPr>
        <w:t>s former mentor also created a painting entitled Mystical Nativity. It was painted prior to Botticelli</w:t>
      </w:r>
      <w:r>
        <w:rPr>
          <w:rFonts w:ascii="Arial Rounded MT Bold" w:hAnsi="Arial Rounded MT Bold" w:hint="default"/>
          <w:sz w:val="36"/>
          <w:szCs w:val="36"/>
          <w:lang w:val="en-US"/>
        </w:rPr>
        <w:t>’</w:t>
      </w:r>
      <w:r>
        <w:rPr>
          <w:rFonts w:ascii="Arial Rounded MT Bold" w:hAnsi="Arial Rounded MT Bold"/>
          <w:sz w:val="36"/>
          <w:szCs w:val="36"/>
          <w:lang w:val="en-US"/>
        </w:rPr>
        <w:t>s apprenticeship, in approximately 1459. It can therefore be speculated that Botticelli may have seen the earlier work and heard about it from the artist. Thus, the influence of the mentor is evidenced by the subsequent painting of the student. Comparably, Lippi</w:t>
      </w:r>
      <w:r>
        <w:rPr>
          <w:rFonts w:ascii="Arial Rounded MT Bold" w:hAnsi="Arial Rounded MT Bold" w:hint="default"/>
          <w:sz w:val="36"/>
          <w:szCs w:val="36"/>
          <w:lang w:val="en-US"/>
        </w:rPr>
        <w:t>’</w:t>
      </w:r>
      <w:r>
        <w:rPr>
          <w:rFonts w:ascii="Arial Rounded MT Bold" w:hAnsi="Arial Rounded MT Bold"/>
          <w:sz w:val="36"/>
          <w:szCs w:val="36"/>
          <w:lang w:val="en-US"/>
        </w:rPr>
        <w:t>s version also features a Nativity scene, as indicated by the title. The consideration of these two identically-named paintings by two artists who knew one another, gives some indication of the prevalence of the Nativity scene in Italian Renaissance art. Indeed, artistic Nativity scenes, based on biblical narratives, have formed a major component of Christian art since the fourth century.</w:t>
      </w:r>
      <w:r>
        <w:rPr>
          <w:rFonts w:ascii="Arial Rounded MT Bold" w:cs="Arial Rounded MT Bold" w:eastAsia="Arial Rounded MT Bold" w:hAnsi="Arial Rounded MT Bold"/>
          <w:sz w:val="36"/>
          <w:szCs w:val="36"/>
          <w:vertAlign w:val="superscript"/>
        </w:rPr>
        <w:footnoteReference w:id="21"/>
      </w:r>
      <w:r>
        <w:rPr>
          <w:rFonts w:ascii="Arial Rounded MT Bold" w:hAnsi="Arial Rounded MT Bold"/>
          <w:sz w:val="36"/>
          <w:szCs w:val="36"/>
          <w:lang w:val="en-US"/>
        </w:rPr>
        <w:t xml:space="preserve"> Botticelli</w:t>
      </w:r>
      <w:r>
        <w:rPr>
          <w:rFonts w:ascii="Arial Rounded MT Bold" w:hAnsi="Arial Rounded MT Bold" w:hint="default"/>
          <w:sz w:val="36"/>
          <w:szCs w:val="36"/>
          <w:lang w:val="en-US"/>
        </w:rPr>
        <w:t>’</w:t>
      </w:r>
      <w:r>
        <w:rPr>
          <w:rFonts w:ascii="Arial Rounded MT Bold" w:hAnsi="Arial Rounded MT Bold"/>
          <w:sz w:val="36"/>
          <w:szCs w:val="36"/>
          <w:lang w:val="en-US"/>
        </w:rPr>
        <w:t>s 1500 version entitled</w:t>
      </w:r>
      <w:r>
        <w:rPr>
          <w:rFonts w:ascii="Arial Rounded MT Bold" w:hAnsi="Arial Rounded MT Bold"/>
          <w:sz w:val="36"/>
          <w:szCs w:val="36"/>
          <w:lang w:val="en-US"/>
        </w:rPr>
        <w:t xml:space="preserve"> </w:t>
      </w:r>
      <w:r>
        <w:rPr>
          <w:rFonts w:ascii="Arial Rounded MT Bold" w:hAnsi="Arial Rounded MT Bold"/>
          <w:sz w:val="36"/>
          <w:szCs w:val="36"/>
          <w:lang w:val="en-US"/>
        </w:rPr>
        <w:t>Mystical Nativity, is not generally considered typical. It is sometimes viewed as having an unusual iconography for a Nativity painting.</w:t>
      </w:r>
      <w:r>
        <w:rPr>
          <w:rFonts w:ascii="Arial Rounded MT Bold" w:cs="Arial Rounded MT Bold" w:eastAsia="Arial Rounded MT Bold" w:hAnsi="Arial Rounded MT Bold"/>
          <w:sz w:val="36"/>
          <w:szCs w:val="36"/>
          <w:vertAlign w:val="superscript"/>
        </w:rPr>
        <w:footnoteReference w:id="22"/>
      </w:r>
      <w:r>
        <w:rPr>
          <w:rFonts w:ascii="Arial Rounded MT Bold" w:hAnsi="Arial Rounded MT Bold"/>
          <w:sz w:val="36"/>
          <w:szCs w:val="36"/>
          <w:lang w:val="en-US"/>
        </w:rPr>
        <w:t xml:space="preserve"> De Borchgrave states that: </w:t>
      </w:r>
      <w:r>
        <w:rPr>
          <w:rFonts w:ascii="Arial Rounded MT Bold" w:hAnsi="Arial Rounded MT Bold" w:hint="default"/>
          <w:sz w:val="36"/>
          <w:szCs w:val="36"/>
          <w:lang w:val="en-US"/>
        </w:rPr>
        <w:t>“</w:t>
      </w:r>
      <w:r>
        <w:rPr>
          <w:rFonts w:ascii="Arial Rounded MT Bold" w:hAnsi="Arial Rounded MT Bold"/>
          <w:sz w:val="36"/>
          <w:szCs w:val="36"/>
          <w:lang w:val="en-US"/>
        </w:rPr>
        <w:t>Botticelli painted Mystic Nativity for his own private devotions</w:t>
      </w:r>
      <w:r>
        <w:rPr>
          <w:rFonts w:ascii="Arial Rounded MT Bold" w:hAnsi="Arial Rounded MT Bold" w:hint="default"/>
          <w:sz w:val="36"/>
          <w:szCs w:val="36"/>
          <w:lang w:val="en-US"/>
        </w:rPr>
        <w:t>”</w:t>
      </w:r>
      <w:r>
        <w:rPr>
          <w:rFonts w:ascii="Arial Rounded MT Bold" w:hAnsi="Arial Rounded MT Bold"/>
          <w:sz w:val="36"/>
          <w:szCs w:val="36"/>
          <w:lang w:val="en-US"/>
        </w:rPr>
        <w:t xml:space="preserve">, adding </w:t>
      </w:r>
      <w:r>
        <w:rPr>
          <w:rFonts w:ascii="Arial Rounded MT Bold" w:hAnsi="Arial Rounded MT Bold" w:hint="default"/>
          <w:sz w:val="36"/>
          <w:szCs w:val="36"/>
          <w:lang w:val="en-US"/>
        </w:rPr>
        <w:t>“</w:t>
      </w:r>
      <w:r>
        <w:rPr>
          <w:rFonts w:ascii="Arial Rounded MT Bold" w:hAnsi="Arial Rounded MT Bold"/>
          <w:sz w:val="36"/>
          <w:szCs w:val="36"/>
          <w:lang w:val="en-US"/>
        </w:rPr>
        <w:t>But this was no ordinary nativity scene, nor was it similar to his many religious paintings that graced Tuscan churches.</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23"/>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Mystical Nativity depicts both earthly and celestial joy. This can be examined by way of a top-down viewing approach. Such an approach seems fitting, due to the Greek inscription on silver at the very top having been previously considered. Immediately below the silver, Heaven itself is shown in the painting. The celestial realm is represented by a great golden dome. This is notable for a number of reasons. Besides the previously considered complementary pairing of silver and gold, the golden dome provides internal evidence of Botticelli</w:t>
      </w:r>
      <w:r>
        <w:rPr>
          <w:rFonts w:ascii="Arial Rounded MT Bold" w:hAnsi="Arial Rounded MT Bold" w:hint="default"/>
          <w:sz w:val="36"/>
          <w:szCs w:val="36"/>
          <w:lang w:val="en-US"/>
        </w:rPr>
        <w:t>’</w:t>
      </w:r>
      <w:r>
        <w:rPr>
          <w:rFonts w:ascii="Arial Rounded MT Bold" w:hAnsi="Arial Rounded MT Bold"/>
          <w:sz w:val="36"/>
          <w:szCs w:val="36"/>
          <w:lang w:val="en-US"/>
        </w:rPr>
        <w:t>s apprenticeship to a goldsmith. His effective use of the colour demonstrates his application of his earlier trade into his ultimate vocation as an artist. This is especially fitting if his nickname indeed derived from his goldsmith apprenticeship. Furthermore, Botticelli</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use of gold, as well as blue, in the sky, suggests that he might have painted partially from life, as both are colours observable, at times, during sunsets. Twelve angels dance in a circle in the sky. They appear to be celebrating. Angels are featured against both the blue and the gold backgrounds. Their presence indicates that the upper part of the painting, besides representing the sky, also features Heaven itself in the same location, made visible to observers, as Langmuir referred to. The angels are dressed in the colours associated with Faith, Hope and Charity. They seem to be representing these cardinal virtues, which adds an additional layer of symbolism. Furthermore, they carry olive branches. In biblical </w:t>
      </w:r>
      <w:r>
        <w:rPr>
          <w:rFonts w:ascii="Arial Rounded MT Bold" w:hAnsi="Arial Rounded MT Bold"/>
          <w:sz w:val="36"/>
          <w:szCs w:val="36"/>
          <w:lang w:val="en-US"/>
        </w:rPr>
        <w:t>symbology,</w:t>
      </w:r>
      <w:r>
        <w:rPr>
          <w:rFonts w:ascii="Arial Rounded MT Bold" w:hAnsi="Arial Rounded MT Bold"/>
          <w:sz w:val="36"/>
          <w:szCs w:val="36"/>
          <w:lang w:val="en-US"/>
        </w:rPr>
        <w:t xml:space="preserve"> the plant denotes peace. This adds to the sense of joy depicted. Angels feature at multiple levels in this painting. They perform a circular dance in the sky, cluster over a book on the stable roof, and appear to be embracing mortal men at ground level, at the very bottom of the painting. However, it is those featured in Heaven itself that seem the most appealing and eye-catching. This might be explained by the sheer number of them appearing together, in addition to the splendour of the depiction of Heaven drawing the eye.</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Benvenuto Tisi, who was nicknamed Il Garofalo lived from 1481 to 1559. Comparable with Sandro Botticelli, he was also a Renaissance Italian painter and fairly contemporary with him. His nickname of Il Garofalo might be traced to his habitual practice of signing some of his works with a picture of a carnation. In Italian, </w:t>
      </w:r>
      <w:r>
        <w:rPr>
          <w:rFonts w:ascii="Arial Rounded MT Bold" w:hAnsi="Arial Rounded MT Bold" w:hint="default"/>
          <w:sz w:val="36"/>
          <w:szCs w:val="36"/>
          <w:lang w:val="en-US"/>
        </w:rPr>
        <w:t>‘</w:t>
      </w:r>
      <w:r>
        <w:rPr>
          <w:rFonts w:ascii="Arial Rounded MT Bold" w:hAnsi="Arial Rounded MT Bold"/>
          <w:sz w:val="36"/>
          <w:szCs w:val="36"/>
          <w:lang w:val="en-US"/>
        </w:rPr>
        <w:t>carnation</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is </w:t>
      </w:r>
      <w:r>
        <w:rPr>
          <w:rFonts w:ascii="Arial Rounded MT Bold" w:hAnsi="Arial Rounded MT Bold" w:hint="default"/>
          <w:sz w:val="36"/>
          <w:szCs w:val="36"/>
          <w:lang w:val="en-US"/>
        </w:rPr>
        <w:t>‘</w:t>
      </w:r>
      <w:r>
        <w:rPr>
          <w:rFonts w:ascii="Arial Rounded MT Bold" w:hAnsi="Arial Rounded MT Bold"/>
          <w:sz w:val="36"/>
          <w:szCs w:val="36"/>
          <w:lang w:val="en-US"/>
        </w:rPr>
        <w:t>garofano</w:t>
      </w:r>
      <w:r>
        <w:rPr>
          <w:rFonts w:ascii="Arial Rounded MT Bold" w:hAnsi="Arial Rounded MT Bold" w:hint="default"/>
          <w:sz w:val="36"/>
          <w:szCs w:val="36"/>
          <w:lang w:val="en-US"/>
        </w:rPr>
        <w:t>’</w:t>
      </w:r>
      <w:r>
        <w:rPr>
          <w:rFonts w:ascii="Arial Rounded MT Bold" w:hAnsi="Arial Rounded MT Bold"/>
          <w:sz w:val="36"/>
          <w:szCs w:val="36"/>
          <w:lang w:val="en-US"/>
        </w:rPr>
        <w:t xml:space="preserve">. Hence the name Il Garofalo, which is (almost) Italian for </w:t>
      </w:r>
      <w:r>
        <w:rPr>
          <w:rFonts w:ascii="Arial Rounded MT Bold" w:hAnsi="Arial Rounded MT Bold" w:hint="default"/>
          <w:sz w:val="36"/>
          <w:szCs w:val="36"/>
          <w:lang w:val="en-US"/>
        </w:rPr>
        <w:t>‘</w:t>
      </w:r>
      <w:r>
        <w:rPr>
          <w:rFonts w:ascii="Arial Rounded MT Bold" w:hAnsi="Arial Rounded MT Bold"/>
          <w:sz w:val="36"/>
          <w:szCs w:val="36"/>
          <w:lang w:val="en-US"/>
        </w:rPr>
        <w:t>The Carnation</w:t>
      </w:r>
      <w:r>
        <w:rPr>
          <w:rFonts w:ascii="Arial Rounded MT Bold" w:hAnsi="Arial Rounded MT Bold" w:hint="default"/>
          <w:sz w:val="36"/>
          <w:szCs w:val="36"/>
          <w:lang w:val="en-US"/>
        </w:rPr>
        <w:t>’</w:t>
      </w:r>
      <w:r>
        <w:rPr>
          <w:rFonts w:ascii="Arial Rounded MT Bold" w:hAnsi="Arial Rounded MT Bold"/>
          <w:sz w:val="36"/>
          <w:szCs w:val="36"/>
          <w:lang w:val="en-US"/>
        </w:rPr>
        <w:t xml:space="preserve">. This essay will follow the example of the National Gallery, in referring to this artist as Garofalo. During visits to Venice and Rome, he came under the influence of the artist Raphael. This led ultimately to his gaining the reputation of being </w:t>
      </w:r>
      <w:r>
        <w:rPr>
          <w:rFonts w:ascii="Arial Rounded MT Bold" w:hAnsi="Arial Rounded MT Bold" w:hint="default"/>
          <w:sz w:val="36"/>
          <w:szCs w:val="36"/>
          <w:lang w:val="en-US"/>
        </w:rPr>
        <w:t>‘</w:t>
      </w:r>
      <w:r>
        <w:rPr>
          <w:rFonts w:ascii="Arial Rounded MT Bold" w:hAnsi="Arial Rounded MT Bold"/>
          <w:sz w:val="36"/>
          <w:szCs w:val="36"/>
          <w:lang w:val="en-US"/>
        </w:rPr>
        <w:t>The Ferrarese Raphael</w:t>
      </w:r>
      <w:r>
        <w:rPr>
          <w:rFonts w:ascii="Arial Rounded MT Bold" w:hAnsi="Arial Rounded MT Bold" w:hint="default"/>
          <w:sz w:val="36"/>
          <w:szCs w:val="36"/>
          <w:lang w:val="en-US"/>
        </w:rPr>
        <w:t xml:space="preserve">’ </w:t>
      </w:r>
      <w:r>
        <w:rPr>
          <w:rFonts w:ascii="Arial Rounded MT Bold" w:hAnsi="Arial Rounded MT Bold"/>
          <w:sz w:val="36"/>
          <w:szCs w:val="36"/>
          <w:lang w:val="en-US"/>
        </w:rPr>
        <w:t>among collectors.</w:t>
      </w:r>
      <w:r>
        <w:rPr>
          <w:rFonts w:ascii="Arial Rounded MT Bold" w:cs="Arial Rounded MT Bold" w:eastAsia="Arial Rounded MT Bold" w:hAnsi="Arial Rounded MT Bold"/>
          <w:sz w:val="36"/>
          <w:szCs w:val="36"/>
          <w:vertAlign w:val="superscript"/>
        </w:rPr>
        <w:footnoteReference w:id="24"/>
      </w:r>
      <w:r>
        <w:rPr>
          <w:rFonts w:ascii="Arial Rounded MT Bold" w:hAnsi="Arial Rounded MT Bold"/>
          <w:sz w:val="36"/>
          <w:szCs w:val="36"/>
          <w:lang w:val="en-US"/>
        </w:rPr>
        <w:t xml:space="preserve">  As the name indicates, he painted extensively in Ferrara, where he had settled, using both oil and fresco. Many of his works had a religious theme, causing him to become known for this type of painting. Tragically for an artist, he spent the last nine years of his life blind. Subsequent to becoming blind, Garofalo spent more time in monasteries; his Christian religion that had dominated his art remaining an important factor in his life. His death occurred in Ferrara, on either the 6th or the 16th of September 1559. Two children survived him.</w:t>
      </w:r>
      <w:r>
        <w:rPr>
          <w:rFonts w:ascii="Arial Rounded MT Bold" w:cs="Arial Rounded MT Bold" w:eastAsia="Arial Rounded MT Bold" w:hAnsi="Arial Rounded MT Bold"/>
          <w:sz w:val="36"/>
          <w:szCs w:val="36"/>
          <w:vertAlign w:val="superscript"/>
        </w:rPr>
        <w:footnoteReference w:id="25"/>
      </w:r>
      <w:r>
        <w:rPr>
          <w:rFonts w:ascii="Arial Rounded MT Bold" w:hAnsi="Arial Rounded MT Bold"/>
          <w:sz w:val="36"/>
          <w:szCs w:val="36"/>
          <w:lang w:val="en-US"/>
        </w:rPr>
        <w:t xml:space="preserve"> The National Gallery contains four of his paintings</w:t>
      </w:r>
      <w:r>
        <w:rPr>
          <w:rFonts w:ascii="Arial Rounded MT Bold" w:cs="Arial Rounded MT Bold" w:eastAsia="Arial Rounded MT Bold" w:hAnsi="Arial Rounded MT Bold"/>
          <w:sz w:val="36"/>
          <w:szCs w:val="36"/>
          <w:vertAlign w:val="superscript"/>
        </w:rPr>
        <w:footnoteReference w:id="26"/>
      </w:r>
      <w:r>
        <w:rPr>
          <w:rFonts w:ascii="Arial Rounded MT Bold" w:hAnsi="Arial Rounded MT Bold"/>
          <w:sz w:val="36"/>
          <w:szCs w:val="36"/>
          <w:lang w:val="en-US"/>
        </w:rPr>
        <w:t>, including Saint Augustine with the Holy Family and Saint Catherine of Alexandria (</w:t>
      </w:r>
      <w:r>
        <w:rPr>
          <w:rFonts w:ascii="Arial Rounded MT Bold" w:hAnsi="Arial Rounded MT Bold" w:hint="default"/>
          <w:sz w:val="36"/>
          <w:szCs w:val="36"/>
          <w:lang w:val="en-US"/>
        </w:rPr>
        <w:t>‘</w:t>
      </w:r>
      <w:r>
        <w:rPr>
          <w:rFonts w:ascii="Arial Rounded MT Bold" w:hAnsi="Arial Rounded MT Bold"/>
          <w:sz w:val="36"/>
          <w:szCs w:val="36"/>
          <w:lang w:val="en-US"/>
        </w:rPr>
        <w:t>The Vision of Saint Augustine</w:t>
      </w:r>
      <w:r>
        <w:rPr>
          <w:rFonts w:ascii="Arial Rounded MT Bold" w:hAnsi="Arial Rounded MT Bold" w:hint="default"/>
          <w:sz w:val="36"/>
          <w:szCs w:val="36"/>
          <w:lang w:val="en-US"/>
        </w:rPr>
        <w:t>’</w:t>
      </w:r>
      <w:r>
        <w:rPr>
          <w:rFonts w:ascii="Arial Rounded MT Bold" w:hAnsi="Arial Rounded MT Bold"/>
          <w:sz w:val="36"/>
          <w:szCs w:val="36"/>
          <w:lang w:val="en-US"/>
        </w:rPr>
        <w:t>) (1520).</w:t>
      </w:r>
      <w:r>
        <w:rPr>
          <w:rFonts w:ascii="Arial Rounded MT Bold" w:hAnsi="Arial Rounded MT Bold"/>
          <w:sz w:val="36"/>
          <w:szCs w:val="36"/>
          <w:lang w:val="en-US"/>
        </w:rPr>
        <w:t xml:space="preserve"> Langmuir</w:t>
      </w:r>
      <w:r>
        <w:rPr>
          <w:rFonts w:ascii="Arial Rounded MT Bold" w:hAnsi="Arial Rounded MT Bold" w:hint="default"/>
          <w:sz w:val="36"/>
          <w:szCs w:val="36"/>
          <w:lang w:val="en-US"/>
        </w:rPr>
        <w:t>’</w:t>
      </w:r>
      <w:r>
        <w:rPr>
          <w:rFonts w:ascii="Arial Rounded MT Bold" w:hAnsi="Arial Rounded MT Bold"/>
          <w:sz w:val="36"/>
          <w:szCs w:val="36"/>
          <w:lang w:val="en-US"/>
        </w:rPr>
        <w:t>s book displays this painting on the back cover, in both its complete form and three details from it. This choice of the painting, to partially represent the book, demonstrates a high opinion of it.</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Garofalo</w:t>
      </w:r>
      <w:r>
        <w:rPr>
          <w:rFonts w:ascii="Arial Rounded MT Bold" w:hAnsi="Arial Rounded MT Bold" w:hint="default"/>
          <w:sz w:val="36"/>
          <w:szCs w:val="36"/>
          <w:lang w:val="en-US"/>
        </w:rPr>
        <w:t>’</w:t>
      </w:r>
      <w:r>
        <w:rPr>
          <w:rFonts w:ascii="Arial Rounded MT Bold" w:hAnsi="Arial Rounded MT Bold"/>
          <w:sz w:val="36"/>
          <w:szCs w:val="36"/>
          <w:lang w:val="en-US"/>
        </w:rPr>
        <w:t>s choice of St. Augustine as the primary figure in his painting, is a fitting one for a religious work. Augustine was one of the founding fathers of the early Christian Church. His writings helped to codify many of the Church laws and customs. Fittingly, Langmuir</w:t>
      </w:r>
      <w:r>
        <w:rPr>
          <w:rFonts w:ascii="Arial Rounded MT Bold" w:hAnsi="Arial Rounded MT Bold" w:hint="default"/>
          <w:sz w:val="36"/>
          <w:szCs w:val="36"/>
          <w:lang w:val="en-US"/>
        </w:rPr>
        <w:t>’</w:t>
      </w:r>
      <w:r>
        <w:rPr>
          <w:rFonts w:ascii="Arial Rounded MT Bold" w:hAnsi="Arial Rounded MT Bold"/>
          <w:sz w:val="36"/>
          <w:szCs w:val="36"/>
          <w:lang w:val="en-US"/>
        </w:rPr>
        <w:t>s book pairs Garofalo</w:t>
      </w:r>
      <w:r>
        <w:rPr>
          <w:rFonts w:ascii="Arial Rounded MT Bold" w:hAnsi="Arial Rounded MT Bold" w:hint="default"/>
          <w:sz w:val="36"/>
          <w:szCs w:val="36"/>
          <w:lang w:val="en-US"/>
        </w:rPr>
        <w:t>’</w:t>
      </w:r>
      <w:r>
        <w:rPr>
          <w:rFonts w:ascii="Arial Rounded MT Bold" w:hAnsi="Arial Rounded MT Bold"/>
          <w:sz w:val="36"/>
          <w:szCs w:val="36"/>
          <w:lang w:val="en-US"/>
        </w:rPr>
        <w:t>s painting with an extract from Augustine</w:t>
      </w:r>
      <w:r>
        <w:rPr>
          <w:rFonts w:ascii="Arial Rounded MT Bold" w:hAnsi="Arial Rounded MT Bold" w:hint="default"/>
          <w:sz w:val="36"/>
          <w:szCs w:val="36"/>
          <w:lang w:val="en-US"/>
        </w:rPr>
        <w:t>’</w:t>
      </w:r>
      <w:r>
        <w:rPr>
          <w:rFonts w:ascii="Arial Rounded MT Bold" w:hAnsi="Arial Rounded MT Bold"/>
          <w:sz w:val="36"/>
          <w:szCs w:val="36"/>
          <w:lang w:val="en-US"/>
        </w:rPr>
        <w:t>s works; specifically from The Confessions of Saint Augustine. This extract takes the form of a prayer.  In the bottom right of the painting, Augustine sits at his desk with books, seemingly in the act of writing. (Perhaps the Confessions.) St. Catherine stands just behind him; seemingly shoulder to shoulder. She holds a long feather, that might be a quill pen. This accoutrement, in addition to her proximity to him as he writes indicates that she might be inspiring him. Thus, the task of the ancient pagan muses being performed by a saint, is emblematic of the Christianisation of the world. The gap is somewhat bridged by Catherine being a very early saint, and being from Ancient Egypt. This distinguishes her (Saint Catherine of Alexandria) from her more Medieval namesake, Saint Catherine of Sienna.  This other Saint Catherine is also featured in the paintings of Garofalo. It is unclear whether or not Augustine can see Catherine. He is not quite looking at her, and her own eyes are lowered or closed. He might be imagining her, or she might be inspiring him without him being aware of her. Whatever the case, she is implied to be at least partially responsible for the scene in the sky. This scene might be real, or it might be what Augustine imagines with Catherine</w:t>
      </w:r>
      <w:r>
        <w:rPr>
          <w:rFonts w:ascii="Arial Rounded MT Bold" w:hAnsi="Arial Rounded MT Bold" w:hint="default"/>
          <w:sz w:val="36"/>
          <w:szCs w:val="36"/>
          <w:lang w:val="en-US"/>
        </w:rPr>
        <w:t>’</w:t>
      </w:r>
      <w:r>
        <w:rPr>
          <w:rFonts w:ascii="Arial Rounded MT Bold" w:hAnsi="Arial Rounded MT Bold"/>
          <w:sz w:val="36"/>
          <w:szCs w:val="36"/>
          <w:lang w:val="en-US"/>
        </w:rPr>
        <w:t>s help. The painting</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subtitle of </w:t>
      </w:r>
      <w:r>
        <w:rPr>
          <w:rFonts w:ascii="Arial Rounded MT Bold" w:hAnsi="Arial Rounded MT Bold" w:hint="default"/>
          <w:sz w:val="36"/>
          <w:szCs w:val="36"/>
          <w:lang w:val="en-US"/>
        </w:rPr>
        <w:t>‘</w:t>
      </w:r>
      <w:r>
        <w:rPr>
          <w:rFonts w:ascii="Arial Rounded MT Bold" w:hAnsi="Arial Rounded MT Bold"/>
          <w:sz w:val="36"/>
          <w:szCs w:val="36"/>
          <w:lang w:val="en-US"/>
        </w:rPr>
        <w:t>The Vision of Saint Augustine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suggests the latter. Either way, through the magic of religious art, viewers of the painting are able to see it. </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As the main title suggests, the sky scene features the Holy Family. They appear in the top left corner. Mary and Joseph are depicted with halos, as they are considered saints. The Christ Child is a somewhat large baby, being held by his mother. He is depicted with a family resemblance to her, especially in his hair, which is an effective touch. Next to the family are a large crowd of angels. Some of them are depicted with musical instruments, a motif this painting has in common with the Reni painting. The motif will therefore be considered in the next section. It is worth noting that the Holy Family and the angels, being in the sky, are literally in the clouds, in the sense of appearing to be sitting on them (the two angels at the back apparently standing notwithstanding). This is interesting, as the clouds are therefore being depicted as a solid object, apparently capable of weight-bearing. This constitutes another motif that also features in the Reni painting.</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Guido Reni lived from 1575 to 1642. He was an Italian Renaissance painter from Bologna, who was also associated with the Baroque movement. Comparable with Sandro Botticelli, he painted a combination of religious and mythological subjects. The Coronation of the Virgin, the Reni painting studied in this essay, has been dated to approximately 1607. This year marked the beginning of Reni</w:t>
      </w:r>
      <w:r>
        <w:rPr>
          <w:rFonts w:ascii="Arial Rounded MT Bold" w:hAnsi="Arial Rounded MT Bold" w:hint="default"/>
          <w:sz w:val="36"/>
          <w:szCs w:val="36"/>
          <w:lang w:val="en-US"/>
        </w:rPr>
        <w:t>’</w:t>
      </w:r>
      <w:r>
        <w:rPr>
          <w:rFonts w:ascii="Arial Rounded MT Bold" w:hAnsi="Arial Rounded MT Bold"/>
          <w:sz w:val="36"/>
          <w:szCs w:val="36"/>
          <w:lang w:val="en-US"/>
        </w:rPr>
        <w:t>s patronage by the Borghese family, which dated from 1607 to 1614. They were the family of Pope Paul V, who presided as Head of the Catholic Church during this period. The exact dates of his tenure as Pope were 1605-1621. Fittingly, as one of the premier painters patronised by the Borghese family, Reni spent this time period living in Rome. Reni is sometimes considered to be the most famous Italian artist of his generation.</w:t>
      </w:r>
      <w:r>
        <w:rPr>
          <w:rFonts w:ascii="Arial Rounded MT Bold" w:cs="Arial Rounded MT Bold" w:eastAsia="Arial Rounded MT Bold" w:hAnsi="Arial Rounded MT Bold"/>
          <w:sz w:val="36"/>
          <w:szCs w:val="36"/>
          <w:vertAlign w:val="superscript"/>
        </w:rPr>
        <w:footnoteReference w:id="27"/>
      </w:r>
      <w:r>
        <w:rPr>
          <w:rFonts w:ascii="Arial Rounded MT Bold" w:hAnsi="Arial Rounded MT Bold"/>
          <w:sz w:val="36"/>
          <w:szCs w:val="36"/>
          <w:lang w:val="en-US"/>
        </w:rPr>
        <w:t xml:space="preserve"> It is therefore entirely fitting that the Parisian Louvre contains twenty of his paintings (the artist having been greatly appreciated in France, dating back to his own lifetime), while London</w:t>
      </w:r>
      <w:r>
        <w:rPr>
          <w:rFonts w:ascii="Arial Rounded MT Bold" w:hAnsi="Arial Rounded MT Bold" w:hint="default"/>
          <w:sz w:val="36"/>
          <w:szCs w:val="36"/>
          <w:lang w:val="en-US"/>
        </w:rPr>
        <w:t>’</w:t>
      </w:r>
      <w:r>
        <w:rPr>
          <w:rFonts w:ascii="Arial Rounded MT Bold" w:hAnsi="Arial Rounded MT Bold"/>
          <w:sz w:val="36"/>
          <w:szCs w:val="36"/>
          <w:lang w:val="en-US"/>
        </w:rPr>
        <w:t>s National Gallery has seven. Among these seven is the Coronation of the Virgin. Similarly to Botticelli</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Mystical Nativity, this painting is notably small. </w:t>
      </w:r>
      <w:r>
        <w:rPr>
          <w:rFonts w:ascii="Arial Rounded MT Bold" w:hAnsi="Arial Rounded MT Bold"/>
          <w:sz w:val="36"/>
          <w:szCs w:val="36"/>
          <w:lang w:val="en-US"/>
        </w:rPr>
        <w:t xml:space="preserve">Its dimensions are 66.6 cm height by 48.8 cm width. </w:t>
      </w:r>
      <w:r>
        <w:rPr>
          <w:rFonts w:ascii="Arial Rounded MT Bold" w:hAnsi="Arial Rounded MT Bold"/>
          <w:sz w:val="36"/>
          <w:szCs w:val="36"/>
          <w:lang w:val="en-US"/>
        </w:rPr>
        <w:t xml:space="preserve">Furthermore, it was painted </w:t>
      </w:r>
      <w:r>
        <w:rPr>
          <w:rFonts w:ascii="Arial Rounded MT Bold" w:hAnsi="Arial Rounded MT Bold"/>
          <w:sz w:val="36"/>
          <w:szCs w:val="36"/>
          <w:lang w:val="en-US"/>
        </w:rPr>
        <w:t xml:space="preserve">in oil </w:t>
      </w:r>
      <w:r>
        <w:rPr>
          <w:rFonts w:ascii="Arial Rounded MT Bold" w:hAnsi="Arial Rounded MT Bold"/>
          <w:sz w:val="36"/>
          <w:szCs w:val="36"/>
          <w:lang w:val="en-US"/>
        </w:rPr>
        <w:t xml:space="preserve">on copper. The copper base may have provided an underlying contribution to some of the colours used by the artist. </w:t>
      </w:r>
      <w:r>
        <w:rPr>
          <w:rFonts w:ascii="Arial Rounded MT Bold" w:hAnsi="Arial Rounded MT Bold"/>
          <w:sz w:val="36"/>
          <w:szCs w:val="36"/>
          <w:lang w:val="en-US"/>
        </w:rPr>
        <w:t>The National Gallery website notes that: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Reni began to paint on copper in the early 1590s and was considered especially successful at it - its smooth hard surface allowed the artist to paint in minutely fine detail.</w:t>
      </w:r>
      <w:r>
        <w:rPr>
          <w:rFonts w:ascii="Arial Rounded MT Bold" w:cs="Arial Rounded MT Bold" w:eastAsia="Arial Rounded MT Bold" w:hAnsi="Arial Rounded MT Bold"/>
          <w:sz w:val="36"/>
          <w:szCs w:val="36"/>
          <w:vertAlign w:val="superscript"/>
        </w:rPr>
        <w:footnoteReference w:id="28"/>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Approximately fifteen years of practice (by 1607) might account for the level of detail present in this painting, in addition to the level of skill applied to it. The National Gallery acquired the painting in 1847, when it was bequeathed to them by William Wells.</w:t>
      </w:r>
      <w:r>
        <w:rPr>
          <w:rFonts w:ascii="Arial Rounded MT Bold" w:cs="Arial Rounded MT Bold" w:eastAsia="Arial Rounded MT Bold" w:hAnsi="Arial Rounded MT Bold"/>
          <w:sz w:val="36"/>
          <w:szCs w:val="36"/>
          <w:vertAlign w:val="superscript"/>
        </w:rPr>
        <w:footnoteReference w:id="29"/>
      </w:r>
      <w:r>
        <w:rPr>
          <w:rFonts w:ascii="Arial Rounded MT Bold" w:hAnsi="Arial Rounded MT Bold"/>
          <w:sz w:val="36"/>
          <w:szCs w:val="36"/>
          <w:lang w:val="en-US"/>
        </w:rPr>
        <w:t xml:space="preserve"> Paintings of the Virgin Mary being crowned by angels were a recurring tradition in art history. The National Gallery contains older examples than Reni</w:t>
      </w:r>
      <w:r>
        <w:rPr>
          <w:rFonts w:ascii="Arial Rounded MT Bold" w:hAnsi="Arial Rounded MT Bold" w:hint="default"/>
          <w:sz w:val="36"/>
          <w:szCs w:val="36"/>
          <w:lang w:val="en-US"/>
        </w:rPr>
        <w:t>’</w:t>
      </w:r>
      <w:r>
        <w:rPr>
          <w:rFonts w:ascii="Arial Rounded MT Bold" w:hAnsi="Arial Rounded MT Bold"/>
          <w:sz w:val="36"/>
          <w:szCs w:val="36"/>
          <w:lang w:val="en-US"/>
        </w:rPr>
        <w:t>s 1607 version. It is quite possible that Reni saw some of these earlier works and was inspired by them, prior to painting the scene himself. He certainly would have known of the tradition.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It is sometimes speculated that the painting was likely produced prior to the artist leaving Bologna for Rome and beginning his patronage by the Borghese family. This would explain the estimated date.</w:t>
      </w:r>
      <w:r>
        <w:rPr>
          <w:rFonts w:ascii="Arial Rounded MT Bold" w:cs="Arial Rounded MT Bold" w:eastAsia="Arial Rounded MT Bold" w:hAnsi="Arial Rounded MT Bold"/>
          <w:sz w:val="36"/>
          <w:szCs w:val="36"/>
          <w:vertAlign w:val="superscript"/>
        </w:rPr>
        <w:footnoteReference w:id="30"/>
      </w:r>
      <w:r>
        <w:rPr>
          <w:rFonts w:ascii="Arial Rounded MT Bold" w:hAnsi="Arial Rounded MT Bold"/>
          <w:sz w:val="36"/>
          <w:szCs w:val="36"/>
          <w:lang w:val="en-US"/>
        </w:rPr>
        <w:t xml:space="preserve"> William Michael Rossetti claims in his encyclopaedia article that: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The most interesting of the seven (National Gallery Reni paintings) is the small </w:t>
      </w:r>
      <w:r>
        <w:rPr>
          <w:rFonts w:ascii="Arial Rounded MT Bold" w:hAnsi="Arial Rounded MT Bold" w:hint="default"/>
          <w:sz w:val="36"/>
          <w:szCs w:val="36"/>
          <w:lang w:val="en-US"/>
        </w:rPr>
        <w:t>“</w:t>
      </w:r>
      <w:r>
        <w:rPr>
          <w:rFonts w:ascii="Arial Rounded MT Bold" w:hAnsi="Arial Rounded MT Bold"/>
          <w:sz w:val="36"/>
          <w:szCs w:val="36"/>
          <w:lang w:val="en-US"/>
        </w:rPr>
        <w:t>Coronation of the Virgin</w:t>
      </w:r>
      <w:r>
        <w:rPr>
          <w:rFonts w:ascii="Arial Rounded MT Bold" w:hAnsi="Arial Rounded MT Bold" w:hint="default"/>
          <w:sz w:val="36"/>
          <w:szCs w:val="36"/>
          <w:lang w:val="en-US"/>
        </w:rPr>
        <w:t>”</w:t>
      </w:r>
      <w:r>
        <w:rPr>
          <w:rFonts w:ascii="Arial Rounded MT Bold" w:hAnsi="Arial Rounded MT Bold"/>
          <w:sz w:val="36"/>
          <w:szCs w:val="36"/>
          <w:lang w:val="en-US"/>
        </w:rPr>
        <w:t>, painted on copper, an elegantly finished work, more pretty than beautiful. It was probably painted before the master quitted Bologna for Rome.</w:t>
      </w:r>
      <w:r>
        <w:rPr>
          <w:rFonts w:ascii="Arial Rounded MT Bold" w:cs="Arial Rounded MT Bold" w:eastAsia="Arial Rounded MT Bold" w:hAnsi="Arial Rounded MT Bold"/>
          <w:sz w:val="36"/>
          <w:szCs w:val="36"/>
          <w:vertAlign w:val="superscript"/>
        </w:rPr>
        <w:footnoteReference w:id="31"/>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An additional author who provides background information on Guido Reni is Roy Bolton. He appears to be in general agreement with previously referenced critics. This suggests that there might be an established academic consensus on the topic of the artist. Bolton supplements his information with further details that arguably shed light on the artist</w:t>
      </w:r>
      <w:r>
        <w:rPr>
          <w:rFonts w:ascii="Arial Rounded MT Bold" w:hAnsi="Arial Rounded MT Bold" w:hint="default"/>
          <w:sz w:val="36"/>
          <w:szCs w:val="36"/>
          <w:lang w:val="en-US"/>
        </w:rPr>
        <w:t>’</w:t>
      </w:r>
      <w:r>
        <w:rPr>
          <w:rFonts w:ascii="Arial Rounded MT Bold" w:hAnsi="Arial Rounded MT Bold"/>
          <w:sz w:val="36"/>
          <w:szCs w:val="36"/>
          <w:lang w:val="en-US"/>
        </w:rPr>
        <w:t>s work. He states that:</w:t>
      </w: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Reni is one of the seventeenth-century</w:t>
      </w:r>
      <w:r>
        <w:rPr>
          <w:rFonts w:ascii="Arial Rounded MT Bold" w:hAnsi="Arial Rounded MT Bold" w:hint="default"/>
          <w:sz w:val="36"/>
          <w:szCs w:val="36"/>
          <w:lang w:val="en-US"/>
        </w:rPr>
        <w:t>’</w:t>
      </w:r>
      <w:r>
        <w:rPr>
          <w:rFonts w:ascii="Arial Rounded MT Bold" w:hAnsi="Arial Rounded MT Bold"/>
          <w:sz w:val="36"/>
          <w:szCs w:val="36"/>
          <w:lang w:val="en-US"/>
        </w:rPr>
        <w:t>s most influential painters. Until the nineteenth century, when the English critic John Ruskin trashed his reputation, Reni had been ranked next to Raphael. His huge studio cranked out thousands of copies of his paintings - not all were great ones, thus Ruskin</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rant against him. But Reni had a massive gambling habit he needed to pay for. We know more about him than about any artist of the time. He was prim, got embarrassed by obscenities, and venerated the cult of the Virgin Mary because he was a virgin himself. It is now thought he was also a repressed homosexual. He lived with his mother, but the art historian Count Malvasia wrote that he froze up </w:t>
      </w:r>
      <w:r>
        <w:rPr>
          <w:rFonts w:ascii="Arial Rounded MT Bold" w:hAnsi="Arial Rounded MT Bold" w:hint="default"/>
          <w:sz w:val="36"/>
          <w:szCs w:val="36"/>
          <w:lang w:val="en-US"/>
        </w:rPr>
        <w:t>‘</w:t>
      </w:r>
      <w:r>
        <w:rPr>
          <w:rFonts w:ascii="Arial Rounded MT Bold" w:hAnsi="Arial Rounded MT Bold"/>
          <w:sz w:val="36"/>
          <w:szCs w:val="36"/>
          <w:lang w:val="en-US"/>
        </w:rPr>
        <w:t>like marble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in front of any other woman.</w:t>
      </w:r>
      <w:r>
        <w:rPr>
          <w:rFonts w:ascii="Arial Rounded MT Bold" w:cs="Arial Rounded MT Bold" w:eastAsia="Arial Rounded MT Bold" w:hAnsi="Arial Rounded MT Bold"/>
          <w:sz w:val="36"/>
          <w:szCs w:val="36"/>
          <w:vertAlign w:val="superscript"/>
        </w:rPr>
        <w:footnoteReference w:id="32"/>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Bolton appears to confirm the pre-existing critical view regarding Reni</w:t>
      </w:r>
      <w:r>
        <w:rPr>
          <w:rFonts w:ascii="Arial Rounded MT Bold" w:hAnsi="Arial Rounded MT Bold" w:hint="default"/>
          <w:sz w:val="36"/>
          <w:szCs w:val="36"/>
          <w:lang w:val="en-US"/>
        </w:rPr>
        <w:t>’</w:t>
      </w:r>
      <w:r>
        <w:rPr>
          <w:rFonts w:ascii="Arial Rounded MT Bold" w:hAnsi="Arial Rounded MT Bold"/>
          <w:sz w:val="36"/>
          <w:szCs w:val="36"/>
          <w:lang w:val="en-US"/>
        </w:rPr>
        <w:t>s fame and influence. Having John Ruskin affect his posthumous reputation, was something Reni had in common with Botticelli. Reni</w:t>
      </w:r>
      <w:r>
        <w:rPr>
          <w:rFonts w:ascii="Arial Rounded MT Bold" w:hAnsi="Arial Rounded MT Bold" w:hint="default"/>
          <w:sz w:val="36"/>
          <w:szCs w:val="36"/>
          <w:lang w:val="en-US"/>
        </w:rPr>
        <w:t>’</w:t>
      </w:r>
      <w:r>
        <w:rPr>
          <w:rFonts w:ascii="Arial Rounded MT Bold" w:hAnsi="Arial Rounded MT Bold"/>
          <w:sz w:val="36"/>
          <w:szCs w:val="36"/>
          <w:lang w:val="en-US"/>
        </w:rPr>
        <w:t>s apparent intimacy issues may well have contributed to his veneration of the Virgin Mary. This veneration in itself may in turn be an underlying factor in the fact that Reni painted multiple representations of the Virgin Mary. One prominent example is The Coronation of the Virgin. Another likely factor is the fact that Virgin Mary paintings were very popular during this time period. Langmuir</w:t>
      </w:r>
      <w:r>
        <w:rPr>
          <w:rFonts w:ascii="Arial Rounded MT Bold" w:hAnsi="Arial Rounded MT Bold" w:hint="default"/>
          <w:sz w:val="36"/>
          <w:szCs w:val="36"/>
          <w:lang w:val="en-US"/>
        </w:rPr>
        <w:t>’</w:t>
      </w:r>
      <w:r>
        <w:rPr>
          <w:rFonts w:ascii="Arial Rounded MT Bold" w:hAnsi="Arial Rounded MT Bold"/>
          <w:sz w:val="36"/>
          <w:szCs w:val="36"/>
          <w:lang w:val="en-US"/>
        </w:rPr>
        <w:t>s book features an entire chapter showcasing them, entitled The Queen of Heaven. Such paintings differ from Nativities in that, rather than representing the birth of Jesus, they focus on His mother, typically bestowing glory and honour on her. She is often the only human character present, generally being depicted with angels, rather than with her family. Reni</w:t>
      </w:r>
      <w:r>
        <w:rPr>
          <w:rFonts w:ascii="Arial Rounded MT Bold" w:hAnsi="Arial Rounded MT Bold" w:hint="default"/>
          <w:sz w:val="36"/>
          <w:szCs w:val="36"/>
          <w:lang w:val="en-US"/>
        </w:rPr>
        <w:t>’</w:t>
      </w:r>
      <w:r>
        <w:rPr>
          <w:rFonts w:ascii="Arial Rounded MT Bold" w:hAnsi="Arial Rounded MT Bold"/>
          <w:sz w:val="36"/>
          <w:szCs w:val="36"/>
          <w:lang w:val="en-US"/>
        </w:rPr>
        <w:t>s 1607 painting follows this pattern. Mary is foregrounded in the centre of the painting, instantly drawing the eye. She wears a pink gown, while her wrap is the traditional blue associated with the character. Both colours represent her innocence. Her garments show the rippling effect often seen in paintings. Her headdress is reminiscent of a nun</w:t>
      </w:r>
      <w:r>
        <w:rPr>
          <w:rFonts w:ascii="Arial Rounded MT Bold" w:hAnsi="Arial Rounded MT Bold" w:hint="default"/>
          <w:sz w:val="36"/>
          <w:szCs w:val="36"/>
          <w:lang w:val="en-US"/>
        </w:rPr>
        <w:t>’</w:t>
      </w:r>
      <w:r>
        <w:rPr>
          <w:rFonts w:ascii="Arial Rounded MT Bold" w:hAnsi="Arial Rounded MT Bold"/>
          <w:sz w:val="36"/>
          <w:szCs w:val="36"/>
          <w:lang w:val="en-US"/>
        </w:rPr>
        <w:t>s habit. Given the artist</w:t>
      </w:r>
      <w:r>
        <w:rPr>
          <w:rFonts w:ascii="Arial Rounded MT Bold" w:hAnsi="Arial Rounded MT Bold" w:hint="default"/>
          <w:sz w:val="36"/>
          <w:szCs w:val="36"/>
          <w:lang w:val="en-US"/>
        </w:rPr>
        <w:t>’</w:t>
      </w:r>
      <w:r>
        <w:rPr>
          <w:rFonts w:ascii="Arial Rounded MT Bold" w:hAnsi="Arial Rounded MT Bold"/>
          <w:sz w:val="36"/>
          <w:szCs w:val="36"/>
          <w:lang w:val="en-US"/>
        </w:rPr>
        <w:t>s reverence for virgins and virginity, this is presumably deliberate. It might be speculated that the artist wished to additionally honour the nuns who emulate the Holy Mother</w:t>
      </w:r>
      <w:r>
        <w:rPr>
          <w:rFonts w:ascii="Arial Rounded MT Bold" w:hAnsi="Arial Rounded MT Bold" w:hint="default"/>
          <w:sz w:val="36"/>
          <w:szCs w:val="36"/>
          <w:lang w:val="en-US"/>
        </w:rPr>
        <w:t>’</w:t>
      </w:r>
      <w:r>
        <w:rPr>
          <w:rFonts w:ascii="Arial Rounded MT Bold" w:hAnsi="Arial Rounded MT Bold"/>
          <w:sz w:val="36"/>
          <w:szCs w:val="36"/>
          <w:lang w:val="en-US"/>
        </w:rPr>
        <w:t>s legendary virginity by maintaining their own.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 One word that instantly comes to mind with this painting is crowded. The painting is crammed almost completely with angels. They feature at all levels, in a manner vaguely reminiscent of the Botticelli painting. Angels are depicted both above and below Mary; the central figure. Additionally, two cherubs (or else putti) flank her on either side. They match the two hovering above her, and holding a crown directly over her head. They are presumably engaged in the crowning referred to in the painting</w:t>
      </w:r>
      <w:r>
        <w:rPr>
          <w:rFonts w:ascii="Arial Rounded MT Bold" w:hAnsi="Arial Rounded MT Bold" w:hint="default"/>
          <w:sz w:val="36"/>
          <w:szCs w:val="36"/>
          <w:lang w:val="en-US"/>
        </w:rPr>
        <w:t>’</w:t>
      </w:r>
      <w:r>
        <w:rPr>
          <w:rFonts w:ascii="Arial Rounded MT Bold" w:hAnsi="Arial Rounded MT Bold"/>
          <w:sz w:val="36"/>
          <w:szCs w:val="36"/>
          <w:lang w:val="en-US"/>
        </w:rPr>
        <w:t>s title. They may also represent Mary</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own son; the Holy Child himself. The sky, as representing Heaven and featured at the top of the painting, is a beautiful copper-gold colour. This was presumably </w:t>
      </w:r>
      <w:r>
        <w:rPr>
          <w:rFonts w:ascii="Arial Rounded MT Bold" w:hAnsi="Arial Rounded MT Bold"/>
          <w:sz w:val="36"/>
          <w:szCs w:val="36"/>
          <w:lang w:val="en-US"/>
        </w:rPr>
        <w:t xml:space="preserve">assisted </w:t>
      </w:r>
      <w:r>
        <w:rPr>
          <w:rFonts w:ascii="Arial Rounded MT Bold" w:hAnsi="Arial Rounded MT Bold"/>
          <w:sz w:val="36"/>
          <w:szCs w:val="36"/>
          <w:lang w:val="en-US"/>
        </w:rPr>
        <w:t>by the painting being on copper. It may also have been influenced by the colours of real sunsets, and possibly by Botticelli</w:t>
      </w:r>
      <w:r>
        <w:rPr>
          <w:rFonts w:ascii="Arial Rounded MT Bold" w:hAnsi="Arial Rounded MT Bold" w:hint="default"/>
          <w:sz w:val="36"/>
          <w:szCs w:val="36"/>
          <w:lang w:val="en-US"/>
        </w:rPr>
        <w:t>’</w:t>
      </w:r>
      <w:r>
        <w:rPr>
          <w:rFonts w:ascii="Arial Rounded MT Bold" w:hAnsi="Arial Rounded MT Bold"/>
          <w:sz w:val="36"/>
          <w:szCs w:val="36"/>
          <w:lang w:val="en-US"/>
        </w:rPr>
        <w:t>s golden dome, in his depiction of the same, a little over a century previously. The effect is very striking, especially with the eerie and barely visible children</w:t>
      </w:r>
      <w:r>
        <w:rPr>
          <w:rFonts w:ascii="Arial Rounded MT Bold" w:hAnsi="Arial Rounded MT Bold" w:hint="default"/>
          <w:sz w:val="36"/>
          <w:szCs w:val="36"/>
          <w:lang w:val="en-US"/>
        </w:rPr>
        <w:t>’</w:t>
      </w:r>
      <w:r>
        <w:rPr>
          <w:rFonts w:ascii="Arial Rounded MT Bold" w:hAnsi="Arial Rounded MT Bold"/>
          <w:sz w:val="36"/>
          <w:szCs w:val="36"/>
          <w:lang w:val="en-US"/>
        </w:rPr>
        <w:t>s faces, shown faintly against the copper at the very top.</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The upper corners feature two angels seemingly engaged in the process of holding back two clouds. This suggests that the Reni painting can be viewed as a continuation of sorts of the Garafalo, in the sense that they both feature clouds as corporeal objects; capable of bearing weight, or motion, or both.</w:t>
      </w:r>
      <w:r>
        <w:rPr>
          <w:rFonts w:ascii="Arial Rounded MT Bold" w:hAnsi="Arial Rounded MT Bold"/>
          <w:sz w:val="36"/>
          <w:szCs w:val="36"/>
          <w:lang w:val="en-US"/>
        </w:rPr>
        <w:t xml:space="preserve"> This </w:t>
      </w:r>
      <w:r>
        <w:rPr>
          <w:rFonts w:ascii="Arial Rounded MT Bold" w:hAnsi="Arial Rounded MT Bold"/>
          <w:sz w:val="36"/>
          <w:szCs w:val="36"/>
          <w:lang w:val="en-US"/>
        </w:rPr>
        <w:t xml:space="preserve">position and apparent motion of the clouds from above the scene is reminiscent of curtains being drawn back to reveal a theatrical performance. Indeed, the whole picture </w:t>
      </w:r>
      <w:r>
        <w:rPr>
          <w:rFonts w:ascii="Arial Rounded MT Bold" w:hAnsi="Arial Rounded MT Bold"/>
          <w:sz w:val="36"/>
          <w:szCs w:val="36"/>
          <w:lang w:val="en-US"/>
        </w:rPr>
        <w:t xml:space="preserve">has </w:t>
      </w:r>
      <w:r>
        <w:rPr>
          <w:rFonts w:ascii="Arial Rounded MT Bold" w:hAnsi="Arial Rounded MT Bold"/>
          <w:sz w:val="36"/>
          <w:szCs w:val="36"/>
          <w:lang w:val="en-US"/>
        </w:rPr>
        <w:t>something of a theatrical flavour to it. The scene depicts a coronation, after all. Such a ceremony has remained mostly unchanged since the Medieval period. It definitely has performative elements to it, resembling a play. Traditionally, a coronation also features an abundance of gold. Thus, another reason for the sky to be gold is added, in addition to sunset colours and the potential influence of Botticelli. Furthermore, the gold in the sky tones effectively with the golden crown. An additional theatrical element is that the angels are sufficient in number to form a chorus. Both types of chorus, in fact, both the dramatic and the musical.</w:t>
      </w:r>
      <w:r>
        <w:rPr>
          <w:rFonts w:ascii="Arial Rounded MT Bold" w:hAnsi="Arial Rounded MT Bold"/>
          <w:sz w:val="36"/>
          <w:szCs w:val="36"/>
          <w:lang w:val="en-US"/>
        </w:rPr>
        <w:t xml:space="preserve"> The popular image of angels playing musical instruments and especially the harp, might be connected to Italian Renaissance art, as this occurs there as a common sight. Additional origins to the idea include the fact that one of the traditional orders of angels were the heralds. This led to them being pictorially represented with trumpets and pipes to complement this role. Further instruments were gradually added over time. In this painting, instruments featured appear to include the cello, the harp, the violin, the lute and the pipe.</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In addition to the clouds at the top of the painting, clouds also feature at the bottom and up to the middle. The golden sky is between the upper and lower clouds.  The top clouds appear to be movable. The bottom clouds are weight-bearing. The middle clouds form a heavenly throne, upon which the Virgin sits, in anticipation of being crowned. Reni</w:t>
      </w:r>
      <w:r>
        <w:rPr>
          <w:rFonts w:ascii="Arial Rounded MT Bold" w:hAnsi="Arial Rounded MT Bold" w:hint="default"/>
          <w:sz w:val="36"/>
          <w:szCs w:val="36"/>
          <w:lang w:val="en-US"/>
        </w:rPr>
        <w:t>’</w:t>
      </w:r>
      <w:r>
        <w:rPr>
          <w:rFonts w:ascii="Arial Rounded MT Bold" w:hAnsi="Arial Rounded MT Bold"/>
          <w:sz w:val="36"/>
          <w:szCs w:val="36"/>
          <w:lang w:val="en-US"/>
        </w:rPr>
        <w:t>s lower clouds are comparable with Garofalo</w:t>
      </w:r>
      <w:r>
        <w:rPr>
          <w:rFonts w:ascii="Arial Rounded MT Bold" w:hAnsi="Arial Rounded MT Bold" w:hint="default"/>
          <w:sz w:val="36"/>
          <w:szCs w:val="36"/>
          <w:lang w:val="en-US"/>
        </w:rPr>
        <w:t>’</w:t>
      </w:r>
      <w:r>
        <w:rPr>
          <w:rFonts w:ascii="Arial Rounded MT Bold" w:hAnsi="Arial Rounded MT Bold"/>
          <w:sz w:val="36"/>
          <w:szCs w:val="36"/>
          <w:lang w:val="en-US"/>
        </w:rPr>
        <w:t>s, in that they bear the weight of a large number of figures, in this case a chorus of angels. The patches of blue at the very bottom, below the lower clouds confirm the location of Heaven as being in the sky. They also tone effectively with both the Virgin</w:t>
      </w:r>
      <w:r>
        <w:rPr>
          <w:rFonts w:ascii="Arial Rounded MT Bold" w:hAnsi="Arial Rounded MT Bold" w:hint="default"/>
          <w:sz w:val="36"/>
          <w:szCs w:val="36"/>
          <w:lang w:val="en-US"/>
        </w:rPr>
        <w:t>’</w:t>
      </w:r>
      <w:r>
        <w:rPr>
          <w:rFonts w:ascii="Arial Rounded MT Bold" w:hAnsi="Arial Rounded MT Bold"/>
          <w:sz w:val="36"/>
          <w:szCs w:val="36"/>
          <w:lang w:val="en-US"/>
        </w:rPr>
        <w:t>s wrap and the blue clothing worn by some of the angels.</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John Pope-Hennessy notes in his Paradiso book that the period</w:t>
      </w:r>
      <w:r>
        <w:rPr>
          <w:rFonts w:ascii="Arial Rounded MT Bold" w:hAnsi="Arial Rounded MT Bold" w:hint="default"/>
          <w:sz w:val="36"/>
          <w:szCs w:val="36"/>
          <w:lang w:val="en-US"/>
        </w:rPr>
        <w:t>’</w:t>
      </w:r>
      <w:r>
        <w:rPr>
          <w:rFonts w:ascii="Arial Rounded MT Bold" w:hAnsi="Arial Rounded MT Bold"/>
          <w:sz w:val="36"/>
          <w:szCs w:val="36"/>
          <w:lang w:val="en-US"/>
        </w:rPr>
        <w:t>s renewed appreciation for the natural world was evidenced in Renaissance paintings. This meant that even in religious art, such natural features of the landscape as clouds, animals and plants were painted in a more realistic manner than in earlier periods.</w:t>
      </w:r>
      <w:r>
        <w:rPr>
          <w:rFonts w:ascii="Arial Rounded MT Bold" w:cs="Arial Rounded MT Bold" w:eastAsia="Arial Rounded MT Bold" w:hAnsi="Arial Rounded MT Bold"/>
          <w:sz w:val="36"/>
          <w:szCs w:val="36"/>
          <w:vertAlign w:val="superscript"/>
        </w:rPr>
        <w:footnoteReference w:id="33"/>
      </w:r>
      <w:r>
        <w:rPr>
          <w:rFonts w:ascii="Arial Rounded MT Bold" w:hAnsi="Arial Rounded MT Bold"/>
          <w:sz w:val="36"/>
          <w:szCs w:val="36"/>
          <w:lang w:val="en-US"/>
        </w:rPr>
        <w:t xml:space="preserve"> This is interesting to apply to this painting, as well as to the Garofalo. The clouds and the straightforward sky, such as sunset colours, were the elements present in the painting that were both real and visible. They could, therefore, plausibly have been painted from life. However, the more mystical elements, such as the appearance of Heaven and the saints and angels were (presumably) invisible to the artist, and required imagination to be painted. Certainly they could have posed human models as the mystical figures, but it would still require imagination to see them as divine beings and subsequently to paint them as such. In his seminal 1972 book, Ways of Seeing, John Berger argues that the way people see art is affected by a range of factors, including worldview, opinions, beliefs and education. He defines </w:t>
      </w:r>
      <w:r>
        <w:rPr>
          <w:rFonts w:ascii="Arial Rounded MT Bold" w:hAnsi="Arial Rounded MT Bold" w:hint="default"/>
          <w:sz w:val="36"/>
          <w:szCs w:val="36"/>
          <w:lang w:val="en-US"/>
        </w:rPr>
        <w:t>‘</w:t>
      </w:r>
      <w:r>
        <w:rPr>
          <w:rFonts w:ascii="Arial Rounded MT Bold" w:hAnsi="Arial Rounded MT Bold"/>
          <w:sz w:val="36"/>
          <w:szCs w:val="36"/>
          <w:lang w:val="en-US"/>
        </w:rPr>
        <w:t>image</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as: </w:t>
      </w:r>
      <w:r>
        <w:rPr>
          <w:rFonts w:ascii="Arial Rounded MT Bold" w:hAnsi="Arial Rounded MT Bold" w:hint="default"/>
          <w:sz w:val="36"/>
          <w:szCs w:val="36"/>
          <w:lang w:val="en-US"/>
        </w:rPr>
        <w:t>“</w:t>
      </w:r>
      <w:r>
        <w:rPr>
          <w:rFonts w:ascii="Arial Rounded MT Bold" w:hAnsi="Arial Rounded MT Bold"/>
          <w:sz w:val="36"/>
          <w:szCs w:val="36"/>
          <w:lang w:val="en-US"/>
        </w:rPr>
        <w:t>a sight which has been recreated or reproduced</w:t>
      </w:r>
      <w:r>
        <w:rPr>
          <w:rFonts w:ascii="Arial Rounded MT Bold" w:hAnsi="Arial Rounded MT Bold" w:hint="default"/>
          <w:sz w:val="36"/>
          <w:szCs w:val="36"/>
          <w:lang w:val="en-US"/>
        </w:rPr>
        <w:t>”</w:t>
      </w:r>
      <w:r>
        <w:rPr>
          <w:rFonts w:ascii="Arial Rounded MT Bold" w:hAnsi="Arial Rounded MT Bold"/>
          <w:sz w:val="36"/>
          <w:szCs w:val="36"/>
          <w:lang w:val="en-US"/>
        </w:rPr>
        <w:t xml:space="preserve">, adding that: </w:t>
      </w:r>
      <w:r>
        <w:rPr>
          <w:rFonts w:ascii="Arial Rounded MT Bold" w:hAnsi="Arial Rounded MT Bold" w:hint="default"/>
          <w:sz w:val="36"/>
          <w:szCs w:val="36"/>
          <w:lang w:val="en-US"/>
        </w:rPr>
        <w:t>“</w:t>
      </w:r>
      <w:r>
        <w:rPr>
          <w:rFonts w:ascii="Arial Rounded MT Bold" w:hAnsi="Arial Rounded MT Bold"/>
          <w:sz w:val="36"/>
          <w:szCs w:val="36"/>
          <w:lang w:val="en-US"/>
        </w:rPr>
        <w:t>Every image embodies a way of seeing.</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Perhaps most relevant to this essay, is his assertion that: </w:t>
      </w:r>
      <w:r>
        <w:rPr>
          <w:rFonts w:ascii="Arial Rounded MT Bold" w:hAnsi="Arial Rounded MT Bold" w:hint="default"/>
          <w:sz w:val="36"/>
          <w:szCs w:val="36"/>
          <w:lang w:val="en-US"/>
        </w:rPr>
        <w:t>“</w:t>
      </w:r>
      <w:r>
        <w:rPr>
          <w:rFonts w:ascii="Arial Rounded MT Bold" w:hAnsi="Arial Rounded MT Bold"/>
          <w:sz w:val="36"/>
          <w:szCs w:val="36"/>
          <w:lang w:val="en-US"/>
        </w:rPr>
        <w:t>Images were first made to conjure up the appearances of something that was absent.</w:t>
      </w:r>
      <w:r>
        <w:rPr>
          <w:rFonts w:ascii="Arial Rounded MT Bold" w:hAnsi="Arial Rounded MT Bold" w:hint="default"/>
          <w:sz w:val="36"/>
          <w:szCs w:val="36"/>
          <w:lang w:val="en-US"/>
        </w:rPr>
        <w:t>”</w:t>
      </w:r>
      <w:r>
        <w:rPr>
          <w:rFonts w:ascii="Arial Rounded MT Bold" w:cs="Arial Rounded MT Bold" w:eastAsia="Arial Rounded MT Bold" w:hAnsi="Arial Rounded MT Bold"/>
          <w:sz w:val="36"/>
          <w:szCs w:val="36"/>
          <w:vertAlign w:val="superscript"/>
        </w:rPr>
        <w:footnoteReference w:id="34"/>
      </w:r>
      <w:r>
        <w:rPr>
          <w:rFonts w:ascii="Arial Rounded MT Bold" w:hAnsi="Arial Rounded MT Bold"/>
          <w:sz w:val="36"/>
          <w:szCs w:val="36"/>
          <w:lang w:val="en-US"/>
        </w:rPr>
        <w:t xml:space="preserve"> To apply Berger</w:t>
      </w:r>
      <w:r>
        <w:rPr>
          <w:rFonts w:ascii="Arial Rounded MT Bold" w:hAnsi="Arial Rounded MT Bold" w:hint="default"/>
          <w:sz w:val="36"/>
          <w:szCs w:val="36"/>
          <w:lang w:val="en-US"/>
        </w:rPr>
        <w:t>’</w:t>
      </w:r>
      <w:r>
        <w:rPr>
          <w:rFonts w:ascii="Arial Rounded MT Bold" w:hAnsi="Arial Rounded MT Bold"/>
          <w:sz w:val="36"/>
          <w:szCs w:val="36"/>
          <w:lang w:val="en-US"/>
        </w:rPr>
        <w:t xml:space="preserve">s views to the paintings under investigation, the interpretation is that the Renaissance artists were painting the Heavens as they believed them to be, even though they could not truly be seen, save in the </w:t>
      </w:r>
      <w:r>
        <w:rPr>
          <w:rFonts w:ascii="Arial Rounded MT Bold" w:hAnsi="Arial Rounded MT Bold" w:hint="default"/>
          <w:sz w:val="36"/>
          <w:szCs w:val="36"/>
          <w:lang w:val="en-US"/>
        </w:rPr>
        <w:t>‘</w:t>
      </w:r>
      <w:r>
        <w:rPr>
          <w:rFonts w:ascii="Arial Rounded MT Bold" w:hAnsi="Arial Rounded MT Bold"/>
          <w:sz w:val="36"/>
          <w:szCs w:val="36"/>
          <w:lang w:val="en-US"/>
        </w:rPr>
        <w:t>mind</w:t>
      </w:r>
      <w:r>
        <w:rPr>
          <w:rFonts w:ascii="Arial Rounded MT Bold" w:hAnsi="Arial Rounded MT Bold" w:hint="default"/>
          <w:sz w:val="36"/>
          <w:szCs w:val="36"/>
          <w:lang w:val="en-US"/>
        </w:rPr>
        <w:t>’</w:t>
      </w:r>
      <w:r>
        <w:rPr>
          <w:rFonts w:ascii="Arial Rounded MT Bold" w:hAnsi="Arial Rounded MT Bold"/>
          <w:sz w:val="36"/>
          <w:szCs w:val="36"/>
          <w:lang w:val="en-US"/>
        </w:rPr>
        <w:t>s eye</w:t>
      </w:r>
      <w:r>
        <w:rPr>
          <w:rFonts w:ascii="Arial Rounded MT Bold" w:hAnsi="Arial Rounded MT Bold" w:hint="default"/>
          <w:sz w:val="36"/>
          <w:szCs w:val="36"/>
          <w:lang w:val="en-US"/>
        </w:rPr>
        <w:t>’</w:t>
      </w:r>
      <w:r>
        <w:rPr>
          <w:rFonts w:ascii="Arial Rounded MT Bold" w:hAnsi="Arial Rounded MT Bold"/>
          <w:sz w:val="36"/>
          <w:szCs w:val="36"/>
          <w:lang w:val="en-US"/>
        </w:rPr>
        <w:t>, as Shakespeare phrased it. There was thus a gap between the imagination and the eye, which artists sought to fill with their own interpretation.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In conclusion, Botticelli, Garofalo and Reni are all worthy representatives of Italian Renaissance art. They all painted the sky and featured Heaven within it. The sky as Heaven constituted part of the painting for the first two artists and the entire picture for the third. Their contemporary viewers would have been able to share in the artists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 xml:space="preserve">vision, allowing them to visualise Heaven and connect it to the sky, as the artists had placed it there. This might have assisted their religious devotions; a benefit also gained by the artists, at least in some cases. </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For modern viewers, the benefits are perhaps more historical. In all three cases, there is evidence of the artist</w:t>
      </w:r>
      <w:r>
        <w:rPr>
          <w:rFonts w:ascii="Arial Rounded MT Bold" w:hAnsi="Arial Rounded MT Bold" w:hint="default"/>
          <w:sz w:val="36"/>
          <w:szCs w:val="36"/>
          <w:lang w:val="en-US"/>
        </w:rPr>
        <w:t>’</w:t>
      </w:r>
      <w:r>
        <w:rPr>
          <w:rFonts w:ascii="Arial Rounded MT Bold" w:hAnsi="Arial Rounded MT Bold"/>
          <w:sz w:val="36"/>
          <w:szCs w:val="36"/>
          <w:lang w:val="en-US"/>
        </w:rPr>
        <w:t>s Christian beliefs. The painting adds to this evidence; allowing the viewer a glimpse into the artist</w:t>
      </w:r>
      <w:r>
        <w:rPr>
          <w:rFonts w:ascii="Arial Rounded MT Bold" w:hAnsi="Arial Rounded MT Bold" w:hint="default"/>
          <w:sz w:val="36"/>
          <w:szCs w:val="36"/>
          <w:lang w:val="en-US"/>
        </w:rPr>
        <w:t>’</w:t>
      </w:r>
      <w:r>
        <w:rPr>
          <w:rFonts w:ascii="Arial Rounded MT Bold" w:hAnsi="Arial Rounded MT Bold"/>
          <w:sz w:val="36"/>
          <w:szCs w:val="36"/>
          <w:lang w:val="en-US"/>
        </w:rPr>
        <w:t>s imagination; his very view of Heaven. Furthermore, the artist reveals not only his own mind, but his contribution to the cultural zeitgeist. The paintings can be used as evidence of Renaissance Christian belief. It can be ascertained from elements the paintings have in common. Besides Heaven being located in the sky, there is the fact that the Holy Family and saints and angels were all evidently treated with reverence, due to being placed there. Furthermore, Heaven was likely to be coloured both blue and gold. The blue represented the sky, and the gold the splendour of Heaven, as well as the sunset. This brings the conclusion to its final point. One factor that has remained mostly unchanged between the past and the present is the great aesthetic appeal of the paintings in question. Whether a viewer lives in the Renaissance or in the contemporary world, they can all appreciate and admire the great beauty of the artworks. Aesthetic appreciation can bring the paintings</w:t>
      </w:r>
      <w:r>
        <w:rPr>
          <w:rFonts w:ascii="Arial Rounded MT Bold" w:hAnsi="Arial Rounded MT Bold" w:hint="default"/>
          <w:sz w:val="36"/>
          <w:szCs w:val="36"/>
          <w:lang w:val="en-US"/>
        </w:rPr>
        <w:t xml:space="preserve">’ </w:t>
      </w:r>
      <w:r>
        <w:rPr>
          <w:rFonts w:ascii="Arial Rounded MT Bold" w:hAnsi="Arial Rounded MT Bold"/>
          <w:sz w:val="36"/>
          <w:szCs w:val="36"/>
          <w:lang w:val="en-US"/>
        </w:rPr>
        <w:t>audiences together across time. This constitutes another sense of the concept of eternity, such as that being captured in the pictures. The fact that the paintings have survived denotes that they have successfully encapsulated eternity.</w:t>
      </w: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 </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jc w:val="center"/>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Bibliography </w:t>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Adams, L. S., Italian Renaissance Art Second Edition (Routledge, 2018,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Alexander, J. J., Italian Renaissance Illuminations (Chatto &amp; Windus, 1977)</w:t>
      </w:r>
    </w:p>
    <w:p>
      <w:pPr>
        <w:pStyle w:val="style4099"/>
        <w:jc w:val="center"/>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Alston, I., Botticelli (TAJ Books, 2014,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Bauer, S. W., The History of the Renaissance World (W. W. Norton &amp; Company,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Berger, J., Ways of Seeing (Penguin Books 1972,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Binns , H. B., Botticelli (1907,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Bolton, R., A Brief History of Painting (Robinson, 2004)</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Burckhardt, J., The Civilisation of the Renaissance in Italy (SMK Books, 2012,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Burke, P., The Italian Renaissance: Culture and Society in Italy Third Edition (Polity Press, 2014,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Celenza, X. S., The Intellectual World of the Italian Renaissance (Cambridge: Cambridge University Press, 2018,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Charles, V., Renaissance Art (Parkstone Press,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Debenedetti, A., Botticelli: Artist and Designer (Reaktion Books Ltd, 2021, ebook)</w:t>
      </w:r>
    </w:p>
    <w:p>
      <w:pPr>
        <w:pStyle w:val="style4099"/>
        <w:jc w:val="right"/>
        <w:rPr>
          <w:rFonts w:ascii="Arial Rounded MT Bold" w:cs="Arial Rounded MT Bold" w:eastAsia="Arial Rounded MT Bold" w:hAnsi="Arial Rounded MT Bold"/>
          <w:sz w:val="36"/>
          <w:szCs w:val="36"/>
        </w:rPr>
      </w:pPr>
      <w:r>
        <w:rPr>
          <w:rFonts w:ascii="Arial Rounded MT Bold" w:hAnsi="Arial Rounded MT Bold"/>
          <w:sz w:val="36"/>
          <w:szCs w:val="36"/>
          <w:lang w:val="en-US"/>
        </w:rPr>
        <w:t xml:space="preserve">                               </w:t>
      </w:r>
    </w:p>
    <w:p>
      <w:pPr>
        <w:pStyle w:val="style4099"/>
        <w:jc w:val="right"/>
        <w:rPr>
          <w:rFonts w:ascii="Arial Rounded MT Bold" w:cs="Arial Rounded MT Bold" w:eastAsia="Arial Rounded MT Bold" w:hAnsi="Arial Rounded MT Bold"/>
          <w:sz w:val="36"/>
          <w:szCs w:val="36"/>
        </w:rPr>
      </w:pPr>
      <w:r>
        <w:rPr>
          <w:rFonts w:ascii="Arial Rounded MT Bold" w:hAnsi="Arial Rounded MT Bold"/>
          <w:sz w:val="36"/>
          <w:szCs w:val="36"/>
          <w:lang w:val="en-US"/>
        </w:rPr>
        <w:t>- Botticelli: Past and Present (UCL Press,            2019,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Coenn, D., Guido Reni: Paintings (2013,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Cust, R. H. H., Botticelli: A Portrait of the Artist (Sharpe Books, 2020,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de Borchgrave, H., A Journey into Christian Art (Lion, 1999)</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Gebhart, E., and V. Charles, Botticelli (Parkstone Press,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Greenblatt, S., The Swerve: How the Renaissance Began (2012,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Hagen, R., 15th Century Paintings (Taschen, 2001)</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Hollingsworth, M., Patronage in Renaissance Italy (Lyme Books, 2020,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Johnson, P., The Renaissance (Phoenix,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Joost-Gaugier, C. L. Italian Renaissance Art: Understanding Its Meaning (Wiley, 2013, Kindle Edition)</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Masters of Art: Sandro Botticelli (Delphi Classics, 2015,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Peitcheva, M., Guido Reni., (2016,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Pope-Hennessy, J., Paradiso (Thames and Hudson, 1993)</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Tsaneva, M., Guido Reni., (2014,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Vasari, J., Vasari</w:t>
      </w:r>
      <w:r>
        <w:rPr>
          <w:rFonts w:ascii="Arial Rounded MT Bold" w:hAnsi="Arial Rounded MT Bold" w:hint="default"/>
          <w:sz w:val="36"/>
          <w:szCs w:val="36"/>
          <w:lang w:val="en-US"/>
        </w:rPr>
        <w:t>’</w:t>
      </w:r>
      <w:r>
        <w:rPr>
          <w:rFonts w:ascii="Arial Rounded MT Bold" w:hAnsi="Arial Rounded MT Bold"/>
          <w:sz w:val="36"/>
          <w:szCs w:val="36"/>
          <w:lang w:val="en-US"/>
        </w:rPr>
        <w:t>s Lives of the Artists (1967 translation, ebook)</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r>
        <w:rPr>
          <w:rFonts w:ascii="Arial Rounded MT Bold" w:hAnsi="Arial Rounded MT Bold"/>
          <w:sz w:val="36"/>
          <w:szCs w:val="36"/>
          <w:lang w:val="en-US"/>
        </w:rPr>
        <w:t>West, S., A Guide to Art (Bloomsbury, 1996)</w:t>
      </w: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rFonts w:ascii="Arial Rounded MT Bold" w:cs="Arial Rounded MT Bold" w:eastAsia="Arial Rounded MT Bold" w:hAnsi="Arial Rounded MT Bold"/>
          <w:sz w:val="36"/>
          <w:szCs w:val="36"/>
        </w:rPr>
      </w:pPr>
    </w:p>
    <w:p>
      <w:pPr>
        <w:pStyle w:val="style4099"/>
        <w:rPr/>
      </w:pPr>
    </w:p>
    <w:sectPr>
      <w:headerReference w:type="default" r:id="rId3"/>
      <w:footerReference w:type="default" r:id="rId4"/>
      <w:pgSz w:w="11900" w:h="16840" w:orient="portrait"/>
      <w:pgMar w:top="1134" w:right="1134" w:bottom="1701" w:left="850" w:header="709" w:footer="850" w:gutter="0"/>
      <w:bidi w:val="fals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ahoma">
    <w:altName w:val="Times New Roman"/>
    <w:panose1 w:val="02020603050005020304"/>
    <w:charset w:val="00"/>
    <w:family w:val="roman"/>
    <w:pitch w:val="variable"/>
    <w:sig w:usb0="20007A87" w:usb1="80000000" w:usb2="00000008" w:usb3="00000000" w:csb0="000001FF" w:csb1="00000000"/>
  </w:font>
  <w:font w:name="Georgia">
    <w:altName w:val="Times New Roman"/>
    <w:panose1 w:val="02020603050005020304"/>
    <w:charset w:val="00"/>
    <w:family w:val="roman"/>
    <w:pitch w:val="variable"/>
    <w:sig w:usb0="20007A87" w:usb1="80000000" w:usb2="00000008" w:usb3="00000000" w:csb0="000001FF" w:csb1="00000000"/>
  </w:font>
  <w:font w:name="Arial">
    <w:altName w:val="Arial"/>
    <w:panose1 w:val="020b0604020002020204"/>
    <w:charset w:val="01"/>
    <w:family w:val="swiss"/>
    <w:pitch w:val="default"/>
    <w:sig w:usb0="00007A87" w:usb1="80000000" w:usb2="00000008" w:usb3="00000000" w:csb0="400001FF" w:csb1="FFFF0000"/>
  </w:font>
  <w:font w:name="Trebuchet MS">
    <w:altName w:val="Times New Roman"/>
    <w:panose1 w:val="02020603050005020304"/>
    <w:charset w:val="00"/>
    <w:family w:val="roman"/>
    <w:pitch w:val="variable"/>
    <w:sig w:usb0="20007A87" w:usb1="80000000" w:usb2="00000008" w:usb3="00000000" w:csb0="000001FF" w:csb1="00000000"/>
  </w:font>
  <w:font w:name="Calibri">
    <w:altName w:val="Calibri"/>
    <w:panose1 w:val="020f0502020004030204"/>
    <w:charset w:val="7a"/>
    <w:family w:val="swiss"/>
    <w:pitch w:val="default"/>
    <w:sig w:usb0="E10002FF" w:usb1="4000ACFF" w:usb2="00000009" w:usb3="00000000" w:csb0="2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8"/>
      <w:tabs>
        <w:tab w:val="clear" w:pos="9020"/>
      </w:tabs>
      <w:rPr/>
    </w:pPr>
    <w:r>
      <w:rPr>
        <w:lang w:val="en-US"/>
      </w:rPr>
      <w:t xml:space="preserve">Page </w:t>
    </w:r>
    <w:r>
      <w:rPr/>
      <w:fldChar w:fldCharType="begin"/>
    </w:r>
    <w:r>
      <w:instrText xml:space="preserve"> PAGE </w:instrText>
    </w:r>
    <w:r>
      <w:rPr/>
      <w:fldChar w:fldCharType="separate"/>
    </w:r>
    <w:r>
      <w:rPr/>
      <w:fldChar w:fldCharType="end"/>
    </w:r>
    <w:r>
      <w:rPr>
        <w:lang w:val="en-US"/>
      </w:rPr>
      <w:t xml:space="preserve"> of </w:t>
    </w:r>
    <w:r>
      <w:rPr/>
      <w:fldChar w:fldCharType="begin"/>
    </w:r>
    <w:r>
      <w:instrText xml:space="preserve"> NUMPAGES </w:instrText>
    </w:r>
    <w:r>
      <w:rPr/>
      <w:fldChar w:fldCharType="separate"/>
    </w:r>
    <w:r>
      <w:rPr/>
      <w:fldChar w:fldCharType="end"/>
    </w:r>
  </w:p>
</w:ftr>
</file>

<file path=word/footnotes.xml><?xml version="1.0" encoding="utf-8"?>
<w:footnotes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footnote w:id="1">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Langmuir, E., Heaven in Art: National Gallery, p. 7, (M.Q. Publications Ltd, 1998)</w:t>
      </w:r>
    </w:p>
  </w:footnote>
  <w:footnote w:id="2">
    <w:p>
      <w:pPr>
        <w:pStyle w:val="style4100"/>
        <w:rPr/>
      </w:pPr>
      <w:r>
        <w:rPr>
          <w:vertAlign w:val="superscript"/>
        </w:rPr>
        <w:footnoteRef/>
      </w:r>
      <w:r>
        <w:rPr>
          <w:rFonts w:cs="Arial Unicode MS" w:eastAsia="Arial Unicode MS"/>
        </w:rPr>
        <w:t xml:space="preserve"> </w:t>
      </w:r>
      <w:r>
        <w:rPr>
          <w:rFonts w:cs="Arial Unicode MS" w:eastAsia="Arial Unicode MS"/>
          <w:lang w:val="en-US"/>
        </w:rPr>
        <w:t>Greenblatt, S., The Swerve: How the Renaissance Began (Vintage, 2012, Kindle Edition)</w:t>
      </w:r>
    </w:p>
  </w:footnote>
  <w:footnote w:id="3">
    <w:p>
      <w:pPr>
        <w:pStyle w:val="style4100"/>
        <w:rPr/>
      </w:pPr>
      <w:r>
        <w:rPr>
          <w:vertAlign w:val="superscript"/>
        </w:rPr>
        <w:footnoteRef/>
      </w:r>
      <w:r>
        <w:rPr>
          <w:rFonts w:cs="Arial Unicode MS" w:eastAsia="Arial Unicode MS"/>
        </w:rPr>
        <w:t xml:space="preserve"> </w:t>
      </w:r>
      <w:r>
        <w:rPr>
          <w:rFonts w:cs="Arial Unicode MS" w:eastAsia="Arial Unicode MS"/>
          <w:lang w:val="en-US"/>
        </w:rPr>
        <w:t>Hagen, R., 15th Century Paintings, p.160 (Taschen, 2001)</w:t>
      </w:r>
    </w:p>
  </w:footnote>
  <w:footnote w:id="4">
    <w:p>
      <w:pPr>
        <w:pStyle w:val="style4100"/>
        <w:rPr/>
      </w:pPr>
      <w:r>
        <w:rPr>
          <w:vertAlign w:val="superscript"/>
        </w:rPr>
        <w:footnoteRef/>
      </w:r>
      <w:r>
        <w:rPr>
          <w:rFonts w:cs="Arial Unicode MS" w:eastAsia="Arial Unicode MS"/>
        </w:rPr>
        <w:t xml:space="preserve"> </w:t>
      </w:r>
      <w:r>
        <w:rPr>
          <w:rFonts w:cs="Arial Unicode MS" w:eastAsia="Arial Unicode MS"/>
          <w:lang w:val="en-US"/>
        </w:rPr>
        <w:t xml:space="preserve">Greenblatt, S., The Swerve: How the Renaissance Began </w:t>
      </w:r>
    </w:p>
  </w:footnote>
  <w:footnote w:id="5">
    <w:p>
      <w:pPr>
        <w:pStyle w:val="style4100"/>
        <w:rPr/>
      </w:pPr>
      <w:r>
        <w:rPr>
          <w:vertAlign w:val="superscript"/>
        </w:rPr>
        <w:footnoteRef/>
      </w:r>
      <w:r>
        <w:rPr>
          <w:rFonts w:cs="Arial Unicode MS" w:eastAsia="Arial Unicode MS"/>
        </w:rPr>
        <w:t xml:space="preserve"> </w:t>
      </w:r>
      <w:r>
        <w:rPr>
          <w:rFonts w:cs="Arial Unicode MS" w:eastAsia="Arial Unicode MS"/>
          <w:lang w:val="en-US"/>
        </w:rPr>
        <w:t>West, S., A Guide to Art (Bloomsbury, 1996)</w:t>
      </w:r>
    </w:p>
  </w:footnote>
  <w:footnote w:id="6">
    <w:p>
      <w:pPr>
        <w:pStyle w:val="style4100"/>
        <w:rPr/>
      </w:pPr>
      <w:r>
        <w:rPr>
          <w:vertAlign w:val="superscript"/>
        </w:rPr>
        <w:footnoteRef/>
      </w:r>
      <w:r>
        <w:rPr>
          <w:rFonts w:cs="Arial Unicode MS" w:eastAsia="Arial Unicode MS"/>
        </w:rPr>
        <w:t xml:space="preserve"> </w:t>
      </w:r>
      <w:r>
        <w:rPr>
          <w:rFonts w:cs="Arial Unicode MS" w:eastAsia="Arial Unicode MS"/>
          <w:lang w:val="en-US"/>
        </w:rPr>
        <w:t>Dante, Divine Comedy, 1901 translation (Gutenberg Press, ebook)</w:t>
      </w:r>
    </w:p>
  </w:footnote>
  <w:footnote w:id="7">
    <w:p>
      <w:pPr>
        <w:pStyle w:val="style4100"/>
        <w:rPr/>
      </w:pPr>
      <w:r>
        <w:rPr>
          <w:vertAlign w:val="superscript"/>
        </w:rPr>
        <w:footnoteRef/>
      </w:r>
      <w:r>
        <w:rPr>
          <w:rFonts w:cs="Arial Unicode MS" w:eastAsia="Arial Unicode MS"/>
        </w:rPr>
        <w:t xml:space="preserve"> </w:t>
      </w:r>
      <w:r>
        <w:rPr>
          <w:rFonts w:cs="Arial Unicode MS" w:eastAsia="Arial Unicode MS"/>
          <w:lang w:val="en-US"/>
        </w:rPr>
        <w:t>Pope-Hennessy, J., Paradiso: The Illuminations to Dante</w:t>
      </w:r>
      <w:r>
        <w:rPr>
          <w:rFonts w:cs="Arial Unicode MS" w:eastAsia="Arial Unicode MS" w:hint="default"/>
          <w:lang w:val="en-US"/>
        </w:rPr>
        <w:t>’</w:t>
      </w:r>
      <w:r>
        <w:rPr>
          <w:rFonts w:cs="Arial Unicode MS" w:eastAsia="Arial Unicode MS"/>
          <w:lang w:val="en-US"/>
        </w:rPr>
        <w:t>s Divine Comedy by Giovanni Di Paolo (Thames and Hudson, 1993)</w:t>
      </w:r>
    </w:p>
  </w:footnote>
  <w:footnote w:id="8">
    <w:p>
      <w:pPr>
        <w:pStyle w:val="style4100"/>
        <w:rPr/>
      </w:pPr>
      <w:r>
        <w:rPr>
          <w:vertAlign w:val="superscript"/>
        </w:rPr>
        <w:footnoteRef/>
      </w:r>
      <w:r>
        <w:rPr>
          <w:rFonts w:cs="Arial Unicode MS" w:eastAsia="Arial Unicode MS"/>
        </w:rPr>
        <w:t xml:space="preserve"> </w:t>
      </w:r>
      <w:r>
        <w:rPr>
          <w:rFonts w:cs="Arial Unicode MS" w:eastAsia="Arial Unicode MS"/>
          <w:lang w:val="en-US"/>
        </w:rPr>
        <w:t>Richard Townsend, Director of the Museum of Biblical Art, New York, CBS News Website, 2014, accessed 2/5/2023</w:t>
      </w:r>
    </w:p>
  </w:footnote>
  <w:footnote w:id="9">
    <w:p>
      <w:pPr>
        <w:pStyle w:val="style4100"/>
        <w:rPr/>
      </w:pPr>
      <w:r>
        <w:rPr>
          <w:vertAlign w:val="superscript"/>
        </w:rPr>
        <w:footnoteRef/>
      </w:r>
      <w:r>
        <w:rPr>
          <w:rFonts w:cs="Arial Unicode MS" w:eastAsia="Arial Unicode MS"/>
        </w:rPr>
        <w:t xml:space="preserve"> </w:t>
      </w:r>
      <w:r>
        <w:rPr>
          <w:rFonts w:cs="Arial Unicode MS" w:eastAsia="Arial Unicode MS"/>
          <w:lang w:val="en-US"/>
        </w:rPr>
        <w:t xml:space="preserve">Pope-Hennessy, J., Paradiso </w:t>
      </w:r>
    </w:p>
  </w:footnote>
  <w:footnote w:id="10">
    <w:p>
      <w:pPr>
        <w:pStyle w:val="style4100"/>
        <w:rPr/>
      </w:pPr>
      <w:r>
        <w:rPr>
          <w:vertAlign w:val="superscript"/>
        </w:rPr>
        <w:footnoteRef/>
      </w:r>
      <w:r>
        <w:rPr>
          <w:rFonts w:cs="Arial Unicode MS" w:eastAsia="Arial Unicode MS"/>
        </w:rPr>
        <w:t xml:space="preserve"> </w:t>
      </w:r>
      <w:r>
        <w:rPr>
          <w:rFonts w:cs="Arial Unicode MS" w:eastAsia="Arial Unicode MS"/>
          <w:lang w:val="en-US"/>
        </w:rPr>
        <w:t>de Borchgrave, H., A Journey into Christian Art (Lion, 1999)</w:t>
      </w:r>
    </w:p>
  </w:footnote>
  <w:footnote w:id="11">
    <w:p>
      <w:pPr>
        <w:pStyle w:val="style4100"/>
        <w:rPr/>
      </w:pPr>
      <w:r>
        <w:rPr>
          <w:vertAlign w:val="superscript"/>
        </w:rPr>
        <w:footnoteRef/>
      </w:r>
      <w:r>
        <w:rPr>
          <w:rFonts w:cs="Arial Unicode MS" w:eastAsia="Arial Unicode MS"/>
        </w:rPr>
        <w:t xml:space="preserve"> </w:t>
      </w:r>
      <w:r>
        <w:rPr>
          <w:rFonts w:cs="Arial Unicode MS" w:eastAsia="Arial Unicode MS"/>
          <w:lang w:val="en-US"/>
        </w:rPr>
        <w:t>Hagen, R., 15th Century Paintings, p.159 (Taschen, 2001)</w:t>
      </w:r>
    </w:p>
  </w:footnote>
  <w:footnote w:id="12">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Alston, I., Botticelli, (TAJ Books, ebook, 2014) Other books may vary the dates slightly.</w:t>
      </w:r>
    </w:p>
  </w:footnote>
  <w:footnote w:id="13">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ibid</w:t>
      </w:r>
    </w:p>
  </w:footnote>
  <w:footnote w:id="14">
    <w:p>
      <w:pPr>
        <w:pStyle w:val="style4100"/>
        <w:rPr/>
      </w:pPr>
      <w:r>
        <w:rPr>
          <w:vertAlign w:val="superscript"/>
        </w:rPr>
        <w:footnoteRef/>
      </w:r>
      <w:r>
        <w:rPr>
          <w:rFonts w:cs="Arial Unicode MS" w:eastAsia="Arial Unicode MS"/>
        </w:rPr>
        <w:t xml:space="preserve"> </w:t>
      </w:r>
      <w:r>
        <w:rPr>
          <w:rFonts w:cs="Arial Unicode MS" w:eastAsia="Arial Unicode MS"/>
          <w:lang w:val="en-US"/>
        </w:rPr>
        <w:t>Charles, V., Renaissance Paintings (Parkstone Press, Kindle Edition)</w:t>
      </w:r>
    </w:p>
  </w:footnote>
  <w:footnote w:id="15">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lang w:val="en-US"/>
        </w:rPr>
        <w:t>Alston, I., Botticelli</w:t>
      </w:r>
    </w:p>
  </w:footnote>
  <w:footnote w:id="16">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 xml:space="preserve">ibid </w:t>
      </w:r>
    </w:p>
  </w:footnote>
  <w:footnote w:id="17">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ibid</w:t>
      </w:r>
    </w:p>
  </w:footnote>
  <w:footnote w:id="18">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Masters of Art: Sandro Botticelli (Delphi Classics, 2015, ebook)</w:t>
      </w:r>
    </w:p>
  </w:footnote>
  <w:footnote w:id="19">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 xml:space="preserve">National Gallery Website </w:t>
      </w:r>
    </w:p>
  </w:footnote>
  <w:footnote w:id="20">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 xml:space="preserve">National Gallery Website </w:t>
      </w:r>
    </w:p>
  </w:footnote>
  <w:footnote w:id="21">
    <w:p>
      <w:pPr>
        <w:pStyle w:val="style4100"/>
        <w:rPr/>
      </w:pPr>
      <w:r>
        <w:rPr>
          <w:vertAlign w:val="superscript"/>
        </w:rPr>
        <w:footnoteRef/>
      </w:r>
      <w:r>
        <w:rPr>
          <w:rFonts w:cs="Arial Unicode MS" w:eastAsia="Arial Unicode MS"/>
        </w:rPr>
        <w:t xml:space="preserve"> </w:t>
      </w:r>
      <w:r>
        <w:rPr>
          <w:rFonts w:cs="Arial Unicode MS" w:eastAsia="Arial Unicode MS"/>
          <w:lang w:val="en-US"/>
        </w:rPr>
        <w:t xml:space="preserve">de Borchgrave, H., A Journey into Christian Art </w:t>
      </w:r>
    </w:p>
  </w:footnote>
  <w:footnote w:id="22">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Masters of Art: Sandro Botticelli (Delphi Classics, 2015, ebook)</w:t>
      </w:r>
    </w:p>
  </w:footnote>
  <w:footnote w:id="23">
    <w:p>
      <w:pPr>
        <w:pStyle w:val="style4100"/>
        <w:rPr/>
      </w:pPr>
      <w:r>
        <w:rPr>
          <w:vertAlign w:val="superscript"/>
        </w:rPr>
        <w:footnoteRef/>
      </w:r>
      <w:r>
        <w:rPr>
          <w:rFonts w:cs="Arial Unicode MS" w:eastAsia="Arial Unicode MS"/>
        </w:rPr>
        <w:t xml:space="preserve"> </w:t>
      </w:r>
      <w:r>
        <w:rPr>
          <w:rFonts w:cs="Arial Unicode MS" w:eastAsia="Arial Unicode MS"/>
          <w:lang w:val="en-US"/>
        </w:rPr>
        <w:t xml:space="preserve">de Borchgrave, H., A Journey into Christian Art </w:t>
      </w:r>
    </w:p>
  </w:footnote>
  <w:footnote w:id="24">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Osborne, H. Ed., The Oxford Companion to Art (Oxford: Oxford University Press, 1970)</w:t>
      </w:r>
    </w:p>
  </w:footnote>
  <w:footnote w:id="25">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 xml:space="preserve">Chisholm, Hugh, Ed. (1911) </w:t>
      </w:r>
      <w:r>
        <w:rPr>
          <w:rFonts w:cs="Arial Unicode MS" w:eastAsia="Arial Unicode MS" w:hint="default"/>
          <w:lang w:val="en-US"/>
        </w:rPr>
        <w:t>“</w:t>
      </w:r>
      <w:r>
        <w:rPr>
          <w:rFonts w:cs="Arial Unicode MS" w:eastAsia="Arial Unicode MS"/>
          <w:lang w:val="en-US"/>
        </w:rPr>
        <w:t>Tisio, Benvenuto</w:t>
      </w:r>
      <w:r>
        <w:rPr>
          <w:rFonts w:cs="Arial Unicode MS" w:eastAsia="Arial Unicode MS" w:hint="default"/>
          <w:lang w:val="en-US"/>
        </w:rPr>
        <w:t>”</w:t>
      </w:r>
      <w:r>
        <w:rPr>
          <w:rFonts w:cs="Arial Unicode MS" w:eastAsia="Arial Unicode MS"/>
          <w:lang w:val="en-US"/>
        </w:rPr>
        <w:t>, Encyclopaedia Britannica, Vol. 26 (11th Ed.) Cambridge University Press p.1014, accessed online 5/5/2023</w:t>
      </w:r>
    </w:p>
  </w:footnote>
  <w:footnote w:id="26">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Ibid</w:t>
      </w:r>
    </w:p>
  </w:footnote>
  <w:footnote w:id="27">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 xml:space="preserve">Spear, Richard E., </w:t>
      </w:r>
      <w:r>
        <w:rPr>
          <w:rFonts w:cs="Arial Unicode MS" w:eastAsia="Arial Unicode MS" w:hint="default"/>
          <w:lang w:val="en-US"/>
        </w:rPr>
        <w:t>“</w:t>
      </w:r>
      <w:r>
        <w:rPr>
          <w:rFonts w:cs="Arial Unicode MS" w:eastAsia="Arial Unicode MS"/>
          <w:lang w:val="en-US"/>
        </w:rPr>
        <w:t>Reni, Guido</w:t>
      </w:r>
      <w:r>
        <w:rPr>
          <w:rFonts w:cs="Arial Unicode MS" w:eastAsia="Arial Unicode MS" w:hint="default"/>
          <w:lang w:val="en-US"/>
        </w:rPr>
        <w:t>”</w:t>
      </w:r>
      <w:r>
        <w:rPr>
          <w:rFonts w:cs="Arial Unicode MS" w:eastAsia="Arial Unicode MS"/>
          <w:lang w:val="en-US"/>
        </w:rPr>
        <w:t>. Grove Art Online. Oxford Art Online. Oxford University Press, accessed online 7/5/2023</w:t>
      </w:r>
    </w:p>
  </w:footnote>
  <w:footnote w:id="28">
    <w:p>
      <w:pPr>
        <w:pStyle w:val="style4100"/>
        <w:rPr/>
      </w:pPr>
      <w:r>
        <w:rPr>
          <w:vertAlign w:val="superscript"/>
        </w:rPr>
        <w:footnoteRef/>
      </w:r>
      <w:r>
        <w:rPr>
          <w:rFonts w:cs="Arial Unicode MS" w:eastAsia="Arial Unicode MS"/>
        </w:rPr>
        <w:t xml:space="preserve"> </w:t>
      </w:r>
      <w:r>
        <w:rPr>
          <w:rFonts w:cs="Arial Unicode MS" w:eastAsia="Arial Unicode MS"/>
          <w:lang w:val="en-US"/>
        </w:rPr>
        <w:t xml:space="preserve">National Gallery Website </w:t>
      </w:r>
    </w:p>
  </w:footnote>
  <w:footnote w:id="29">
    <w:p>
      <w:pPr>
        <w:pStyle w:val="style4100"/>
        <w:rPr/>
      </w:pPr>
      <w:r>
        <w:rPr>
          <w:vertAlign w:val="superscript"/>
        </w:rPr>
        <w:footnoteRef/>
      </w:r>
      <w:r>
        <w:rPr>
          <w:rFonts w:cs="Arial Unicode MS" w:eastAsia="Arial Unicode MS"/>
        </w:rPr>
        <w:t xml:space="preserve"> </w:t>
      </w:r>
      <w:r>
        <w:rPr>
          <w:rFonts w:cs="Arial Unicode MS" w:eastAsia="Arial Unicode MS"/>
          <w:lang w:val="en-US"/>
        </w:rPr>
        <w:t xml:space="preserve">National Gallery Website </w:t>
      </w:r>
    </w:p>
  </w:footnote>
  <w:footnote w:id="30">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 xml:space="preserve">Rossetti, William Michael (1911). </w:t>
      </w:r>
      <w:r>
        <w:rPr>
          <w:rFonts w:cs="Arial Unicode MS" w:eastAsia="Arial Unicode MS" w:hint="default"/>
          <w:lang w:val="en-US"/>
        </w:rPr>
        <w:t>“</w:t>
      </w:r>
      <w:r>
        <w:rPr>
          <w:rFonts w:cs="Arial Unicode MS" w:eastAsia="Arial Unicode MS"/>
          <w:lang w:val="en-US"/>
        </w:rPr>
        <w:t>Guido Reni</w:t>
      </w:r>
      <w:r>
        <w:rPr>
          <w:rFonts w:cs="Arial Unicode MS" w:eastAsia="Arial Unicode MS" w:hint="default"/>
          <w:lang w:val="en-US"/>
        </w:rPr>
        <w:t>”</w:t>
      </w:r>
      <w:r>
        <w:rPr>
          <w:rFonts w:cs="Arial Unicode MS" w:eastAsia="Arial Unicode MS"/>
          <w:lang w:val="en-US"/>
        </w:rPr>
        <w:t>. Encyclopaedia Britannica. Vol. 12 (11th ed.). pp. 688-689, accessed online 7/5/2023</w:t>
      </w:r>
    </w:p>
  </w:footnote>
  <w:footnote w:id="31">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ibid</w:t>
      </w:r>
    </w:p>
  </w:footnote>
  <w:footnote w:id="32">
    <w:p>
      <w:pPr>
        <w:pStyle w:val="style4100"/>
        <w:rPr/>
      </w:pPr>
      <w:r>
        <w:rPr>
          <w:rFonts w:ascii="Arial Rounded MT Bold" w:cs="Arial Rounded MT Bold" w:eastAsia="Arial Rounded MT Bold" w:hAnsi="Arial Rounded MT Bold"/>
          <w:sz w:val="36"/>
          <w:szCs w:val="36"/>
          <w:vertAlign w:val="superscript"/>
        </w:rPr>
        <w:footnoteRef/>
      </w:r>
      <w:r>
        <w:rPr>
          <w:rFonts w:cs="Arial Unicode MS" w:eastAsia="Arial Unicode MS"/>
        </w:rPr>
        <w:t xml:space="preserve"> </w:t>
      </w:r>
      <w:r>
        <w:rPr>
          <w:rFonts w:cs="Arial Unicode MS" w:eastAsia="Arial Unicode MS"/>
          <w:lang w:val="en-US"/>
        </w:rPr>
        <w:t>Bolton, R., A Brief History of Painting: 2000 BC to AD 2000 (Robinson, 2004)</w:t>
      </w:r>
    </w:p>
  </w:footnote>
  <w:footnote w:id="33">
    <w:p>
      <w:pPr>
        <w:pStyle w:val="style4100"/>
        <w:rPr/>
      </w:pPr>
      <w:r>
        <w:rPr>
          <w:vertAlign w:val="superscript"/>
        </w:rPr>
        <w:footnoteRef/>
      </w:r>
      <w:r>
        <w:rPr>
          <w:rFonts w:cs="Arial Unicode MS" w:eastAsia="Arial Unicode MS"/>
        </w:rPr>
        <w:t xml:space="preserve"> </w:t>
      </w:r>
      <w:r>
        <w:rPr>
          <w:rFonts w:cs="Arial Unicode MS" w:eastAsia="Arial Unicode MS"/>
          <w:lang w:val="en-US"/>
        </w:rPr>
        <w:t>Pope-Hennessy, J., Paradiso: The Illuminations to Dante</w:t>
      </w:r>
      <w:r>
        <w:rPr>
          <w:rFonts w:cs="Arial Unicode MS" w:eastAsia="Arial Unicode MS" w:hint="default"/>
          <w:lang w:val="en-US"/>
        </w:rPr>
        <w:t>’</w:t>
      </w:r>
      <w:r>
        <w:rPr>
          <w:rFonts w:cs="Arial Unicode MS" w:eastAsia="Arial Unicode MS"/>
          <w:lang w:val="en-US"/>
        </w:rPr>
        <w:t>s Divine Comedy by Giovanni Di Paolo (Thames and Hudson, 1993)</w:t>
      </w:r>
    </w:p>
  </w:footnote>
  <w:footnote w:id="34">
    <w:p>
      <w:pPr>
        <w:pStyle w:val="style4100"/>
        <w:rPr/>
      </w:pPr>
      <w:r>
        <w:rPr>
          <w:vertAlign w:val="superscript"/>
        </w:rPr>
        <w:footnoteRef/>
      </w:r>
      <w:r>
        <w:rPr>
          <w:rFonts w:cs="Arial Unicode MS" w:eastAsia="Arial Unicode MS"/>
        </w:rPr>
        <w:t xml:space="preserve"> </w:t>
      </w:r>
      <w:r>
        <w:rPr>
          <w:rFonts w:cs="Arial Unicode MS" w:eastAsia="Arial Unicode MS"/>
          <w:lang w:val="en-US"/>
        </w:rPr>
        <w:t>Berger, J., Ways of Seeing (Penguin Books, 1972, repr. 2003)</w:t>
      </w:r>
    </w:p>
  </w:footnote>
</w:footnotes>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mc:Ignorable="w14 wp14">
  <w:p>
    <w:pPr>
      <w:pStyle w:val="style4098"/>
      <w:tabs>
        <w:tab w:val="clear" w:pos="9020"/>
      </w:tabs>
      <w:rPr/>
    </w:pPr>
    <w:r>
      <w:tab/>
    </w:r>
    <w:r>
      <w:rPr>
        <w:lang w:val="en-US"/>
      </w:rPr>
      <w:t xml:space="preserve">CR Hornby </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view w:val="print"/>
  <w:displayBackgroundShape/>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revisionView w:markup="t" w:comments="t" w:insDel="t" w:formatting="f"/>
  <w:documentProtection w:enforcement="0"/>
  <w:defaultTabStop w:val="720"/>
  <w:hyphenationZone w:val="false"/>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Arial Unicode MS" w:hAnsi="Times New Roman"/>
        <w:b w:val="false"/>
        <w:bCs w:val="false"/>
        <w:i w:val="false"/>
        <w:iCs w:val="false"/>
        <w:caps w:val="false"/>
        <w:smallCaps w:val="false"/>
        <w:outline w:val="false"/>
        <w:emboss w:val="false"/>
        <w:imprint w:val="false"/>
        <w:vanish w:val="false"/>
        <w:color w:val="auto"/>
        <w:spacing w:val="0"/>
        <w:w w:val="100"/>
        <w:kern w:val="0"/>
        <w:position w:val="0"/>
        <w:sz w:val="20"/>
        <w:szCs w:val="20"/>
        <w:u w:val="none" w:color="auto"/>
        <w:bdr w:val="nil"/>
        <w:vertAlign w:val="baseline"/>
      </w:rPr>
    </w:rPrDefault>
    <w:pPrDefault>
      <w:pPr>
        <w:keepNext w:val="false"/>
        <w:keepLines w:val="false"/>
        <w:pageBreakBefore w:val="false"/>
        <w:framePr w:h="0" w:hRule="exact" w:w="0" w:hSpace="0" w:vSpace="0" w:vAnchor="margin" w:xAlign="left" w:yAlign="inline" w:anchorLock="false"/>
        <w:widowControl/>
        <w:numPr>
          <w:ilvl w:val="0"/>
          <w:numId w:val="0"/>
        </w:numPr>
        <w:suppressLineNumbers w:val="false"/>
        <w:pBdr>
          <w:left w:val="nil"/>
          <w:right w:val="nil"/>
          <w:top w:val="nil"/>
          <w:bottom w:val="nil"/>
          <w:bar w:val="nil"/>
          <w:between w:val="nil"/>
        </w:pBdr>
        <w:shd w:val="clear" w:color="auto" w:fill="auto"/>
        <w:suppressAutoHyphens w:val="false"/>
        <w:spacing w:before="0" w:beforeAutospacing="false" w:after="0" w:afterAutospacing="false" w:lineRule="auto" w:line="240"/>
        <w:ind w:left="0" w:right="0" w:firstLine="0"/>
        <w:jc w:val="left"/>
        <w:outlineLvl w:val="9"/>
      </w:pPr>
    </w:pPrDefault>
  </w:docDefaults>
  <w:style w:type="paragraph" w:default="1" w:styleId="style0">
    <w:name w:val="Normal"/>
    <w:next w:val="style0"/>
    <w:pPr/>
    <w:rPr>
      <w:sz w:val="24"/>
      <w:szCs w:val="24"/>
      <w:lang w:val="en-US" w:bidi="ar-SA" w:eastAsia="en-US"/>
    </w:rPr>
  </w:style>
  <w:style w:type="character" w:default="1" w:styleId="style65">
    <w:name w:val="Default Paragraph Font"/>
    <w:next w:val="style65"/>
  </w:style>
  <w:style w:type="character" w:styleId="style85">
    <w:name w:val="Hyperlink"/>
    <w:next w:val="style85"/>
    <w:rPr>
      <w:u w:val="single"/>
    </w:rPr>
  </w:style>
  <w:style w:type="table" w:customStyle="1" w:styleId="style4097">
    <w:name w:val="Table Normal"/>
    <w:next w:val="style4097"/>
    <w:pPr/>
    <w:rPr/>
    <w:tblPr>
      <w:tblInd w:w="0" w:type="dxa"/>
    </w:tblPr>
    <w:tblStylePr w:type="firstRow">
      <w:pPr/>
      <w:tcPr>
        <w:tcBorders/>
      </w:tcPr>
    </w:tblStylePr>
    <w:tblStylePr w:type="lastRow">
      <w:pPr/>
      <w:tcPr>
        <w:tcBorders/>
      </w:tcPr>
    </w:tblStylePr>
    <w:tblStylePr w:type="band1Horz">
      <w:pPr/>
      <w:tcPr>
        <w:tcBorders/>
      </w:tcPr>
    </w:tblStylePr>
    <w:tblStylePr w:type="band2Horz">
      <w:pPr/>
      <w:tcPr>
        <w:tcBorders/>
      </w:tcPr>
    </w:tblStylePr>
    <w:tblStylePr w:type="firstCol">
      <w:pPr/>
      <w:tcPr>
        <w:tcBorders/>
      </w:tcPr>
    </w:tblStylePr>
    <w:tblStylePr w:type="lastCol">
      <w:pPr/>
      <w:tcPr>
        <w:tcBorders/>
      </w:tcPr>
    </w:tblStylePr>
    <w:tblStylePr w:type="band1Vert">
      <w:pPr/>
      <w:tcPr>
        <w:tcBorders/>
      </w:tcPr>
    </w:tblStylePr>
    <w:tblStylePr w:type="band2Vert">
      <w:pPr/>
      <w:tcPr>
        <w:tcBorders/>
      </w:tcPr>
    </w:tblStylePr>
    <w:tblStylePr w:type="neCell">
      <w:pPr/>
      <w:tcPr>
        <w:tcBorders/>
      </w:tcPr>
    </w:tblStylePr>
    <w:tblStylePr w:type="nwCell">
      <w:pPr/>
      <w:tcPr>
        <w:tcBorders/>
      </w:tcPr>
    </w:tblStylePr>
    <w:tblStylePr w:type="seCell">
      <w:pPr/>
      <w:tcPr>
        <w:tcBorders/>
      </w:tcPr>
    </w:tblStylePr>
    <w:tblStylePr w:type="swCell">
      <w:pPr/>
      <w:tcPr>
        <w:tcBorders/>
      </w:tcPr>
    </w:tblStylePr>
    <w:tcPr>
      <w:tcBorders/>
    </w:tcPr>
  </w:style>
  <w:style w:type="numbering" w:default="1" w:styleId="style107">
    <w:name w:val="No List"/>
    <w:next w:val="style107"/>
    <w:pPr/>
  </w:style>
  <w:style w:type="paragraph" w:customStyle="1" w:styleId="style4098">
    <w:name w:val="Header &amp; Footer A"/>
    <w:next w:val="style4098"/>
    <w:pPr>
      <w:keepNext w:val="false"/>
      <w:keepLines w:val="false"/>
      <w:pageBreakBefore w:val="false"/>
      <w:widowControl/>
      <w:shd w:val="clear" w:color="auto" w:fill="auto"/>
      <w:tabs>
        <w:tab w:val="right" w:leader="none" w:pos="9020"/>
      </w:tabs>
      <w:suppressAutoHyphens w:val="false"/>
      <w:bidi w:val="false"/>
      <w:spacing w:before="0" w:after="0" w:lineRule="auto" w:line="240"/>
      <w:ind w:left="0" w:right="0" w:firstLine="0"/>
      <w:jc w:val="left"/>
      <w:outlineLvl w:val="9"/>
    </w:pPr>
    <w:rPr>
      <w:rFonts w:ascii="Helvetica Neue" w:cs="Arial Unicode MS" w:eastAsia="Arial Unicode MS" w:hAnsi="Helvetica Neue"/>
      <w:b w:val="false"/>
      <w:bCs w:val="false"/>
      <w:i w:val="false"/>
      <w:iCs w:val="false"/>
      <w:caps w:val="false"/>
      <w:smallCaps w:val="false"/>
      <w:outline w:val="false"/>
      <w:color w:val="000000"/>
      <w:spacing w:val="0"/>
      <w:kern w:val="0"/>
      <w:position w:val="0"/>
      <w:sz w:val="24"/>
      <w:szCs w:val="24"/>
      <w:u w:val="none" w:color="000000"/>
      <w:shd w:val="nil" w:color="auto" w:fill="auto"/>
      <w:vertAlign w:val="baseline"/>
      <w14:textOutline>
        <w14:noFill/>
      </w14:textOutline>
    </w:rPr>
  </w:style>
  <w:style w:type="paragraph" w:customStyle="1" w:styleId="style4099">
    <w:name w:val="Body A"/>
    <w:next w:val="style4099"/>
    <w:pPr>
      <w:keepNext w:val="false"/>
      <w:keepLines w:val="false"/>
      <w:pageBreakBefore w:val="false"/>
      <w:widowControl/>
      <w:shd w:val="clear" w:color="auto" w:fill="auto"/>
      <w:suppressAutoHyphens w:val="false"/>
      <w:bidi w:val="false"/>
      <w:spacing w:before="0" w:after="0" w:lineRule="auto" w:line="240"/>
      <w:ind w:left="0" w:right="0" w:firstLine="0"/>
      <w:jc w:val="left"/>
      <w:outlineLvl w:val="9"/>
    </w:pPr>
    <w:rPr>
      <w:rFonts w:ascii="Helvetica Neue" w:cs="Arial Unicode MS" w:eastAsia="Arial Unicode MS" w:hAnsi="Helvetica Neue"/>
      <w:b w:val="false"/>
      <w:bCs w:val="false"/>
      <w:i w:val="false"/>
      <w:iCs w:val="false"/>
      <w:caps w:val="false"/>
      <w:smallCaps w:val="false"/>
      <w:outline w:val="false"/>
      <w:color w:val="000000"/>
      <w:spacing w:val="0"/>
      <w:kern w:val="0"/>
      <w:position w:val="0"/>
      <w:sz w:val="22"/>
      <w:szCs w:val="22"/>
      <w:u w:val="none" w:color="000000"/>
      <w:shd w:val="nil" w:color="auto" w:fill="auto"/>
      <w:vertAlign w:val="baseline"/>
      <w:lang w:val="en-US"/>
      <w14:textOutline>
        <w14:noFill/>
      </w14:textOutline>
    </w:rPr>
  </w:style>
  <w:style w:type="paragraph" w:customStyle="1" w:styleId="style4100">
    <w:name w:val="Footnote A"/>
    <w:next w:val="style4100"/>
    <w:pPr>
      <w:keepNext w:val="false"/>
      <w:keepLines w:val="false"/>
      <w:pageBreakBefore w:val="false"/>
      <w:widowControl/>
      <w:shd w:val="clear" w:color="auto" w:fill="auto"/>
      <w:suppressAutoHyphens w:val="false"/>
      <w:bidi w:val="false"/>
      <w:spacing w:before="0" w:after="0" w:lineRule="auto" w:line="240"/>
      <w:ind w:left="0" w:right="0" w:firstLine="0"/>
      <w:jc w:val="left"/>
      <w:outlineLvl w:val="9"/>
    </w:pPr>
    <w:rPr>
      <w:rFonts w:ascii="Helvetica Neue" w:cs="Helvetica Neue" w:eastAsia="Helvetica Neue" w:hAnsi="Helvetica Neue"/>
      <w:b w:val="false"/>
      <w:bCs w:val="false"/>
      <w:i w:val="false"/>
      <w:iCs w:val="false"/>
      <w:caps w:val="false"/>
      <w:smallCaps w:val="false"/>
      <w:outline w:val="false"/>
      <w:color w:val="000000"/>
      <w:spacing w:val="0"/>
      <w:kern w:val="0"/>
      <w:position w:val="0"/>
      <w:sz w:val="22"/>
      <w:szCs w:val="22"/>
      <w:u w:val="none" w:color="000000"/>
      <w:shd w:val="nil" w:color="auto" w:fill="auto"/>
      <w:vertAlign w:val="baseline"/>
      <w14:textOutline>
        <w14:noFill/>
      </w14:textOutline>
    </w:rPr>
  </w:style>
  <w:style w:type="paragraph" w:customStyle="1" w:styleId="style4101">
    <w:name w:val="&quot;Heading 3&quot;"/>
    <w:basedOn w:val="style0"/>
    <w:next w:val="style4094"/>
    <w:qFormat/>
    <w:pPr>
      <w:spacing w:before="0" w:after="0"/>
      <w:ind w:left="720" w:right="0"/>
      <w:jc w:val="both"/>
    </w:pPr>
    <w:rPr>
      <w:rFonts w:ascii="Tahoma" w:hAnsi="Tahoma"/>
      <w:b/>
      <w:sz w:val="20"/>
      <w:szCs w:val="20"/>
    </w:rPr>
  </w:style>
  <w:style w:type="paragraph" w:customStyle="1" w:styleId="style4102">
    <w:name w:val="&quot;Footer&quot;"/>
    <w:basedOn w:val="style0"/>
    <w:next w:val="style4094"/>
    <w:qFormat/>
    <w:pPr>
      <w:spacing w:after="0"/>
    </w:pPr>
    <w:rPr>
      <w:sz w:val="24"/>
      <w:szCs w:val="24"/>
    </w:rPr>
  </w:style>
  <w:style w:type="paragraph" w:styleId="style94">
    <w:name w:val="Normal (Web)"/>
    <w:basedOn w:val="style0"/>
    <w:next w:val="style4094"/>
    <w:qFormat/>
    <w:pPr>
      <w:spacing w:before="0" w:after="0"/>
      <w:ind w:left="0" w:right="0"/>
    </w:pPr>
    <w:rPr>
      <w:rFonts w:ascii="Georgia" w:hAnsi="Georgia"/>
      <w:color w:val="000000"/>
      <w:sz w:val="21"/>
      <w:szCs w:val="21"/>
    </w:rPr>
  </w:style>
</w:styles>
</file>

<file path=word/_rels/document.xml.rels><?xml version="1.0" encoding="UTF-8"?>
<Relationships xmlns="http://schemas.openxmlformats.org/package/2006/relationships"><Relationship Id="rId2" Type="http://schemas.openxmlformats.org/officeDocument/2006/relationships/image" Target="media/image1.png"/><Relationship Id="rId5" Type="http://schemas.openxmlformats.org/officeDocument/2006/relationships/footnotes" Target="footnotes.xml"/><Relationship Id="rId8" Type="http://schemas.openxmlformats.org/officeDocument/2006/relationships/settings" Target="settings.xml"/><Relationship Id="rId4" Type="http://schemas.openxmlformats.org/officeDocument/2006/relationships/footer" Target="footer2.xml"/><Relationship Id="rId3" Type="http://schemas.openxmlformats.org/officeDocument/2006/relationships/header" Target="header1.xml"/><Relationship Id="rId9" Type="http://schemas.openxmlformats.org/officeDocument/2006/relationships/theme" Target="theme/theme1.xml"/><Relationship Id="rId6" Type="http://schemas.openxmlformats.org/officeDocument/2006/relationships/styles" Target="styles.xml"/><Relationship Id="rId1" Type="http://schemas.openxmlformats.org/officeDocument/2006/relationships/numbering" Target="numbering.xml"/><Relationship Id="rId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otalTime>0</TotalTime>
  <Words>6071</Words>
  <Characters>32036</Characters>
  <Application>WPS Office</Application>
  <Paragraphs>301</Paragraphs>
  <CharactersWithSpaces>38133</CharactersWithSpaces>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2023-05-11T22:51:45Z</dcterms:created>
  <dc:creator>WPS Office</dc:creator>
  <lastModifiedBy>KFDOWI</lastModifiedBy>
  <dcterms:modified xsi:type="dcterms:W3CDTF">2023-05-11T22:51:47Z</dcterms:modified>
</coreProperties>
</file>

<file path=docProps/custom.xml><?xml version="1.0" encoding="utf-8"?>
<Properties xmlns="http://schemas.openxmlformats.org/officeDocument/2006/custom-properties" xmlns:vt="http://schemas.openxmlformats.org/officeDocument/2006/docPropsVTypes"/>
</file>