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78F21" w14:textId="77777777" w:rsidR="00B151A8" w:rsidRDefault="00B151A8" w:rsidP="009E2C87">
      <w:pPr>
        <w:spacing w:line="360" w:lineRule="auto"/>
        <w:jc w:val="center"/>
      </w:pPr>
    </w:p>
    <w:p w14:paraId="452C2857" w14:textId="056F4A1E" w:rsidR="00126C05" w:rsidRDefault="009E2C87" w:rsidP="009E2C87">
      <w:pPr>
        <w:spacing w:line="360" w:lineRule="auto"/>
        <w:jc w:val="center"/>
        <w:rPr>
          <w:rFonts w:ascii="Arial" w:hAnsi="Arial" w:cs="Arial"/>
          <w:b/>
          <w:bCs/>
          <w:sz w:val="28"/>
          <w:szCs w:val="28"/>
        </w:rPr>
      </w:pPr>
      <w:r w:rsidRPr="009E2C87">
        <w:rPr>
          <w:rFonts w:ascii="Arial" w:hAnsi="Arial" w:cs="Arial"/>
          <w:b/>
          <w:bCs/>
          <w:sz w:val="28"/>
          <w:szCs w:val="28"/>
        </w:rPr>
        <w:t>Hotel Placement Research Project</w:t>
      </w:r>
    </w:p>
    <w:p w14:paraId="14AD2397" w14:textId="24B791A3" w:rsidR="009E2C87" w:rsidRPr="009E2C87" w:rsidRDefault="009E2C87" w:rsidP="009E2C87">
      <w:pPr>
        <w:spacing w:line="360" w:lineRule="auto"/>
        <w:jc w:val="center"/>
        <w:rPr>
          <w:rFonts w:ascii="Arial" w:hAnsi="Arial" w:cs="Arial"/>
          <w:b/>
          <w:bCs/>
          <w:sz w:val="28"/>
          <w:szCs w:val="28"/>
        </w:rPr>
      </w:pPr>
      <w:r w:rsidRPr="009E2C87">
        <w:rPr>
          <w:rFonts w:ascii="Arial" w:hAnsi="Arial" w:cs="Arial"/>
          <w:b/>
          <w:bCs/>
          <w:sz w:val="28"/>
          <w:szCs w:val="28"/>
        </w:rPr>
        <w:t>BMIH6008</w:t>
      </w:r>
    </w:p>
    <w:p w14:paraId="09BEA4DE" w14:textId="1306E65A" w:rsidR="00126C05" w:rsidRPr="009E2C87" w:rsidRDefault="009E2C87" w:rsidP="009E2C87">
      <w:pPr>
        <w:spacing w:line="360" w:lineRule="auto"/>
        <w:jc w:val="center"/>
        <w:rPr>
          <w:rFonts w:ascii="Arial" w:hAnsi="Arial" w:cs="Arial"/>
          <w:b/>
          <w:bCs/>
          <w:sz w:val="24"/>
          <w:szCs w:val="24"/>
        </w:rPr>
      </w:pPr>
      <w:r w:rsidRPr="009E2C87">
        <w:rPr>
          <w:rFonts w:ascii="Arial" w:hAnsi="Arial" w:cs="Arial"/>
          <w:b/>
          <w:bCs/>
          <w:sz w:val="24"/>
          <w:szCs w:val="24"/>
        </w:rPr>
        <w:t>Hotel Research Project</w:t>
      </w:r>
    </w:p>
    <w:p w14:paraId="1287D492" w14:textId="77777777" w:rsidR="00126C05" w:rsidRDefault="00126C05" w:rsidP="009E2C87">
      <w:pPr>
        <w:spacing w:line="360" w:lineRule="auto"/>
        <w:jc w:val="center"/>
      </w:pPr>
    </w:p>
    <w:p w14:paraId="1B9AB18E" w14:textId="77777777" w:rsidR="00126C05" w:rsidRDefault="00126C05" w:rsidP="009E2C87">
      <w:pPr>
        <w:spacing w:line="360" w:lineRule="auto"/>
        <w:jc w:val="center"/>
      </w:pPr>
    </w:p>
    <w:p w14:paraId="73D0C834" w14:textId="58028774" w:rsidR="00126C05" w:rsidRPr="009E2C87" w:rsidRDefault="009E2C87" w:rsidP="009E2C87">
      <w:pPr>
        <w:spacing w:line="360" w:lineRule="auto"/>
        <w:jc w:val="center"/>
        <w:rPr>
          <w:rFonts w:ascii="Arial" w:hAnsi="Arial" w:cs="Arial"/>
          <w:b/>
          <w:bCs/>
          <w:i/>
          <w:iCs/>
          <w:color w:val="000000" w:themeColor="text1"/>
          <w:sz w:val="24"/>
          <w:szCs w:val="24"/>
        </w:rPr>
      </w:pPr>
      <w:r w:rsidRPr="009E2C87">
        <w:rPr>
          <w:rFonts w:ascii="Arial" w:hAnsi="Arial" w:cs="Arial"/>
          <w:b/>
          <w:bCs/>
          <w:i/>
          <w:iCs/>
          <w:color w:val="000000" w:themeColor="text1"/>
          <w:sz w:val="24"/>
          <w:szCs w:val="24"/>
        </w:rPr>
        <w:t>Overbooking and service failures at Novotel London Wembley due to technology</w:t>
      </w:r>
    </w:p>
    <w:p w14:paraId="5055887C" w14:textId="77777777" w:rsidR="00126C05" w:rsidRDefault="00126C05"/>
    <w:p w14:paraId="5229E0DE" w14:textId="5AF6B0EC" w:rsidR="00126C05" w:rsidRDefault="009E2C87">
      <w:r w:rsidRPr="009E2C87">
        <w:rPr>
          <w:noProof/>
        </w:rPr>
        <w:drawing>
          <wp:inline distT="0" distB="0" distL="0" distR="0" wp14:anchorId="44EE2267" wp14:editId="7334B652">
            <wp:extent cx="5731510" cy="4055110"/>
            <wp:effectExtent l="0" t="0" r="2540" b="2540"/>
            <wp:docPr id="922482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82278" name=""/>
                    <pic:cNvPicPr/>
                  </pic:nvPicPr>
                  <pic:blipFill>
                    <a:blip r:embed="rId7"/>
                    <a:stretch>
                      <a:fillRect/>
                    </a:stretch>
                  </pic:blipFill>
                  <pic:spPr>
                    <a:xfrm>
                      <a:off x="0" y="0"/>
                      <a:ext cx="5731510" cy="4055110"/>
                    </a:xfrm>
                    <a:prstGeom prst="rect">
                      <a:avLst/>
                    </a:prstGeom>
                  </pic:spPr>
                </pic:pic>
              </a:graphicData>
            </a:graphic>
          </wp:inline>
        </w:drawing>
      </w:r>
    </w:p>
    <w:p w14:paraId="607E541D" w14:textId="77777777" w:rsidR="00126C05" w:rsidRDefault="00126C05"/>
    <w:p w14:paraId="35D9DA6C" w14:textId="6405A5DA" w:rsidR="00126C05" w:rsidRPr="009E2C87" w:rsidRDefault="009E2C87">
      <w:pPr>
        <w:rPr>
          <w:rFonts w:ascii="Arial" w:hAnsi="Arial" w:cs="Arial"/>
          <w:b/>
          <w:bCs/>
          <w:sz w:val="24"/>
          <w:szCs w:val="24"/>
        </w:rPr>
      </w:pPr>
      <w:r w:rsidRPr="009E2C87">
        <w:rPr>
          <w:rFonts w:ascii="Arial" w:hAnsi="Arial" w:cs="Arial"/>
          <w:b/>
          <w:bCs/>
          <w:sz w:val="24"/>
          <w:szCs w:val="24"/>
        </w:rPr>
        <w:t>Student name:</w:t>
      </w:r>
      <w:r w:rsidRPr="009E2C87">
        <w:t xml:space="preserve"> </w:t>
      </w:r>
      <w:r w:rsidRPr="009E2C87">
        <w:rPr>
          <w:rFonts w:ascii="Arial" w:hAnsi="Arial" w:cs="Arial"/>
          <w:sz w:val="24"/>
          <w:szCs w:val="24"/>
        </w:rPr>
        <w:t>Lavinia-</w:t>
      </w:r>
      <w:proofErr w:type="spellStart"/>
      <w:r w:rsidRPr="009E2C87">
        <w:rPr>
          <w:rFonts w:ascii="Arial" w:hAnsi="Arial" w:cs="Arial"/>
          <w:sz w:val="24"/>
          <w:szCs w:val="24"/>
        </w:rPr>
        <w:t>Lenuta</w:t>
      </w:r>
      <w:proofErr w:type="spellEnd"/>
      <w:r w:rsidRPr="009E2C87">
        <w:rPr>
          <w:rFonts w:ascii="Arial" w:hAnsi="Arial" w:cs="Arial"/>
          <w:sz w:val="24"/>
          <w:szCs w:val="24"/>
        </w:rPr>
        <w:t xml:space="preserve"> </w:t>
      </w:r>
      <w:proofErr w:type="spellStart"/>
      <w:r w:rsidRPr="009E2C87">
        <w:rPr>
          <w:rFonts w:ascii="Arial" w:hAnsi="Arial" w:cs="Arial"/>
          <w:sz w:val="24"/>
          <w:szCs w:val="24"/>
        </w:rPr>
        <w:t>Siminiuc</w:t>
      </w:r>
      <w:proofErr w:type="spellEnd"/>
    </w:p>
    <w:p w14:paraId="6723EDFC" w14:textId="4CEC30D2" w:rsidR="009E2C87" w:rsidRPr="009E2C87" w:rsidRDefault="009E2C87">
      <w:pPr>
        <w:rPr>
          <w:rFonts w:ascii="Arial" w:hAnsi="Arial" w:cs="Arial"/>
          <w:b/>
          <w:bCs/>
          <w:sz w:val="24"/>
          <w:szCs w:val="24"/>
        </w:rPr>
      </w:pPr>
      <w:r w:rsidRPr="009E2C87">
        <w:rPr>
          <w:rFonts w:ascii="Arial" w:hAnsi="Arial" w:cs="Arial"/>
          <w:b/>
          <w:bCs/>
          <w:sz w:val="24"/>
          <w:szCs w:val="24"/>
        </w:rPr>
        <w:t>Student id:</w:t>
      </w:r>
      <w:r w:rsidRPr="009E2C87">
        <w:t xml:space="preserve"> </w:t>
      </w:r>
      <w:r w:rsidRPr="009E2C87">
        <w:rPr>
          <w:rFonts w:ascii="Arial" w:hAnsi="Arial" w:cs="Arial"/>
          <w:sz w:val="24"/>
          <w:szCs w:val="24"/>
        </w:rPr>
        <w:t>2208461</w:t>
      </w:r>
    </w:p>
    <w:p w14:paraId="044CC37B" w14:textId="12004056" w:rsidR="00126C05" w:rsidRPr="00D771CE" w:rsidRDefault="00D771CE" w:rsidP="00D771CE">
      <w:pPr>
        <w:rPr>
          <w:rFonts w:ascii="Arial" w:hAnsi="Arial" w:cs="Arial"/>
          <w:b/>
          <w:bCs/>
          <w:sz w:val="24"/>
          <w:szCs w:val="24"/>
        </w:rPr>
      </w:pPr>
      <w:r w:rsidRPr="00D771CE">
        <w:rPr>
          <w:rFonts w:ascii="Arial" w:hAnsi="Arial" w:cs="Arial"/>
          <w:b/>
          <w:bCs/>
          <w:sz w:val="24"/>
          <w:szCs w:val="24"/>
        </w:rPr>
        <w:t xml:space="preserve">Module Lead: </w:t>
      </w:r>
      <w:proofErr w:type="spellStart"/>
      <w:r w:rsidRPr="00D771CE">
        <w:rPr>
          <w:rFonts w:ascii="Arial" w:hAnsi="Arial" w:cs="Arial"/>
          <w:sz w:val="24"/>
          <w:szCs w:val="24"/>
        </w:rPr>
        <w:t>Dr.</w:t>
      </w:r>
      <w:proofErr w:type="spellEnd"/>
      <w:r w:rsidRPr="00D771CE">
        <w:rPr>
          <w:rFonts w:ascii="Arial" w:hAnsi="Arial" w:cs="Arial"/>
          <w:sz w:val="24"/>
          <w:szCs w:val="24"/>
        </w:rPr>
        <w:t xml:space="preserve"> Ernest </w:t>
      </w:r>
      <w:proofErr w:type="spellStart"/>
      <w:r w:rsidRPr="00D771CE">
        <w:rPr>
          <w:rFonts w:ascii="Arial" w:hAnsi="Arial" w:cs="Arial"/>
          <w:sz w:val="24"/>
          <w:szCs w:val="24"/>
        </w:rPr>
        <w:t>Wavei</w:t>
      </w:r>
      <w:proofErr w:type="spellEnd"/>
    </w:p>
    <w:p w14:paraId="1C79C4C6" w14:textId="77777777" w:rsidR="00126C05" w:rsidRDefault="00126C05"/>
    <w:p w14:paraId="7D1887FE" w14:textId="77777777" w:rsidR="00126C05" w:rsidRPr="00A13050" w:rsidRDefault="00126C05">
      <w:pPr>
        <w:rPr>
          <w:rFonts w:ascii="Arial" w:hAnsi="Arial" w:cs="Arial"/>
          <w:sz w:val="24"/>
          <w:szCs w:val="24"/>
        </w:rPr>
      </w:pPr>
    </w:p>
    <w:p w14:paraId="7217C965" w14:textId="77777777" w:rsidR="00A13050" w:rsidRPr="00A13050" w:rsidRDefault="00A13050" w:rsidP="00A13050">
      <w:pPr>
        <w:rPr>
          <w:rFonts w:ascii="Arial" w:hAnsi="Arial" w:cs="Arial"/>
          <w:b/>
          <w:bCs/>
          <w:sz w:val="24"/>
          <w:szCs w:val="24"/>
        </w:rPr>
      </w:pPr>
      <w:r w:rsidRPr="00A13050">
        <w:rPr>
          <w:rFonts w:ascii="Arial" w:hAnsi="Arial" w:cs="Arial"/>
          <w:b/>
          <w:bCs/>
          <w:sz w:val="24"/>
          <w:szCs w:val="24"/>
        </w:rPr>
        <w:t>AI DECLARATION</w:t>
      </w:r>
    </w:p>
    <w:p w14:paraId="1FC1F495" w14:textId="1596249A" w:rsidR="00126C05" w:rsidRPr="00A13050" w:rsidRDefault="00A13050" w:rsidP="00A13050">
      <w:pPr>
        <w:rPr>
          <w:rFonts w:ascii="Arial" w:hAnsi="Arial" w:cs="Arial"/>
          <w:sz w:val="24"/>
          <w:szCs w:val="24"/>
        </w:rPr>
      </w:pPr>
      <w:r w:rsidRPr="00A13050">
        <w:rPr>
          <w:rFonts w:ascii="Arial" w:hAnsi="Arial" w:cs="Arial"/>
          <w:sz w:val="24"/>
          <w:szCs w:val="24"/>
        </w:rPr>
        <w:t>I confirm I used Grammarly to correct my grammar.</w:t>
      </w:r>
    </w:p>
    <w:p w14:paraId="57E3B901" w14:textId="77777777" w:rsidR="00126C05" w:rsidRDefault="00126C05"/>
    <w:p w14:paraId="5C49F4FC" w14:textId="77777777" w:rsidR="009E2C87" w:rsidRDefault="009E2C87"/>
    <w:p w14:paraId="1A746AFA" w14:textId="77777777" w:rsidR="009E2C87" w:rsidRDefault="009E2C87"/>
    <w:p w14:paraId="3DA98099" w14:textId="77777777" w:rsidR="009E2C87" w:rsidRDefault="009E2C87"/>
    <w:p w14:paraId="54FF431C" w14:textId="77777777" w:rsidR="009E2C87" w:rsidRDefault="009E2C87"/>
    <w:p w14:paraId="29D74E80" w14:textId="77777777" w:rsidR="009E2C87" w:rsidRDefault="009E2C87"/>
    <w:p w14:paraId="340E29A1" w14:textId="77777777" w:rsidR="009E2C87" w:rsidRDefault="009E2C87"/>
    <w:p w14:paraId="5C2D4C09" w14:textId="77777777" w:rsidR="009E2C87" w:rsidRDefault="009E2C87"/>
    <w:p w14:paraId="110AA4BE" w14:textId="77777777" w:rsidR="009E2C87" w:rsidRDefault="009E2C87"/>
    <w:p w14:paraId="2DC10389" w14:textId="77777777" w:rsidR="009E2C87" w:rsidRDefault="009E2C87"/>
    <w:p w14:paraId="122AD8D5" w14:textId="77777777" w:rsidR="009E2C87" w:rsidRDefault="009E2C87"/>
    <w:p w14:paraId="270F5FF0" w14:textId="77777777" w:rsidR="009E2C87" w:rsidRDefault="009E2C87"/>
    <w:p w14:paraId="1F85E7E8" w14:textId="77777777" w:rsidR="009E2C87" w:rsidRDefault="009E2C87"/>
    <w:p w14:paraId="7FDB8ED0" w14:textId="77777777" w:rsidR="009E2C87" w:rsidRDefault="009E2C87"/>
    <w:p w14:paraId="73ED63AC" w14:textId="77777777" w:rsidR="009E2C87" w:rsidRDefault="009E2C87"/>
    <w:p w14:paraId="5F59EC67" w14:textId="77777777" w:rsidR="009E2C87" w:rsidRDefault="009E2C87"/>
    <w:p w14:paraId="7E81EA31" w14:textId="77777777" w:rsidR="009E2C87" w:rsidRDefault="009E2C87"/>
    <w:p w14:paraId="4C4ED293" w14:textId="77777777" w:rsidR="009E2C87" w:rsidRDefault="009E2C87"/>
    <w:p w14:paraId="6AE43469" w14:textId="77777777" w:rsidR="009E2C87" w:rsidRDefault="009E2C87"/>
    <w:p w14:paraId="6BA46C6B" w14:textId="77777777" w:rsidR="009E2C87" w:rsidRDefault="009E2C87"/>
    <w:p w14:paraId="3F2E6294" w14:textId="77777777" w:rsidR="009E2C87" w:rsidRDefault="009E2C87"/>
    <w:p w14:paraId="21EEA602" w14:textId="77777777" w:rsidR="009E2C87" w:rsidRDefault="009E2C87"/>
    <w:p w14:paraId="0EB8902A" w14:textId="77777777" w:rsidR="009E2C87" w:rsidRDefault="009E2C87"/>
    <w:p w14:paraId="065DB88E" w14:textId="77777777" w:rsidR="009E2C87" w:rsidRDefault="009E2C87"/>
    <w:p w14:paraId="7B531041" w14:textId="77777777" w:rsidR="009E2C87" w:rsidRDefault="009E2C87"/>
    <w:p w14:paraId="6A81514A" w14:textId="77777777" w:rsidR="009E2C87" w:rsidRDefault="009E2C87"/>
    <w:p w14:paraId="50B46A8E" w14:textId="77777777" w:rsidR="009E2C87" w:rsidRDefault="009E2C87"/>
    <w:p w14:paraId="058519B0" w14:textId="77777777" w:rsidR="00126C05" w:rsidRDefault="00126C05"/>
    <w:p w14:paraId="03BD4BB4" w14:textId="44816C70" w:rsidR="00126C05" w:rsidRPr="00A13050" w:rsidRDefault="00A13050" w:rsidP="00A13050">
      <w:pPr>
        <w:pStyle w:val="EU"/>
        <w:spacing w:line="360" w:lineRule="auto"/>
        <w:rPr>
          <w:color w:val="000000" w:themeColor="text1"/>
        </w:rPr>
      </w:pPr>
      <w:bookmarkStart w:id="0" w:name="_Toc200755605"/>
      <w:r w:rsidRPr="00A13050">
        <w:rPr>
          <w:color w:val="000000" w:themeColor="text1"/>
        </w:rPr>
        <w:t>Executive summary</w:t>
      </w:r>
      <w:bookmarkEnd w:id="0"/>
    </w:p>
    <w:p w14:paraId="006C3D58" w14:textId="5EFF671A" w:rsidR="00126C05" w:rsidRPr="00A13050" w:rsidRDefault="00A13050" w:rsidP="00A13050">
      <w:pPr>
        <w:spacing w:line="360" w:lineRule="auto"/>
        <w:jc w:val="both"/>
        <w:rPr>
          <w:rFonts w:ascii="Arial" w:hAnsi="Arial" w:cs="Arial"/>
          <w:sz w:val="24"/>
          <w:szCs w:val="24"/>
        </w:rPr>
      </w:pPr>
      <w:r w:rsidRPr="00A13050">
        <w:rPr>
          <w:rFonts w:ascii="Arial" w:hAnsi="Arial" w:cs="Arial"/>
          <w:sz w:val="24"/>
          <w:szCs w:val="24"/>
        </w:rPr>
        <w:t xml:space="preserve">The Novotel London Wembley is in a very popular area next to Wembley Stadium, and it makes a lot of money by hiking prices and overbooking rooms during big events. This study aimed to ascertain if the resultant benefits surpass the operational challenges induced by late cancellations and major technical failures. A single-case study methodology, augmented by twelve weeks of placement observation, internal occupancy and revenue metrics, and a systematic evaluation of recent internet visitor evaluations, yielded a comprehensive understanding of risk and performance. The hotel frequently fills up to 108 percent of its rooms, which means it gets more business but also has to pay for moving charges and harm to its image when guests who don't show up don't show up. </w:t>
      </w:r>
      <w:proofErr w:type="spellStart"/>
      <w:r w:rsidRPr="00A13050">
        <w:rPr>
          <w:rFonts w:ascii="Arial" w:hAnsi="Arial" w:cs="Arial"/>
          <w:sz w:val="24"/>
          <w:szCs w:val="24"/>
        </w:rPr>
        <w:t>Netnography</w:t>
      </w:r>
      <w:proofErr w:type="spellEnd"/>
      <w:r w:rsidRPr="00A13050">
        <w:rPr>
          <w:rFonts w:ascii="Arial" w:hAnsi="Arial" w:cs="Arial"/>
          <w:sz w:val="24"/>
          <w:szCs w:val="24"/>
        </w:rPr>
        <w:t xml:space="preserve"> showed that unfavourable reviews show up within hours when visitors have to wait in lengthy lines, their key cards don't work, or they have to move unexpectedly. These complaints immediately lower the property's review score and make it harder for it to raise its average daily rate. During the observation period, technology logs showed three cloud PMS breakdowns and repeated encoder problems. This shows that weak infrastructure makes queues longer at the exact times when overbooking is at its worst. When compared to Hilton, Holiday Inn, and Premier Inn, it was clear that competitors with more reliable systems get better guest reviews and may charge the same or more without losing goodwill. SWOT and PEST analysis showed that there are four strategic exposure zones: a lack of workers, compliance with carbon emissions, a danger to data privacy, and an influx of branded products. These are balanced by high brand equity, an event pipeline, and access to Accor's distribution network. The report suggests doing rid of the preset overbooking buffer and replacing it with a machine-learning model that uses real ticket data. It also suggests building redundant cloud infrastructure, paying for quarterly resilience courses for frontline personnel, and adding automatic compensation tools that pull current rival rates. Other important goals include updates that protect privacy by design, real-time carbon dashboards, co-working passes and fan packages that help the company grow, and a continuous-learning loop that converts every outage or service failure into new code and better standards. By making these modifications that are connected to each other, Novotel London Wembley can keep its £165 average daily rate, improve its review score, follow stricter rules, and keep a key portion of event-driven demand. The report also spoke about outside factors that make risk worse, such harsher labour laws after Brexit, higher salary ceilings, new standards for carbon disclosure, and stricter data protection restrictions for biometric check-in initiatives. The hotel can no longer rely on rate increases alone to keep its profits safe because of all of these factors. Instead, it has to make its cloud infrastructure more redundant, give its workers more freedom, make guest relocation rules clear, and publish verifiable sustainability dashboards from now on.</w:t>
      </w:r>
    </w:p>
    <w:p w14:paraId="0A36DA5F" w14:textId="77777777" w:rsidR="00126C05" w:rsidRDefault="00126C05"/>
    <w:p w14:paraId="1B4DF18B" w14:textId="77777777" w:rsidR="00126C05" w:rsidRDefault="00126C05"/>
    <w:p w14:paraId="3EB0F647" w14:textId="77777777" w:rsidR="00126C05" w:rsidRDefault="00126C05"/>
    <w:p w14:paraId="592F177C" w14:textId="77777777" w:rsidR="00126C05" w:rsidRDefault="00126C05"/>
    <w:p w14:paraId="16B8EEE9" w14:textId="77777777" w:rsidR="00126C05" w:rsidRDefault="00126C05"/>
    <w:p w14:paraId="7F2AAA60" w14:textId="77777777" w:rsidR="00126C05" w:rsidRDefault="00126C05"/>
    <w:p w14:paraId="3414F23C" w14:textId="77777777" w:rsidR="00126C05" w:rsidRDefault="00126C05"/>
    <w:p w14:paraId="1979379F" w14:textId="77777777" w:rsidR="00126C05" w:rsidRDefault="00126C05"/>
    <w:p w14:paraId="6CB8B279" w14:textId="77777777" w:rsidR="00126C05" w:rsidRDefault="00126C05"/>
    <w:p w14:paraId="18948CD2" w14:textId="77777777" w:rsidR="00126C05" w:rsidRDefault="00126C05"/>
    <w:p w14:paraId="7927A73C" w14:textId="77777777" w:rsidR="00126C05" w:rsidRDefault="00126C05"/>
    <w:p w14:paraId="36B504F5" w14:textId="77777777" w:rsidR="00126C05" w:rsidRDefault="00126C05"/>
    <w:p w14:paraId="67727FD7" w14:textId="77777777" w:rsidR="00126C05" w:rsidRDefault="00126C05"/>
    <w:p w14:paraId="319E8176" w14:textId="77777777" w:rsidR="00126C05" w:rsidRDefault="00126C05"/>
    <w:p w14:paraId="337C4C54" w14:textId="77777777" w:rsidR="00126C05" w:rsidRDefault="00126C05"/>
    <w:p w14:paraId="1D7B1E71" w14:textId="77777777" w:rsidR="00126C05" w:rsidRDefault="00126C05"/>
    <w:p w14:paraId="49E95BE2" w14:textId="77777777" w:rsidR="00126C05" w:rsidRDefault="00126C05"/>
    <w:p w14:paraId="21D1852C" w14:textId="77777777" w:rsidR="00126C05" w:rsidRDefault="00126C05"/>
    <w:p w14:paraId="4600AC06" w14:textId="77777777" w:rsidR="00126C05" w:rsidRDefault="00126C05"/>
    <w:p w14:paraId="408B7A75" w14:textId="77777777" w:rsidR="00126C05" w:rsidRDefault="00126C05"/>
    <w:p w14:paraId="248F2248" w14:textId="77777777" w:rsidR="00126C05" w:rsidRPr="00A13050" w:rsidRDefault="00126C05">
      <w:pPr>
        <w:rPr>
          <w:rFonts w:ascii="Arial" w:hAnsi="Arial" w:cs="Arial"/>
          <w:sz w:val="24"/>
          <w:szCs w:val="24"/>
        </w:rPr>
      </w:pPr>
    </w:p>
    <w:p w14:paraId="0806B0A1" w14:textId="77777777" w:rsidR="00126C05" w:rsidRDefault="00126C05"/>
    <w:p w14:paraId="4F62C8D7" w14:textId="77777777" w:rsidR="00A13050" w:rsidRDefault="00A13050"/>
    <w:p w14:paraId="7C766800" w14:textId="77777777" w:rsidR="00126C05" w:rsidRDefault="00126C05"/>
    <w:p w14:paraId="1A7BAE65" w14:textId="77777777" w:rsidR="00126C05" w:rsidRDefault="00126C05"/>
    <w:sdt>
      <w:sdtPr>
        <w:rPr>
          <w:rFonts w:asciiTheme="minorHAnsi" w:eastAsiaTheme="minorHAnsi" w:hAnsiTheme="minorHAnsi" w:cstheme="minorBidi"/>
          <w:color w:val="auto"/>
          <w:kern w:val="2"/>
          <w:sz w:val="22"/>
          <w:szCs w:val="22"/>
          <w:lang w:val="en-GB"/>
          <w14:ligatures w14:val="standardContextual"/>
        </w:rPr>
        <w:id w:val="687413760"/>
        <w:docPartObj>
          <w:docPartGallery w:val="Table of Contents"/>
          <w:docPartUnique/>
        </w:docPartObj>
      </w:sdtPr>
      <w:sdtEndPr>
        <w:rPr>
          <w:b/>
          <w:bCs/>
          <w:noProof/>
        </w:rPr>
      </w:sdtEndPr>
      <w:sdtContent>
        <w:p w14:paraId="4A0B1546" w14:textId="5B617138" w:rsidR="00A13050" w:rsidRPr="00A13050" w:rsidRDefault="00A13050">
          <w:pPr>
            <w:pStyle w:val="TOCHeading"/>
            <w:rPr>
              <w:rFonts w:ascii="Arial" w:hAnsi="Arial" w:cs="Arial"/>
              <w:sz w:val="28"/>
              <w:szCs w:val="28"/>
            </w:rPr>
          </w:pPr>
          <w:r w:rsidRPr="00A13050">
            <w:rPr>
              <w:rFonts w:ascii="Arial" w:hAnsi="Arial" w:cs="Arial"/>
              <w:sz w:val="28"/>
              <w:szCs w:val="28"/>
            </w:rPr>
            <w:t>Table of Contents</w:t>
          </w:r>
        </w:p>
        <w:p w14:paraId="3224446A" w14:textId="26021D97" w:rsidR="00A13050" w:rsidRPr="00A13050" w:rsidRDefault="00A13050">
          <w:pPr>
            <w:pStyle w:val="TOC1"/>
            <w:tabs>
              <w:tab w:val="right" w:leader="dot" w:pos="9016"/>
            </w:tabs>
            <w:rPr>
              <w:rFonts w:ascii="Arial" w:hAnsi="Arial" w:cs="Arial"/>
              <w:noProof/>
              <w:sz w:val="24"/>
              <w:szCs w:val="24"/>
            </w:rPr>
          </w:pPr>
          <w:r w:rsidRPr="00A13050">
            <w:rPr>
              <w:rFonts w:ascii="Arial" w:hAnsi="Arial" w:cs="Arial"/>
              <w:sz w:val="24"/>
              <w:szCs w:val="24"/>
            </w:rPr>
            <w:fldChar w:fldCharType="begin"/>
          </w:r>
          <w:r w:rsidRPr="00A13050">
            <w:rPr>
              <w:rFonts w:ascii="Arial" w:hAnsi="Arial" w:cs="Arial"/>
              <w:sz w:val="24"/>
              <w:szCs w:val="24"/>
            </w:rPr>
            <w:instrText xml:space="preserve"> TOC \o "1-3" \h \z \u </w:instrText>
          </w:r>
          <w:r w:rsidRPr="00A13050">
            <w:rPr>
              <w:rFonts w:ascii="Arial" w:hAnsi="Arial" w:cs="Arial"/>
              <w:sz w:val="24"/>
              <w:szCs w:val="24"/>
            </w:rPr>
            <w:fldChar w:fldCharType="separate"/>
          </w:r>
          <w:hyperlink w:anchor="_Toc200755605" w:history="1">
            <w:r w:rsidRPr="00A13050">
              <w:rPr>
                <w:rStyle w:val="Hyperlink"/>
                <w:rFonts w:ascii="Arial" w:hAnsi="Arial" w:cs="Arial"/>
                <w:noProof/>
                <w:sz w:val="24"/>
                <w:szCs w:val="24"/>
              </w:rPr>
              <w:t>Executive summary</w:t>
            </w:r>
            <w:r w:rsidRPr="00A13050">
              <w:rPr>
                <w:rFonts w:ascii="Arial" w:hAnsi="Arial" w:cs="Arial"/>
                <w:noProof/>
                <w:webHidden/>
                <w:sz w:val="24"/>
                <w:szCs w:val="24"/>
              </w:rPr>
              <w:tab/>
            </w:r>
            <w:r w:rsidRPr="00A13050">
              <w:rPr>
                <w:rFonts w:ascii="Arial" w:hAnsi="Arial" w:cs="Arial"/>
                <w:noProof/>
                <w:webHidden/>
                <w:sz w:val="24"/>
                <w:szCs w:val="24"/>
              </w:rPr>
              <w:fldChar w:fldCharType="begin"/>
            </w:r>
            <w:r w:rsidRPr="00A13050">
              <w:rPr>
                <w:rFonts w:ascii="Arial" w:hAnsi="Arial" w:cs="Arial"/>
                <w:noProof/>
                <w:webHidden/>
                <w:sz w:val="24"/>
                <w:szCs w:val="24"/>
              </w:rPr>
              <w:instrText xml:space="preserve"> PAGEREF _Toc200755605 \h </w:instrText>
            </w:r>
            <w:r w:rsidRPr="00A13050">
              <w:rPr>
                <w:rFonts w:ascii="Arial" w:hAnsi="Arial" w:cs="Arial"/>
                <w:noProof/>
                <w:webHidden/>
                <w:sz w:val="24"/>
                <w:szCs w:val="24"/>
              </w:rPr>
            </w:r>
            <w:r w:rsidRPr="00A13050">
              <w:rPr>
                <w:rFonts w:ascii="Arial" w:hAnsi="Arial" w:cs="Arial"/>
                <w:noProof/>
                <w:webHidden/>
                <w:sz w:val="24"/>
                <w:szCs w:val="24"/>
              </w:rPr>
              <w:fldChar w:fldCharType="separate"/>
            </w:r>
            <w:r w:rsidR="009E2C87">
              <w:rPr>
                <w:rFonts w:ascii="Arial" w:hAnsi="Arial" w:cs="Arial"/>
                <w:noProof/>
                <w:webHidden/>
                <w:sz w:val="24"/>
                <w:szCs w:val="24"/>
              </w:rPr>
              <w:t>3</w:t>
            </w:r>
            <w:r w:rsidRPr="00A13050">
              <w:rPr>
                <w:rFonts w:ascii="Arial" w:hAnsi="Arial" w:cs="Arial"/>
                <w:noProof/>
                <w:webHidden/>
                <w:sz w:val="24"/>
                <w:szCs w:val="24"/>
              </w:rPr>
              <w:fldChar w:fldCharType="end"/>
            </w:r>
          </w:hyperlink>
        </w:p>
        <w:p w14:paraId="3461584C" w14:textId="41788088" w:rsidR="00A13050" w:rsidRPr="00A13050" w:rsidRDefault="00000000">
          <w:pPr>
            <w:pStyle w:val="TOC1"/>
            <w:tabs>
              <w:tab w:val="left" w:pos="480"/>
              <w:tab w:val="right" w:leader="dot" w:pos="9016"/>
            </w:tabs>
            <w:rPr>
              <w:rFonts w:ascii="Arial" w:hAnsi="Arial" w:cs="Arial"/>
              <w:noProof/>
              <w:sz w:val="24"/>
              <w:szCs w:val="24"/>
            </w:rPr>
          </w:pPr>
          <w:hyperlink w:anchor="_Toc200755606" w:history="1">
            <w:r w:rsidR="00A13050" w:rsidRPr="00A13050">
              <w:rPr>
                <w:rStyle w:val="Hyperlink"/>
                <w:rFonts w:ascii="Arial" w:hAnsi="Arial" w:cs="Arial"/>
                <w:noProof/>
                <w:sz w:val="24"/>
                <w:szCs w:val="24"/>
              </w:rPr>
              <w:t>1.</w:t>
            </w:r>
            <w:r w:rsidR="00A13050" w:rsidRPr="00A13050">
              <w:rPr>
                <w:rFonts w:ascii="Arial" w:hAnsi="Arial" w:cs="Arial"/>
                <w:noProof/>
                <w:sz w:val="24"/>
                <w:szCs w:val="24"/>
              </w:rPr>
              <w:tab/>
            </w:r>
            <w:r w:rsidR="00A13050" w:rsidRPr="00A13050">
              <w:rPr>
                <w:rStyle w:val="Hyperlink"/>
                <w:rFonts w:ascii="Arial" w:hAnsi="Arial" w:cs="Arial"/>
                <w:noProof/>
                <w:sz w:val="24"/>
                <w:szCs w:val="24"/>
              </w:rPr>
              <w:t>Introduction</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_Toc200755606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6</w:t>
            </w:r>
            <w:r w:rsidR="00A13050" w:rsidRPr="00A13050">
              <w:rPr>
                <w:rFonts w:ascii="Arial" w:hAnsi="Arial" w:cs="Arial"/>
                <w:noProof/>
                <w:webHidden/>
                <w:sz w:val="24"/>
                <w:szCs w:val="24"/>
              </w:rPr>
              <w:fldChar w:fldCharType="end"/>
            </w:r>
          </w:hyperlink>
        </w:p>
        <w:p w14:paraId="15852185" w14:textId="4243BA5A" w:rsidR="00A13050" w:rsidRPr="00A13050" w:rsidRDefault="00000000">
          <w:pPr>
            <w:pStyle w:val="TOC1"/>
            <w:tabs>
              <w:tab w:val="left" w:pos="480"/>
              <w:tab w:val="right" w:leader="dot" w:pos="9016"/>
            </w:tabs>
            <w:rPr>
              <w:rFonts w:ascii="Arial" w:hAnsi="Arial" w:cs="Arial"/>
              <w:noProof/>
              <w:sz w:val="24"/>
              <w:szCs w:val="24"/>
            </w:rPr>
          </w:pPr>
          <w:hyperlink w:anchor="_Toc200755607" w:history="1">
            <w:r w:rsidR="00A13050" w:rsidRPr="00A13050">
              <w:rPr>
                <w:rStyle w:val="Hyperlink"/>
                <w:rFonts w:ascii="Arial" w:hAnsi="Arial" w:cs="Arial"/>
                <w:noProof/>
                <w:sz w:val="24"/>
                <w:szCs w:val="24"/>
              </w:rPr>
              <w:t>2.</w:t>
            </w:r>
            <w:r w:rsidR="00A13050" w:rsidRPr="00A13050">
              <w:rPr>
                <w:rFonts w:ascii="Arial" w:hAnsi="Arial" w:cs="Arial"/>
                <w:noProof/>
                <w:sz w:val="24"/>
                <w:szCs w:val="24"/>
              </w:rPr>
              <w:tab/>
            </w:r>
            <w:r w:rsidR="00A13050" w:rsidRPr="00A13050">
              <w:rPr>
                <w:rStyle w:val="Hyperlink"/>
                <w:rFonts w:ascii="Arial" w:hAnsi="Arial" w:cs="Arial"/>
                <w:noProof/>
                <w:sz w:val="24"/>
                <w:szCs w:val="24"/>
              </w:rPr>
              <w:t>Literature Review</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_Toc200755607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7</w:t>
            </w:r>
            <w:r w:rsidR="00A13050" w:rsidRPr="00A13050">
              <w:rPr>
                <w:rFonts w:ascii="Arial" w:hAnsi="Arial" w:cs="Arial"/>
                <w:noProof/>
                <w:webHidden/>
                <w:sz w:val="24"/>
                <w:szCs w:val="24"/>
              </w:rPr>
              <w:fldChar w:fldCharType="end"/>
            </w:r>
          </w:hyperlink>
        </w:p>
        <w:p w14:paraId="2F63B0DA" w14:textId="2BA4CE0B" w:rsidR="00A13050" w:rsidRPr="00A13050" w:rsidRDefault="00000000">
          <w:pPr>
            <w:pStyle w:val="TOC1"/>
            <w:tabs>
              <w:tab w:val="left" w:pos="480"/>
              <w:tab w:val="right" w:leader="dot" w:pos="9016"/>
            </w:tabs>
            <w:rPr>
              <w:rFonts w:ascii="Arial" w:hAnsi="Arial" w:cs="Arial"/>
              <w:noProof/>
              <w:sz w:val="24"/>
              <w:szCs w:val="24"/>
            </w:rPr>
          </w:pPr>
          <w:hyperlink w:anchor="_Toc200755608" w:history="1">
            <w:r w:rsidR="00A13050" w:rsidRPr="00A13050">
              <w:rPr>
                <w:rStyle w:val="Hyperlink"/>
                <w:rFonts w:ascii="Arial" w:hAnsi="Arial" w:cs="Arial"/>
                <w:noProof/>
                <w:sz w:val="24"/>
                <w:szCs w:val="24"/>
              </w:rPr>
              <w:t>3.</w:t>
            </w:r>
            <w:r w:rsidR="00A13050" w:rsidRPr="00A13050">
              <w:rPr>
                <w:rFonts w:ascii="Arial" w:hAnsi="Arial" w:cs="Arial"/>
                <w:noProof/>
                <w:sz w:val="24"/>
                <w:szCs w:val="24"/>
              </w:rPr>
              <w:tab/>
            </w:r>
            <w:r w:rsidR="00A13050" w:rsidRPr="00A13050">
              <w:rPr>
                <w:rStyle w:val="Hyperlink"/>
                <w:rFonts w:ascii="Arial" w:hAnsi="Arial" w:cs="Arial"/>
                <w:noProof/>
                <w:sz w:val="24"/>
                <w:szCs w:val="24"/>
              </w:rPr>
              <w:t>Methods</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_Toc200755608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10</w:t>
            </w:r>
            <w:r w:rsidR="00A13050" w:rsidRPr="00A13050">
              <w:rPr>
                <w:rFonts w:ascii="Arial" w:hAnsi="Arial" w:cs="Arial"/>
                <w:noProof/>
                <w:webHidden/>
                <w:sz w:val="24"/>
                <w:szCs w:val="24"/>
              </w:rPr>
              <w:fldChar w:fldCharType="end"/>
            </w:r>
          </w:hyperlink>
        </w:p>
        <w:p w14:paraId="1E846441" w14:textId="380ECCB1" w:rsidR="00A13050" w:rsidRPr="00A13050" w:rsidRDefault="00000000">
          <w:pPr>
            <w:pStyle w:val="TOC1"/>
            <w:tabs>
              <w:tab w:val="left" w:pos="480"/>
              <w:tab w:val="right" w:leader="dot" w:pos="9016"/>
            </w:tabs>
            <w:rPr>
              <w:rFonts w:ascii="Arial" w:hAnsi="Arial" w:cs="Arial"/>
              <w:noProof/>
              <w:sz w:val="24"/>
              <w:szCs w:val="24"/>
            </w:rPr>
          </w:pPr>
          <w:hyperlink w:anchor="_Toc200755609" w:history="1">
            <w:r w:rsidR="00A13050" w:rsidRPr="00A13050">
              <w:rPr>
                <w:rStyle w:val="Hyperlink"/>
                <w:rFonts w:ascii="Arial" w:hAnsi="Arial" w:cs="Arial"/>
                <w:noProof/>
                <w:sz w:val="24"/>
                <w:szCs w:val="24"/>
              </w:rPr>
              <w:t>4.</w:t>
            </w:r>
            <w:r w:rsidR="00A13050" w:rsidRPr="00A13050">
              <w:rPr>
                <w:rFonts w:ascii="Arial" w:hAnsi="Arial" w:cs="Arial"/>
                <w:noProof/>
                <w:sz w:val="24"/>
                <w:szCs w:val="24"/>
              </w:rPr>
              <w:tab/>
            </w:r>
            <w:r w:rsidR="00A13050" w:rsidRPr="00A13050">
              <w:rPr>
                <w:rStyle w:val="Hyperlink"/>
                <w:rFonts w:ascii="Arial" w:hAnsi="Arial" w:cs="Arial"/>
                <w:noProof/>
                <w:sz w:val="24"/>
                <w:szCs w:val="24"/>
              </w:rPr>
              <w:t>Hotel Overview and Findings</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_Toc200755609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12</w:t>
            </w:r>
            <w:r w:rsidR="00A13050" w:rsidRPr="00A13050">
              <w:rPr>
                <w:rFonts w:ascii="Arial" w:hAnsi="Arial" w:cs="Arial"/>
                <w:noProof/>
                <w:webHidden/>
                <w:sz w:val="24"/>
                <w:szCs w:val="24"/>
              </w:rPr>
              <w:fldChar w:fldCharType="end"/>
            </w:r>
          </w:hyperlink>
        </w:p>
        <w:p w14:paraId="5806C8E9" w14:textId="7416CB8B" w:rsidR="00A13050" w:rsidRPr="00A13050" w:rsidRDefault="00000000">
          <w:pPr>
            <w:pStyle w:val="TOC1"/>
            <w:tabs>
              <w:tab w:val="left" w:pos="480"/>
              <w:tab w:val="right" w:leader="dot" w:pos="9016"/>
            </w:tabs>
            <w:rPr>
              <w:rFonts w:ascii="Arial" w:hAnsi="Arial" w:cs="Arial"/>
              <w:noProof/>
              <w:sz w:val="24"/>
              <w:szCs w:val="24"/>
            </w:rPr>
          </w:pPr>
          <w:hyperlink w:anchor="_Toc200755610" w:history="1">
            <w:r w:rsidR="00A13050" w:rsidRPr="00A13050">
              <w:rPr>
                <w:rStyle w:val="Hyperlink"/>
                <w:rFonts w:ascii="Arial" w:hAnsi="Arial" w:cs="Arial"/>
                <w:noProof/>
                <w:sz w:val="24"/>
                <w:szCs w:val="24"/>
              </w:rPr>
              <w:t>5.</w:t>
            </w:r>
            <w:r w:rsidR="00A13050" w:rsidRPr="00A13050">
              <w:rPr>
                <w:rFonts w:ascii="Arial" w:hAnsi="Arial" w:cs="Arial"/>
                <w:noProof/>
                <w:sz w:val="24"/>
                <w:szCs w:val="24"/>
              </w:rPr>
              <w:tab/>
            </w:r>
            <w:r w:rsidR="00A13050" w:rsidRPr="00A13050">
              <w:rPr>
                <w:rStyle w:val="Hyperlink"/>
                <w:rFonts w:ascii="Arial" w:hAnsi="Arial" w:cs="Arial"/>
                <w:noProof/>
                <w:sz w:val="24"/>
                <w:szCs w:val="24"/>
              </w:rPr>
              <w:t>Discussion</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_Toc200755610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19</w:t>
            </w:r>
            <w:r w:rsidR="00A13050" w:rsidRPr="00A13050">
              <w:rPr>
                <w:rFonts w:ascii="Arial" w:hAnsi="Arial" w:cs="Arial"/>
                <w:noProof/>
                <w:webHidden/>
                <w:sz w:val="24"/>
                <w:szCs w:val="24"/>
              </w:rPr>
              <w:fldChar w:fldCharType="end"/>
            </w:r>
          </w:hyperlink>
        </w:p>
        <w:p w14:paraId="17566E6F" w14:textId="669D7A97" w:rsidR="00A13050" w:rsidRPr="00A13050" w:rsidRDefault="00000000">
          <w:pPr>
            <w:pStyle w:val="TOC1"/>
            <w:tabs>
              <w:tab w:val="left" w:pos="480"/>
              <w:tab w:val="right" w:leader="dot" w:pos="9016"/>
            </w:tabs>
            <w:rPr>
              <w:rFonts w:ascii="Arial" w:hAnsi="Arial" w:cs="Arial"/>
              <w:noProof/>
              <w:sz w:val="24"/>
              <w:szCs w:val="24"/>
            </w:rPr>
          </w:pPr>
          <w:hyperlink w:anchor="_Toc200755611" w:history="1">
            <w:r w:rsidR="00A13050" w:rsidRPr="00A13050">
              <w:rPr>
                <w:rStyle w:val="Hyperlink"/>
                <w:rFonts w:ascii="Arial" w:hAnsi="Arial" w:cs="Arial"/>
                <w:noProof/>
                <w:sz w:val="24"/>
                <w:szCs w:val="24"/>
              </w:rPr>
              <w:t>6.</w:t>
            </w:r>
            <w:r w:rsidR="00A13050" w:rsidRPr="00A13050">
              <w:rPr>
                <w:rFonts w:ascii="Arial" w:hAnsi="Arial" w:cs="Arial"/>
                <w:noProof/>
                <w:sz w:val="24"/>
                <w:szCs w:val="24"/>
              </w:rPr>
              <w:tab/>
            </w:r>
            <w:r w:rsidR="00A13050" w:rsidRPr="00A13050">
              <w:rPr>
                <w:rStyle w:val="Hyperlink"/>
                <w:rFonts w:ascii="Arial" w:hAnsi="Arial" w:cs="Arial"/>
                <w:noProof/>
                <w:sz w:val="24"/>
                <w:szCs w:val="24"/>
              </w:rPr>
              <w:t>Conclusion and recommendations</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_Toc200755611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25</w:t>
            </w:r>
            <w:r w:rsidR="00A13050" w:rsidRPr="00A13050">
              <w:rPr>
                <w:rFonts w:ascii="Arial" w:hAnsi="Arial" w:cs="Arial"/>
                <w:noProof/>
                <w:webHidden/>
                <w:sz w:val="24"/>
                <w:szCs w:val="24"/>
              </w:rPr>
              <w:fldChar w:fldCharType="end"/>
            </w:r>
          </w:hyperlink>
        </w:p>
        <w:p w14:paraId="69D75F5B" w14:textId="1630F697" w:rsidR="00A13050" w:rsidRPr="00A13050" w:rsidRDefault="00000000">
          <w:pPr>
            <w:pStyle w:val="TOC1"/>
            <w:tabs>
              <w:tab w:val="right" w:leader="dot" w:pos="9016"/>
            </w:tabs>
            <w:rPr>
              <w:rFonts w:ascii="Arial" w:hAnsi="Arial" w:cs="Arial"/>
              <w:noProof/>
              <w:sz w:val="24"/>
              <w:szCs w:val="24"/>
            </w:rPr>
          </w:pPr>
          <w:hyperlink w:anchor="_Toc200755612" w:history="1">
            <w:r w:rsidR="00A13050" w:rsidRPr="00A13050">
              <w:rPr>
                <w:rStyle w:val="Hyperlink"/>
                <w:rFonts w:ascii="Arial" w:hAnsi="Arial" w:cs="Arial"/>
                <w:noProof/>
                <w:sz w:val="24"/>
                <w:szCs w:val="24"/>
              </w:rPr>
              <w:t>References</w:t>
            </w:r>
            <w:r w:rsidR="00A13050" w:rsidRPr="00A13050">
              <w:rPr>
                <w:rFonts w:ascii="Arial" w:hAnsi="Arial" w:cs="Arial"/>
                <w:noProof/>
                <w:webHidden/>
                <w:sz w:val="24"/>
                <w:szCs w:val="24"/>
              </w:rPr>
              <w:tab/>
            </w:r>
            <w:r w:rsidR="00A13050" w:rsidRPr="00A13050">
              <w:rPr>
                <w:rFonts w:ascii="Arial" w:hAnsi="Arial" w:cs="Arial"/>
                <w:noProof/>
                <w:webHidden/>
                <w:sz w:val="24"/>
                <w:szCs w:val="24"/>
              </w:rPr>
              <w:fldChar w:fldCharType="begin"/>
            </w:r>
            <w:r w:rsidR="00A13050" w:rsidRPr="00A13050">
              <w:rPr>
                <w:rFonts w:ascii="Arial" w:hAnsi="Arial" w:cs="Arial"/>
                <w:noProof/>
                <w:webHidden/>
                <w:sz w:val="24"/>
                <w:szCs w:val="24"/>
              </w:rPr>
              <w:instrText xml:space="preserve"> PAGEREF _Toc200755612 \h </w:instrText>
            </w:r>
            <w:r w:rsidR="00A13050" w:rsidRPr="00A13050">
              <w:rPr>
                <w:rFonts w:ascii="Arial" w:hAnsi="Arial" w:cs="Arial"/>
                <w:noProof/>
                <w:webHidden/>
                <w:sz w:val="24"/>
                <w:szCs w:val="24"/>
              </w:rPr>
            </w:r>
            <w:r w:rsidR="00A13050" w:rsidRPr="00A13050">
              <w:rPr>
                <w:rFonts w:ascii="Arial" w:hAnsi="Arial" w:cs="Arial"/>
                <w:noProof/>
                <w:webHidden/>
                <w:sz w:val="24"/>
                <w:szCs w:val="24"/>
              </w:rPr>
              <w:fldChar w:fldCharType="separate"/>
            </w:r>
            <w:r w:rsidR="009E2C87">
              <w:rPr>
                <w:rFonts w:ascii="Arial" w:hAnsi="Arial" w:cs="Arial"/>
                <w:noProof/>
                <w:webHidden/>
                <w:sz w:val="24"/>
                <w:szCs w:val="24"/>
              </w:rPr>
              <w:t>28</w:t>
            </w:r>
            <w:r w:rsidR="00A13050" w:rsidRPr="00A13050">
              <w:rPr>
                <w:rFonts w:ascii="Arial" w:hAnsi="Arial" w:cs="Arial"/>
                <w:noProof/>
                <w:webHidden/>
                <w:sz w:val="24"/>
                <w:szCs w:val="24"/>
              </w:rPr>
              <w:fldChar w:fldCharType="end"/>
            </w:r>
          </w:hyperlink>
        </w:p>
        <w:p w14:paraId="263BFD84" w14:textId="20A7AB40" w:rsidR="00A13050" w:rsidRDefault="00A13050">
          <w:r w:rsidRPr="00A13050">
            <w:rPr>
              <w:rFonts w:ascii="Arial" w:hAnsi="Arial" w:cs="Arial"/>
              <w:b/>
              <w:bCs/>
              <w:noProof/>
              <w:sz w:val="24"/>
              <w:szCs w:val="24"/>
            </w:rPr>
            <w:fldChar w:fldCharType="end"/>
          </w:r>
        </w:p>
      </w:sdtContent>
    </w:sdt>
    <w:p w14:paraId="06821163" w14:textId="77777777" w:rsidR="00126C05" w:rsidRDefault="00126C05"/>
    <w:p w14:paraId="5B49486C" w14:textId="77777777" w:rsidR="00126C05" w:rsidRDefault="00126C05"/>
    <w:p w14:paraId="42E5949A" w14:textId="77777777" w:rsidR="00126C05" w:rsidRDefault="00126C05"/>
    <w:p w14:paraId="3A253DA3" w14:textId="77777777" w:rsidR="00126C05" w:rsidRDefault="00126C05"/>
    <w:p w14:paraId="25AC3A51" w14:textId="77777777" w:rsidR="00126C05" w:rsidRDefault="00126C05"/>
    <w:p w14:paraId="2529EA67" w14:textId="77777777" w:rsidR="00126C05" w:rsidRDefault="00126C05"/>
    <w:p w14:paraId="574C34CB" w14:textId="77777777" w:rsidR="00126C05" w:rsidRDefault="00126C05"/>
    <w:p w14:paraId="00DEDF52" w14:textId="77777777" w:rsidR="00126C05" w:rsidRDefault="00126C05"/>
    <w:p w14:paraId="444A7783" w14:textId="77777777" w:rsidR="00126C05" w:rsidRDefault="00126C05"/>
    <w:p w14:paraId="2B03D325" w14:textId="77777777" w:rsidR="00126C05" w:rsidRDefault="00126C05"/>
    <w:p w14:paraId="302D479B" w14:textId="77777777" w:rsidR="00126C05" w:rsidRDefault="00126C05"/>
    <w:p w14:paraId="0CA78046" w14:textId="77777777" w:rsidR="00126C05" w:rsidRDefault="00126C05"/>
    <w:p w14:paraId="7BC85112" w14:textId="77777777" w:rsidR="00126C05" w:rsidRDefault="00126C05"/>
    <w:p w14:paraId="48AAFEC5" w14:textId="77777777" w:rsidR="00126C05" w:rsidRDefault="00126C05"/>
    <w:p w14:paraId="0FB60BBA" w14:textId="77777777" w:rsidR="00126C05" w:rsidRDefault="00126C05"/>
    <w:p w14:paraId="6FA3086B" w14:textId="77777777" w:rsidR="00126C05" w:rsidRDefault="00126C05"/>
    <w:p w14:paraId="3BE48560" w14:textId="77777777" w:rsidR="00126C05" w:rsidRDefault="00126C05"/>
    <w:p w14:paraId="7822052C" w14:textId="77777777" w:rsidR="00126C05" w:rsidRDefault="00126C05"/>
    <w:p w14:paraId="057C845D" w14:textId="77777777" w:rsidR="00126C05" w:rsidRDefault="00126C05"/>
    <w:p w14:paraId="1F72DF6C" w14:textId="77777777" w:rsidR="00126C05" w:rsidRDefault="00126C05"/>
    <w:p w14:paraId="1EDB2ABB" w14:textId="77777777" w:rsidR="00126C05" w:rsidRDefault="00126C05"/>
    <w:p w14:paraId="6FCBD0E9" w14:textId="77777777" w:rsidR="00126C05" w:rsidRDefault="00126C05"/>
    <w:p w14:paraId="70E85E8C" w14:textId="23A5B5EF" w:rsidR="00126C05" w:rsidRPr="00126C05" w:rsidRDefault="00126C05" w:rsidP="00126C05">
      <w:pPr>
        <w:pStyle w:val="EU"/>
        <w:numPr>
          <w:ilvl w:val="0"/>
          <w:numId w:val="1"/>
        </w:numPr>
        <w:spacing w:line="360" w:lineRule="auto"/>
        <w:rPr>
          <w:color w:val="000000" w:themeColor="text1"/>
        </w:rPr>
      </w:pPr>
      <w:bookmarkStart w:id="1" w:name="_Toc200755606"/>
      <w:r w:rsidRPr="00126C05">
        <w:rPr>
          <w:color w:val="000000" w:themeColor="text1"/>
        </w:rPr>
        <w:t>Introduction</w:t>
      </w:r>
      <w:bookmarkEnd w:id="1"/>
      <w:r w:rsidRPr="00126C05">
        <w:rPr>
          <w:color w:val="000000" w:themeColor="text1"/>
        </w:rPr>
        <w:t xml:space="preserve"> </w:t>
      </w:r>
    </w:p>
    <w:p w14:paraId="28829C83" w14:textId="3DB91030" w:rsidR="00126C05" w:rsidRPr="00126C05" w:rsidRDefault="00126C05" w:rsidP="00126C05">
      <w:pPr>
        <w:spacing w:line="360" w:lineRule="auto"/>
        <w:jc w:val="both"/>
        <w:rPr>
          <w:rFonts w:ascii="Arial" w:hAnsi="Arial" w:cs="Arial"/>
          <w:color w:val="000000" w:themeColor="text1"/>
          <w:sz w:val="24"/>
          <w:szCs w:val="24"/>
          <w:lang w:eastAsia="en-GB"/>
        </w:rPr>
      </w:pPr>
      <w:r w:rsidRPr="00126C05">
        <w:rPr>
          <w:rFonts w:ascii="Arial" w:hAnsi="Arial" w:cs="Arial"/>
          <w:color w:val="000000" w:themeColor="text1"/>
          <w:sz w:val="24"/>
          <w:szCs w:val="24"/>
          <w:lang w:eastAsia="en-GB"/>
        </w:rPr>
        <w:t xml:space="preserve">The Novotel London Wembley property stands at 5 Olympic Way in north-west London near Wembley Stadium and Wembley Arena offering 235 guest rooms along with meeting spaces and dining options for corporate and event attendees (Brotherton and Wood, 2014). The hotel belongs to Accor’s four-star Novotel brand and experiences high visitor numbers during football matches, concerts and exhibitions leading to significant occupancy variation (Lockyer and Wood, 2019). Fluctuating demand patterns force this hotel to evaluate its revenue-management protocols and operational procedures by studying how its overbooking methods and technology systems influence service quality and guest contentment. The practice of overbooking involves hotels accepting more reservations than their available room capacity because they need to balance potential no-shows and cancellations (Jones, 2013). Research in the UK indicates urban hotels often maintain overbooking buffers for five to ten per cent of their available rooms to balance occupancy goals with the risk of forced guest removal when arrivals surpass room availability (Kimes and Wirtz, 2012). Frontline hotel employees find overbooking problematic because they have to balance the need for occupancy with providing excellent service while seeing advanced guest communication and meaningful compensation as essential to preserving host–guest relationships (Haynes and Egan, 2020). Bad overbooking management creates relocation expenses and compensation payments and generates negative online reviews that both damage brand reputation and decrease long-term customer loyalty (O’Neill and Mattila, 2010). Contemporary hotel operations require dependable technology ecosystems that include property management systems, electronic key-card readers, point-of-sale terminals and online distribution channels (Law, Leung and </w:t>
      </w:r>
      <w:proofErr w:type="spellStart"/>
      <w:r w:rsidRPr="00126C05">
        <w:rPr>
          <w:rFonts w:ascii="Arial" w:hAnsi="Arial" w:cs="Arial"/>
          <w:color w:val="000000" w:themeColor="text1"/>
          <w:sz w:val="24"/>
          <w:szCs w:val="24"/>
          <w:lang w:eastAsia="en-GB"/>
        </w:rPr>
        <w:t>Buhalis</w:t>
      </w:r>
      <w:proofErr w:type="spellEnd"/>
      <w:r w:rsidRPr="00126C05">
        <w:rPr>
          <w:rFonts w:ascii="Arial" w:hAnsi="Arial" w:cs="Arial"/>
          <w:color w:val="000000" w:themeColor="text1"/>
          <w:sz w:val="24"/>
          <w:szCs w:val="24"/>
          <w:lang w:eastAsia="en-GB"/>
        </w:rPr>
        <w:t xml:space="preserve">, 2014). Novotel London Wembley faces operational issues from unpredictable reservation-system breakdowns and elevator-access reader malfunctions that increase check-in wait times and generate guest complaints (Barros and </w:t>
      </w:r>
      <w:proofErr w:type="spellStart"/>
      <w:r w:rsidRPr="00126C05">
        <w:rPr>
          <w:rFonts w:ascii="Arial" w:hAnsi="Arial" w:cs="Arial"/>
          <w:color w:val="000000" w:themeColor="text1"/>
          <w:sz w:val="24"/>
          <w:szCs w:val="24"/>
          <w:lang w:eastAsia="en-GB"/>
        </w:rPr>
        <w:t>Boaventura</w:t>
      </w:r>
      <w:proofErr w:type="spellEnd"/>
      <w:r w:rsidRPr="00126C05">
        <w:rPr>
          <w:rFonts w:ascii="Arial" w:hAnsi="Arial" w:cs="Arial"/>
          <w:color w:val="000000" w:themeColor="text1"/>
          <w:sz w:val="24"/>
          <w:szCs w:val="24"/>
          <w:lang w:eastAsia="en-GB"/>
        </w:rPr>
        <w:t>, 2015). A fifteen per cent reduction in housekeeping productivity occurs during technology downtime at UK hotels which results in delayed room readiness and worsens overbooking pressures along with operational bottlenecks (</w:t>
      </w:r>
      <w:proofErr w:type="spellStart"/>
      <w:r w:rsidRPr="00126C05">
        <w:rPr>
          <w:rFonts w:ascii="Arial" w:hAnsi="Arial" w:cs="Arial"/>
          <w:color w:val="000000" w:themeColor="text1"/>
          <w:sz w:val="24"/>
          <w:szCs w:val="24"/>
          <w:lang w:eastAsia="en-GB"/>
        </w:rPr>
        <w:t>Pantouvakis</w:t>
      </w:r>
      <w:proofErr w:type="spellEnd"/>
      <w:r w:rsidRPr="00126C05">
        <w:rPr>
          <w:rFonts w:ascii="Arial" w:hAnsi="Arial" w:cs="Arial"/>
          <w:color w:val="000000" w:themeColor="text1"/>
          <w:sz w:val="24"/>
          <w:szCs w:val="24"/>
          <w:lang w:eastAsia="en-GB"/>
        </w:rPr>
        <w:t xml:space="preserve"> and </w:t>
      </w:r>
      <w:proofErr w:type="spellStart"/>
      <w:r w:rsidRPr="00126C05">
        <w:rPr>
          <w:rFonts w:ascii="Arial" w:hAnsi="Arial" w:cs="Arial"/>
          <w:color w:val="000000" w:themeColor="text1"/>
          <w:sz w:val="24"/>
          <w:szCs w:val="24"/>
          <w:lang w:eastAsia="en-GB"/>
        </w:rPr>
        <w:t>Bouranta</w:t>
      </w:r>
      <w:proofErr w:type="spellEnd"/>
      <w:r w:rsidRPr="00126C05">
        <w:rPr>
          <w:rFonts w:ascii="Arial" w:hAnsi="Arial" w:cs="Arial"/>
          <w:color w:val="000000" w:themeColor="text1"/>
          <w:sz w:val="24"/>
          <w:szCs w:val="24"/>
          <w:lang w:eastAsia="en-GB"/>
        </w:rPr>
        <w:t xml:space="preserve">, 2016). This research investigates Novotel London Wembley's methods for handling overbooking and technology issues while developing strategies to improve resilience and service efficiency </w:t>
      </w:r>
      <w:proofErr w:type="spellStart"/>
      <w:r w:rsidRPr="00126C05">
        <w:rPr>
          <w:rFonts w:ascii="Arial" w:hAnsi="Arial" w:cs="Arial"/>
          <w:color w:val="000000" w:themeColor="text1"/>
          <w:sz w:val="24"/>
          <w:szCs w:val="24"/>
          <w:lang w:eastAsia="en-GB"/>
        </w:rPr>
        <w:t>centered</w:t>
      </w:r>
      <w:proofErr w:type="spellEnd"/>
      <w:r w:rsidRPr="00126C05">
        <w:rPr>
          <w:rFonts w:ascii="Arial" w:hAnsi="Arial" w:cs="Arial"/>
          <w:color w:val="000000" w:themeColor="text1"/>
          <w:sz w:val="24"/>
          <w:szCs w:val="24"/>
          <w:lang w:eastAsia="en-GB"/>
        </w:rPr>
        <w:t xml:space="preserve"> around guest needs. This investigation uses single-case study methodology by merging </w:t>
      </w:r>
      <w:proofErr w:type="spellStart"/>
      <w:r w:rsidRPr="00126C05">
        <w:rPr>
          <w:rFonts w:ascii="Arial" w:hAnsi="Arial" w:cs="Arial"/>
          <w:color w:val="000000" w:themeColor="text1"/>
          <w:sz w:val="24"/>
          <w:szCs w:val="24"/>
          <w:lang w:eastAsia="en-GB"/>
        </w:rPr>
        <w:t>netnography</w:t>
      </w:r>
      <w:proofErr w:type="spellEnd"/>
      <w:r w:rsidRPr="00126C05">
        <w:rPr>
          <w:rFonts w:ascii="Arial" w:hAnsi="Arial" w:cs="Arial"/>
          <w:color w:val="000000" w:themeColor="text1"/>
          <w:sz w:val="24"/>
          <w:szCs w:val="24"/>
          <w:lang w:eastAsia="en-GB"/>
        </w:rPr>
        <w:t xml:space="preserve"> of UK guest feedback with proprietary occupancy and service data analysis and reflective observations from two months in hotel placement.</w:t>
      </w:r>
    </w:p>
    <w:p w14:paraId="643B62CB" w14:textId="77777777" w:rsidR="00126C05" w:rsidRPr="00126C05" w:rsidRDefault="00126C05" w:rsidP="00126C05">
      <w:pPr>
        <w:spacing w:line="360" w:lineRule="auto"/>
        <w:jc w:val="both"/>
        <w:rPr>
          <w:rFonts w:ascii="Arial" w:hAnsi="Arial" w:cs="Arial"/>
          <w:color w:val="000000" w:themeColor="text1"/>
          <w:sz w:val="24"/>
          <w:szCs w:val="24"/>
          <w:lang w:eastAsia="en-GB"/>
        </w:rPr>
      </w:pPr>
      <w:r w:rsidRPr="00126C05">
        <w:rPr>
          <w:rFonts w:ascii="Arial" w:hAnsi="Arial" w:cs="Arial"/>
          <w:color w:val="000000" w:themeColor="text1"/>
          <w:sz w:val="24"/>
          <w:szCs w:val="24"/>
          <w:lang w:eastAsia="en-GB"/>
        </w:rPr>
        <w:t xml:space="preserve">The specific objectives are: </w:t>
      </w:r>
    </w:p>
    <w:p w14:paraId="7029FA1E" w14:textId="35BB0F01" w:rsidR="00126C05" w:rsidRDefault="00126C05" w:rsidP="00126C05">
      <w:pPr>
        <w:spacing w:line="360" w:lineRule="auto"/>
        <w:jc w:val="both"/>
        <w:rPr>
          <w:rFonts w:ascii="Arial" w:hAnsi="Arial" w:cs="Arial"/>
          <w:color w:val="000000" w:themeColor="text1"/>
          <w:sz w:val="24"/>
          <w:szCs w:val="24"/>
          <w:lang w:eastAsia="en-GB"/>
        </w:rPr>
      </w:pPr>
      <w:r w:rsidRPr="00126C05">
        <w:rPr>
          <w:rFonts w:ascii="Arial" w:hAnsi="Arial" w:cs="Arial"/>
          <w:color w:val="000000" w:themeColor="text1"/>
          <w:sz w:val="24"/>
          <w:szCs w:val="24"/>
          <w:lang w:eastAsia="en-GB"/>
        </w:rPr>
        <w:t>The research will evaluate how current overbooking procedures work during high-demand periods and identify technology problems that affect operations while measuring their impact on guest experiences and financial results through online review analysis and internal service records before proposing strategic solutions that synchronize business objectives with service quality.</w:t>
      </w:r>
    </w:p>
    <w:p w14:paraId="1B74B731" w14:textId="0149C904" w:rsidR="00126C05" w:rsidRPr="00A60BE5" w:rsidRDefault="00126C05" w:rsidP="00A60BE5">
      <w:pPr>
        <w:pStyle w:val="EU"/>
        <w:numPr>
          <w:ilvl w:val="0"/>
          <w:numId w:val="1"/>
        </w:numPr>
        <w:spacing w:line="360" w:lineRule="auto"/>
        <w:rPr>
          <w:color w:val="000000" w:themeColor="text1"/>
        </w:rPr>
      </w:pPr>
      <w:bookmarkStart w:id="2" w:name="_Toc200755607"/>
      <w:r w:rsidRPr="00A60BE5">
        <w:rPr>
          <w:color w:val="000000" w:themeColor="text1"/>
        </w:rPr>
        <w:t>Literature Review</w:t>
      </w:r>
      <w:bookmarkEnd w:id="2"/>
    </w:p>
    <w:p w14:paraId="1585C54C" w14:textId="18658B3D" w:rsidR="00126C05" w:rsidRDefault="00A60BE5" w:rsidP="00A60BE5">
      <w:pPr>
        <w:spacing w:line="360" w:lineRule="auto"/>
        <w:jc w:val="both"/>
        <w:rPr>
          <w:rFonts w:ascii="Arial" w:hAnsi="Arial" w:cs="Arial"/>
          <w:color w:val="000000" w:themeColor="text1"/>
          <w:sz w:val="24"/>
          <w:szCs w:val="24"/>
          <w:lang w:eastAsia="en-GB"/>
        </w:rPr>
      </w:pPr>
      <w:r w:rsidRPr="00A60BE5">
        <w:rPr>
          <w:rFonts w:ascii="Arial" w:hAnsi="Arial" w:cs="Arial"/>
          <w:color w:val="000000" w:themeColor="text1"/>
          <w:sz w:val="24"/>
          <w:szCs w:val="24"/>
          <w:lang w:eastAsia="en-GB"/>
        </w:rPr>
        <w:t xml:space="preserve">Hotels in the UK are under more and more pressure to do two things: intentionally overbook to safeguard income and rely more on complicated digital systems that may fail at important times (Haynes and Egan, 2020). Since 2015, scholars have mostly looked at these pressures on their own. Consequently, practitioners lack cohesive direction when server outages and excessive arrivals occur during high-demand events. This literature review critically examines recent UK-centric research on overbooking practices, technological dependability, and guest feedback analytics to delineate the existing bounds of knowledge. It also points up issues that still need to be answered that are relevant to the present inquiry at Novotel London Wembley. Overbooking is conceptualised in revenue-management discourse as a strategic safeguard against no-shows in competitive urban marketplaces, where each unsold night signifies a sunk cost (Lockyer and Wood, 2019). Longitudinal data from four-star hotels in London show that there are buffers of five to ten percent over room supply, which were calculated using historical cancellation curves and same-day demand elasticity (Mohapatra, Dubey, and Mohapatra, 2023). Scholars caution that demand variability escalates significantly during mega-events, increasing the likelihood of forced walk-outs and diminishing net gains if relocation expenses surge (Ivanov and </w:t>
      </w:r>
      <w:proofErr w:type="spellStart"/>
      <w:r w:rsidRPr="00A60BE5">
        <w:rPr>
          <w:rFonts w:ascii="Arial" w:hAnsi="Arial" w:cs="Arial"/>
          <w:color w:val="000000" w:themeColor="text1"/>
          <w:sz w:val="24"/>
          <w:szCs w:val="24"/>
          <w:lang w:eastAsia="en-GB"/>
        </w:rPr>
        <w:t>Zhechev</w:t>
      </w:r>
      <w:proofErr w:type="spellEnd"/>
      <w:r w:rsidRPr="00A60BE5">
        <w:rPr>
          <w:rFonts w:ascii="Arial" w:hAnsi="Arial" w:cs="Arial"/>
          <w:color w:val="000000" w:themeColor="text1"/>
          <w:sz w:val="24"/>
          <w:szCs w:val="24"/>
          <w:lang w:eastAsia="en-GB"/>
        </w:rPr>
        <w:t>, 2016). Recent research emphasises the operational expenses associated with such mismatch. A simulation based on British chain data found that each visitor who has to move costs the hotel eighty-eight pounds in direct re-accommodation fees and lowers lifetime revenue by six percent since they are less loyal (Lockyer and Wood, 2019). So, the financial rationale of overbooking only works as long as the no-show estimates are correct. Researchers suggest dynamic buffers that decrease in size as the arrival time nears and live event data accumulates; nevertheless, empirical evaluations of these adaptive rules in UK hotels are notably lacking (Nikola, 2018). Research also examines the ethical responsibilities imposed on frontline personnel responsible for implementing relocation decisions. Interviews conducted at 10 urban locations indicate a perceived contradiction between corporate occupancy mandates and the hospitality industry's duty of care, particularly when walk-outs seem arbitrary (Nikola, 2018). Employees said that telling people about problems with their reservations early on helps avoid conflict, whereas surprising them with a refusal at reception hurts their health and the confidence of the business. These results suggest that revenue objectives and emotional labour expenses require equivalent consideration in policy formulation (Haynes and Egan, 2020). Compensation strategy studies provide additional complexity by analysing perceived fairness after service denial. Field trials in Manchester hotels show that offering room upgrades, transit vouchers or loyalty points before a guest moves increases satisfaction by twenty-one percent (Noone and Lee, 2016). On the other hand, gesture value doesn't mean much if the timing is bad; last-minute offerings after a long wait make people even more angry (Haynes and Egan, 2020). Price-dispersion study indicates that displaced visitors evaluate assistance packages against real prices shown on metasearch applications, necessitating clear equivalency (Mohapatra, Dubey, and Mohapatra, 2023). Simultaneously, researchers investigate the dependability of property-management systems, electronic keys, and distribution channels that support inventory management, payment authorisation, and guest access (Pappas, 2017). A study of twelve London hotels' PMS downtime showed that each hour of downtime led to a nine percent drop in daily satisfaction since the lines became longer and cleaning reports stopped working (</w:t>
      </w:r>
      <w:proofErr w:type="spellStart"/>
      <w:r w:rsidRPr="00A60BE5">
        <w:rPr>
          <w:rFonts w:ascii="Arial" w:hAnsi="Arial" w:cs="Arial"/>
          <w:color w:val="000000" w:themeColor="text1"/>
          <w:sz w:val="24"/>
          <w:szCs w:val="24"/>
          <w:lang w:eastAsia="en-GB"/>
        </w:rPr>
        <w:t>Pantouvakis</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Bouranta</w:t>
      </w:r>
      <w:proofErr w:type="spellEnd"/>
      <w:r w:rsidRPr="00A60BE5">
        <w:rPr>
          <w:rFonts w:ascii="Arial" w:hAnsi="Arial" w:cs="Arial"/>
          <w:color w:val="000000" w:themeColor="text1"/>
          <w:sz w:val="24"/>
          <w:szCs w:val="24"/>
          <w:lang w:eastAsia="en-GB"/>
        </w:rPr>
        <w:t>, 2016). Because technology is fragile, what should be a calculable risk turns into a service problem that eats away at the income that overbooking is trying to make. The use of the Internet of Things offers smooth travels, but it also raises cybersecurity and privacy issues that make workers and guests less confident (</w:t>
      </w:r>
      <w:proofErr w:type="spellStart"/>
      <w:r w:rsidRPr="00A60BE5">
        <w:rPr>
          <w:rFonts w:ascii="Arial" w:hAnsi="Arial" w:cs="Arial"/>
          <w:color w:val="000000" w:themeColor="text1"/>
          <w:sz w:val="24"/>
          <w:szCs w:val="24"/>
          <w:lang w:eastAsia="en-GB"/>
        </w:rPr>
        <w:t>Mercan</w:t>
      </w:r>
      <w:proofErr w:type="spellEnd"/>
      <w:r w:rsidRPr="00A60BE5">
        <w:rPr>
          <w:rFonts w:ascii="Arial" w:hAnsi="Arial" w:cs="Arial"/>
          <w:color w:val="000000" w:themeColor="text1"/>
          <w:sz w:val="24"/>
          <w:szCs w:val="24"/>
          <w:lang w:eastAsia="en-GB"/>
        </w:rPr>
        <w:t xml:space="preserve">, </w:t>
      </w:r>
      <w:proofErr w:type="spellStart"/>
      <w:r w:rsidRPr="00A60BE5">
        <w:rPr>
          <w:rFonts w:ascii="Arial" w:hAnsi="Arial" w:cs="Arial"/>
          <w:color w:val="000000" w:themeColor="text1"/>
          <w:sz w:val="24"/>
          <w:szCs w:val="24"/>
          <w:lang w:eastAsia="en-GB"/>
        </w:rPr>
        <w:t>Akkaya</w:t>
      </w:r>
      <w:proofErr w:type="spellEnd"/>
      <w:r w:rsidRPr="00A60BE5">
        <w:rPr>
          <w:rFonts w:ascii="Arial" w:hAnsi="Arial" w:cs="Arial"/>
          <w:color w:val="000000" w:themeColor="text1"/>
          <w:sz w:val="24"/>
          <w:szCs w:val="24"/>
          <w:lang w:eastAsia="en-GB"/>
        </w:rPr>
        <w:t>, and Thomas, 2020). Ethnographic observation at a London airport hotel documented personnel circumventing defective mobile keys in favour of magnetised stripes deemed more efficient under duress (</w:t>
      </w:r>
      <w:proofErr w:type="spellStart"/>
      <w:r w:rsidRPr="00A60BE5">
        <w:rPr>
          <w:rFonts w:ascii="Arial" w:hAnsi="Arial" w:cs="Arial"/>
          <w:color w:val="000000" w:themeColor="text1"/>
          <w:sz w:val="24"/>
          <w:szCs w:val="24"/>
          <w:lang w:eastAsia="en-GB"/>
        </w:rPr>
        <w:t>Heinonen</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Medberg</w:t>
      </w:r>
      <w:proofErr w:type="spellEnd"/>
      <w:r w:rsidRPr="00A60BE5">
        <w:rPr>
          <w:rFonts w:ascii="Arial" w:hAnsi="Arial" w:cs="Arial"/>
          <w:color w:val="000000" w:themeColor="text1"/>
          <w:sz w:val="24"/>
          <w:szCs w:val="24"/>
          <w:lang w:eastAsia="en-GB"/>
        </w:rPr>
        <w:t xml:space="preserve">, 2018). Studies on technology adoption show a paradox: when hardware reliability doesn't meet user expectations, innovation might make operational gaps worse instead of less. Survey study conducted among chains in the United Kingdom indicates that just forty-six percent of managers see present digital tools as adequate for operational requirements, although increasing capital spending (Ivanov and </w:t>
      </w:r>
      <w:proofErr w:type="spellStart"/>
      <w:r w:rsidRPr="00A60BE5">
        <w:rPr>
          <w:rFonts w:ascii="Arial" w:hAnsi="Arial" w:cs="Arial"/>
          <w:color w:val="000000" w:themeColor="text1"/>
          <w:sz w:val="24"/>
          <w:szCs w:val="24"/>
          <w:lang w:eastAsia="en-GB"/>
        </w:rPr>
        <w:t>Zhechev</w:t>
      </w:r>
      <w:proofErr w:type="spellEnd"/>
      <w:r w:rsidRPr="00A60BE5">
        <w:rPr>
          <w:rFonts w:ascii="Arial" w:hAnsi="Arial" w:cs="Arial"/>
          <w:color w:val="000000" w:themeColor="text1"/>
          <w:sz w:val="24"/>
          <w:szCs w:val="24"/>
          <w:lang w:eastAsia="en-GB"/>
        </w:rPr>
        <w:t xml:space="preserve">, 2016). This kind of cynicism means that if complexity is going to help overbooking resilience instead of making it harder, it has to be backed up by strong support systems. There is still not much research on concurrent overbooking and technological failure, but the data we do have </w:t>
      </w:r>
      <w:proofErr w:type="spellStart"/>
      <w:r w:rsidRPr="00A60BE5">
        <w:rPr>
          <w:rFonts w:ascii="Arial" w:hAnsi="Arial" w:cs="Arial"/>
          <w:color w:val="000000" w:themeColor="text1"/>
          <w:sz w:val="24"/>
          <w:szCs w:val="24"/>
          <w:lang w:eastAsia="en-GB"/>
        </w:rPr>
        <w:t>shows</w:t>
      </w:r>
      <w:proofErr w:type="spellEnd"/>
      <w:r w:rsidRPr="00A60BE5">
        <w:rPr>
          <w:rFonts w:ascii="Arial" w:hAnsi="Arial" w:cs="Arial"/>
          <w:color w:val="000000" w:themeColor="text1"/>
          <w:sz w:val="24"/>
          <w:szCs w:val="24"/>
          <w:lang w:eastAsia="en-GB"/>
        </w:rPr>
        <w:t xml:space="preserve"> that they can make things worse. A content study of fourteen thousand TripAdvisor postings associated combined server outages and displacement occurrences with a forty-three percent increase in unfavourable sentiment relative to each problem individually (</w:t>
      </w:r>
      <w:proofErr w:type="spellStart"/>
      <w:r w:rsidRPr="00A60BE5">
        <w:rPr>
          <w:rFonts w:ascii="Arial" w:hAnsi="Arial" w:cs="Arial"/>
          <w:color w:val="000000" w:themeColor="text1"/>
          <w:sz w:val="24"/>
          <w:szCs w:val="24"/>
          <w:lang w:eastAsia="en-GB"/>
        </w:rPr>
        <w:t>Colladon</w:t>
      </w:r>
      <w:proofErr w:type="spellEnd"/>
      <w:r w:rsidRPr="00A60BE5">
        <w:rPr>
          <w:rFonts w:ascii="Arial" w:hAnsi="Arial" w:cs="Arial"/>
          <w:color w:val="000000" w:themeColor="text1"/>
          <w:sz w:val="24"/>
          <w:szCs w:val="24"/>
          <w:lang w:eastAsia="en-GB"/>
        </w:rPr>
        <w:t xml:space="preserve">, </w:t>
      </w:r>
      <w:proofErr w:type="spellStart"/>
      <w:r w:rsidRPr="00A60BE5">
        <w:rPr>
          <w:rFonts w:ascii="Arial" w:hAnsi="Arial" w:cs="Arial"/>
          <w:color w:val="000000" w:themeColor="text1"/>
          <w:sz w:val="24"/>
          <w:szCs w:val="24"/>
          <w:lang w:eastAsia="en-GB"/>
        </w:rPr>
        <w:t>Guardabascio</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Innarella</w:t>
      </w:r>
      <w:proofErr w:type="spellEnd"/>
      <w:r w:rsidRPr="00A60BE5">
        <w:rPr>
          <w:rFonts w:ascii="Arial" w:hAnsi="Arial" w:cs="Arial"/>
          <w:color w:val="000000" w:themeColor="text1"/>
          <w:sz w:val="24"/>
          <w:szCs w:val="24"/>
          <w:lang w:eastAsia="en-GB"/>
        </w:rPr>
        <w:t>, 2021). Manual workarounds extend every transaction, increasing emotional labour and decreasing the ability to recover with empathy, which raises the chance that unhappy visitors may complain in real time (</w:t>
      </w:r>
      <w:proofErr w:type="spellStart"/>
      <w:r w:rsidRPr="00A60BE5">
        <w:rPr>
          <w:rFonts w:ascii="Arial" w:hAnsi="Arial" w:cs="Arial"/>
          <w:color w:val="000000" w:themeColor="text1"/>
          <w:sz w:val="24"/>
          <w:szCs w:val="24"/>
          <w:lang w:eastAsia="en-GB"/>
        </w:rPr>
        <w:t>Pantouvakis</w:t>
      </w:r>
      <w:proofErr w:type="spellEnd"/>
      <w:r w:rsidRPr="00A60BE5">
        <w:rPr>
          <w:rFonts w:ascii="Arial" w:hAnsi="Arial" w:cs="Arial"/>
          <w:color w:val="000000" w:themeColor="text1"/>
          <w:sz w:val="24"/>
          <w:szCs w:val="24"/>
          <w:lang w:eastAsia="en-GB"/>
        </w:rPr>
        <w:t xml:space="preserve"> &amp; </w:t>
      </w:r>
      <w:proofErr w:type="spellStart"/>
      <w:r w:rsidRPr="00A60BE5">
        <w:rPr>
          <w:rFonts w:ascii="Arial" w:hAnsi="Arial" w:cs="Arial"/>
          <w:color w:val="000000" w:themeColor="text1"/>
          <w:sz w:val="24"/>
          <w:szCs w:val="24"/>
          <w:lang w:eastAsia="en-GB"/>
        </w:rPr>
        <w:t>Bouranta</w:t>
      </w:r>
      <w:proofErr w:type="spellEnd"/>
      <w:r w:rsidRPr="00A60BE5">
        <w:rPr>
          <w:rFonts w:ascii="Arial" w:hAnsi="Arial" w:cs="Arial"/>
          <w:color w:val="000000" w:themeColor="text1"/>
          <w:sz w:val="24"/>
          <w:szCs w:val="24"/>
          <w:lang w:eastAsia="en-GB"/>
        </w:rPr>
        <w:t>, 2016). Complementary sentiment-trajectory research indicates that service narratives including both technical and capacity problems disseminate more rapidly and last longer on social media compared to single-issue grievances, hence prolonging reputational half-life by eleven days (</w:t>
      </w:r>
      <w:proofErr w:type="spellStart"/>
      <w:r w:rsidRPr="00A60BE5">
        <w:rPr>
          <w:rFonts w:ascii="Arial" w:hAnsi="Arial" w:cs="Arial"/>
          <w:color w:val="000000" w:themeColor="text1"/>
          <w:sz w:val="24"/>
          <w:szCs w:val="24"/>
          <w:lang w:eastAsia="en-GB"/>
        </w:rPr>
        <w:t>Sainaghi</w:t>
      </w:r>
      <w:proofErr w:type="spellEnd"/>
      <w:r w:rsidRPr="00A60BE5">
        <w:rPr>
          <w:rFonts w:ascii="Arial" w:hAnsi="Arial" w:cs="Arial"/>
          <w:color w:val="000000" w:themeColor="text1"/>
          <w:sz w:val="24"/>
          <w:szCs w:val="24"/>
          <w:lang w:eastAsia="en-GB"/>
        </w:rPr>
        <w:t xml:space="preserve"> et al., 2018). </w:t>
      </w:r>
      <w:proofErr w:type="spellStart"/>
      <w:r w:rsidRPr="00A60BE5">
        <w:rPr>
          <w:rFonts w:ascii="Arial" w:hAnsi="Arial" w:cs="Arial"/>
          <w:color w:val="000000" w:themeColor="text1"/>
          <w:sz w:val="24"/>
          <w:szCs w:val="24"/>
          <w:lang w:eastAsia="en-GB"/>
        </w:rPr>
        <w:t>Netnography</w:t>
      </w:r>
      <w:proofErr w:type="spellEnd"/>
      <w:r w:rsidRPr="00A60BE5">
        <w:rPr>
          <w:rFonts w:ascii="Arial" w:hAnsi="Arial" w:cs="Arial"/>
          <w:color w:val="000000" w:themeColor="text1"/>
          <w:sz w:val="24"/>
          <w:szCs w:val="24"/>
          <w:lang w:eastAsia="en-GB"/>
        </w:rPr>
        <w:t>, a digital extension of ethnography, now provides researchers detailed access to guest narratives without the need for invasive questionnaires (</w:t>
      </w:r>
      <w:proofErr w:type="spellStart"/>
      <w:r w:rsidRPr="00A60BE5">
        <w:rPr>
          <w:rFonts w:ascii="Arial" w:hAnsi="Arial" w:cs="Arial"/>
          <w:color w:val="000000" w:themeColor="text1"/>
          <w:sz w:val="24"/>
          <w:szCs w:val="24"/>
          <w:lang w:eastAsia="en-GB"/>
        </w:rPr>
        <w:t>Kozinets</w:t>
      </w:r>
      <w:proofErr w:type="spellEnd"/>
      <w:r w:rsidRPr="00A60BE5">
        <w:rPr>
          <w:rFonts w:ascii="Arial" w:hAnsi="Arial" w:cs="Arial"/>
          <w:color w:val="000000" w:themeColor="text1"/>
          <w:sz w:val="24"/>
          <w:szCs w:val="24"/>
          <w:lang w:eastAsia="en-GB"/>
        </w:rPr>
        <w:t>, 2019). Methodological advice emphasises iterative coding, researcher immersion, and ethical anonymisation, enabling researchers to analyse the communal narratives that influence a hotel's digital reputation (</w:t>
      </w:r>
      <w:proofErr w:type="spellStart"/>
      <w:r w:rsidRPr="00A60BE5">
        <w:rPr>
          <w:rFonts w:ascii="Arial" w:hAnsi="Arial" w:cs="Arial"/>
          <w:color w:val="000000" w:themeColor="text1"/>
          <w:sz w:val="24"/>
          <w:szCs w:val="24"/>
          <w:lang w:eastAsia="en-GB"/>
        </w:rPr>
        <w:t>Heinonen</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Medberg</w:t>
      </w:r>
      <w:proofErr w:type="spellEnd"/>
      <w:r w:rsidRPr="00A60BE5">
        <w:rPr>
          <w:rFonts w:ascii="Arial" w:hAnsi="Arial" w:cs="Arial"/>
          <w:color w:val="000000" w:themeColor="text1"/>
          <w:sz w:val="24"/>
          <w:szCs w:val="24"/>
          <w:lang w:eastAsia="en-GB"/>
        </w:rPr>
        <w:t>, 2018). UK investigations show that concerns about being refused entry typically go together with complaints about broken elevators or kiosks that don't work, which together make up a case against the managers' ability to do their jobs (</w:t>
      </w:r>
      <w:proofErr w:type="spellStart"/>
      <w:r w:rsidRPr="00A60BE5">
        <w:rPr>
          <w:rFonts w:ascii="Arial" w:hAnsi="Arial" w:cs="Arial"/>
          <w:color w:val="000000" w:themeColor="text1"/>
          <w:sz w:val="24"/>
          <w:szCs w:val="24"/>
          <w:lang w:eastAsia="en-GB"/>
        </w:rPr>
        <w:t>Discetti</w:t>
      </w:r>
      <w:proofErr w:type="spellEnd"/>
      <w:r w:rsidRPr="00A60BE5">
        <w:rPr>
          <w:rFonts w:ascii="Arial" w:hAnsi="Arial" w:cs="Arial"/>
          <w:color w:val="000000" w:themeColor="text1"/>
          <w:sz w:val="24"/>
          <w:szCs w:val="24"/>
          <w:lang w:eastAsia="en-GB"/>
        </w:rPr>
        <w:t xml:space="preserve"> and Anderson, 2022). Descriptive understanding has advanced, however predictive modelling is still in its infancy. Machine-learning classifiers can accurately identify words like “key card failed” or “sent to sister hotel” ninety-five percent of the time. They can also make temporal heat maps of complaint spikes during stadium events (Vargas-Calderón et al., 2021). However, British operators seldom connect these classifiers to live system-health dashboards, which means that reputational fires are only found out only after tales spread across platforms (</w:t>
      </w:r>
      <w:proofErr w:type="spellStart"/>
      <w:r w:rsidRPr="00A60BE5">
        <w:rPr>
          <w:rFonts w:ascii="Arial" w:hAnsi="Arial" w:cs="Arial"/>
          <w:color w:val="000000" w:themeColor="text1"/>
          <w:sz w:val="24"/>
          <w:szCs w:val="24"/>
          <w:lang w:eastAsia="en-GB"/>
        </w:rPr>
        <w:t>Sainaghi</w:t>
      </w:r>
      <w:proofErr w:type="spellEnd"/>
      <w:r w:rsidRPr="00A60BE5">
        <w:rPr>
          <w:rFonts w:ascii="Arial" w:hAnsi="Arial" w:cs="Arial"/>
          <w:color w:val="000000" w:themeColor="text1"/>
          <w:sz w:val="24"/>
          <w:szCs w:val="24"/>
          <w:lang w:eastAsia="en-GB"/>
        </w:rPr>
        <w:t xml:space="preserve"> et al., 2018). Scholars in human-resource development contend that real-time digital discourse must be integrated with frontline feedback loops to effectively capture tacit knowledge during crises; nevertheless, such </w:t>
      </w:r>
      <w:proofErr w:type="spellStart"/>
      <w:r w:rsidRPr="00A60BE5">
        <w:rPr>
          <w:rFonts w:ascii="Arial" w:hAnsi="Arial" w:cs="Arial"/>
          <w:color w:val="000000" w:themeColor="text1"/>
          <w:sz w:val="24"/>
          <w:szCs w:val="24"/>
          <w:lang w:eastAsia="en-GB"/>
        </w:rPr>
        <w:t>netnographic</w:t>
      </w:r>
      <w:proofErr w:type="spellEnd"/>
      <w:r w:rsidRPr="00A60BE5">
        <w:rPr>
          <w:rFonts w:ascii="Arial" w:hAnsi="Arial" w:cs="Arial"/>
          <w:color w:val="000000" w:themeColor="text1"/>
          <w:sz w:val="24"/>
          <w:szCs w:val="24"/>
          <w:lang w:eastAsia="en-GB"/>
        </w:rPr>
        <w:t xml:space="preserve"> integration is still a goal in hospitality contexts (</w:t>
      </w:r>
      <w:proofErr w:type="spellStart"/>
      <w:r w:rsidRPr="00A60BE5">
        <w:rPr>
          <w:rFonts w:ascii="Arial" w:hAnsi="Arial" w:cs="Arial"/>
          <w:color w:val="000000" w:themeColor="text1"/>
          <w:sz w:val="24"/>
          <w:szCs w:val="24"/>
          <w:lang w:eastAsia="en-GB"/>
        </w:rPr>
        <w:t>Discetti</w:t>
      </w:r>
      <w:proofErr w:type="spellEnd"/>
      <w:r w:rsidRPr="00A60BE5">
        <w:rPr>
          <w:rFonts w:ascii="Arial" w:hAnsi="Arial" w:cs="Arial"/>
          <w:color w:val="000000" w:themeColor="text1"/>
          <w:sz w:val="24"/>
          <w:szCs w:val="24"/>
          <w:lang w:eastAsia="en-GB"/>
        </w:rPr>
        <w:t xml:space="preserve"> and Anderson, 2022). A synthesis of the literature reveals three critical deficiencies. First, controlled field experiments that dynamically alter booking criteria based on real-time platform performance have not yet been reported, which limits the evidence for cross-domain rules (</w:t>
      </w:r>
      <w:proofErr w:type="spellStart"/>
      <w:r w:rsidRPr="00A60BE5">
        <w:rPr>
          <w:rFonts w:ascii="Arial" w:hAnsi="Arial" w:cs="Arial"/>
          <w:color w:val="000000" w:themeColor="text1"/>
          <w:sz w:val="24"/>
          <w:szCs w:val="24"/>
          <w:lang w:eastAsia="en-GB"/>
        </w:rPr>
        <w:t>Pantouvakis</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Bouranta</w:t>
      </w:r>
      <w:proofErr w:type="spellEnd"/>
      <w:r w:rsidRPr="00A60BE5">
        <w:rPr>
          <w:rFonts w:ascii="Arial" w:hAnsi="Arial" w:cs="Arial"/>
          <w:color w:val="000000" w:themeColor="text1"/>
          <w:sz w:val="24"/>
          <w:szCs w:val="24"/>
          <w:lang w:eastAsia="en-GB"/>
        </w:rPr>
        <w:t xml:space="preserve">, 2016). Second, compensation research seldom integrates the openness facilitated by metasearch applications, resulting in ambiguity about the influence of dynamic price data on fair recovery (Noone and Lee, 2016). Third, </w:t>
      </w:r>
      <w:proofErr w:type="spellStart"/>
      <w:r w:rsidRPr="00A60BE5">
        <w:rPr>
          <w:rFonts w:ascii="Arial" w:hAnsi="Arial" w:cs="Arial"/>
          <w:color w:val="000000" w:themeColor="text1"/>
          <w:sz w:val="24"/>
          <w:szCs w:val="24"/>
          <w:lang w:eastAsia="en-GB"/>
        </w:rPr>
        <w:t>netnographic</w:t>
      </w:r>
      <w:proofErr w:type="spellEnd"/>
      <w:r w:rsidRPr="00A60BE5">
        <w:rPr>
          <w:rFonts w:ascii="Arial" w:hAnsi="Arial" w:cs="Arial"/>
          <w:color w:val="000000" w:themeColor="text1"/>
          <w:sz w:val="24"/>
          <w:szCs w:val="24"/>
          <w:lang w:eastAsia="en-GB"/>
        </w:rPr>
        <w:t xml:space="preserve"> analytics have not yet linked guest sentiment with live server telemetry, hindering potential diagnosis (</w:t>
      </w:r>
      <w:proofErr w:type="spellStart"/>
      <w:r w:rsidRPr="00A60BE5">
        <w:rPr>
          <w:rFonts w:ascii="Arial" w:hAnsi="Arial" w:cs="Arial"/>
          <w:color w:val="000000" w:themeColor="text1"/>
          <w:sz w:val="24"/>
          <w:szCs w:val="24"/>
          <w:lang w:eastAsia="en-GB"/>
        </w:rPr>
        <w:t>Colladon</w:t>
      </w:r>
      <w:proofErr w:type="spellEnd"/>
      <w:r w:rsidRPr="00A60BE5">
        <w:rPr>
          <w:rFonts w:ascii="Arial" w:hAnsi="Arial" w:cs="Arial"/>
          <w:color w:val="000000" w:themeColor="text1"/>
          <w:sz w:val="24"/>
          <w:szCs w:val="24"/>
          <w:lang w:eastAsia="en-GB"/>
        </w:rPr>
        <w:t xml:space="preserve">, </w:t>
      </w:r>
      <w:proofErr w:type="spellStart"/>
      <w:r w:rsidRPr="00A60BE5">
        <w:rPr>
          <w:rFonts w:ascii="Arial" w:hAnsi="Arial" w:cs="Arial"/>
          <w:color w:val="000000" w:themeColor="text1"/>
          <w:sz w:val="24"/>
          <w:szCs w:val="24"/>
          <w:lang w:eastAsia="en-GB"/>
        </w:rPr>
        <w:t>Guardabascio</w:t>
      </w:r>
      <w:proofErr w:type="spellEnd"/>
      <w:r w:rsidRPr="00A60BE5">
        <w:rPr>
          <w:rFonts w:ascii="Arial" w:hAnsi="Arial" w:cs="Arial"/>
          <w:color w:val="000000" w:themeColor="text1"/>
          <w:sz w:val="24"/>
          <w:szCs w:val="24"/>
          <w:lang w:eastAsia="en-GB"/>
        </w:rPr>
        <w:t xml:space="preserve">, and </w:t>
      </w:r>
      <w:proofErr w:type="spellStart"/>
      <w:r w:rsidRPr="00A60BE5">
        <w:rPr>
          <w:rFonts w:ascii="Arial" w:hAnsi="Arial" w:cs="Arial"/>
          <w:color w:val="000000" w:themeColor="text1"/>
          <w:sz w:val="24"/>
          <w:szCs w:val="24"/>
          <w:lang w:eastAsia="en-GB"/>
        </w:rPr>
        <w:t>Innarella</w:t>
      </w:r>
      <w:proofErr w:type="spellEnd"/>
      <w:r w:rsidRPr="00A60BE5">
        <w:rPr>
          <w:rFonts w:ascii="Arial" w:hAnsi="Arial" w:cs="Arial"/>
          <w:color w:val="000000" w:themeColor="text1"/>
          <w:sz w:val="24"/>
          <w:szCs w:val="24"/>
          <w:lang w:eastAsia="en-GB"/>
        </w:rPr>
        <w:t>, 2021). Filling up these gaps would help both research and practice. Mixed-methods studies at event-proximate properties like Novotel London Wembley might test threshold triggers that automatically block new bookings when server errors rise and send targeted alerts to reroute arrivals before they have to wait in line (Lockyer and Wood, 2019). Design-science projects may develop compensation calculators that gather rival tariffs in real time to provide relocation packages that are seen as fair and open (Haynes and Egan, 2020). The review thus substantiates the necessity for a comprehensive investigation that integrates revenue analytics, systems engineering, and customer experience research to formulate interventions that can maintain sustainable service quality amid concurrent overbooking and technological demands (</w:t>
      </w:r>
      <w:proofErr w:type="spellStart"/>
      <w:r w:rsidRPr="00A60BE5">
        <w:rPr>
          <w:rFonts w:ascii="Arial" w:hAnsi="Arial" w:cs="Arial"/>
          <w:color w:val="000000" w:themeColor="text1"/>
          <w:sz w:val="24"/>
          <w:szCs w:val="24"/>
          <w:lang w:eastAsia="en-GB"/>
        </w:rPr>
        <w:t>Mercan</w:t>
      </w:r>
      <w:proofErr w:type="spellEnd"/>
      <w:r w:rsidRPr="00A60BE5">
        <w:rPr>
          <w:rFonts w:ascii="Arial" w:hAnsi="Arial" w:cs="Arial"/>
          <w:color w:val="000000" w:themeColor="text1"/>
          <w:sz w:val="24"/>
          <w:szCs w:val="24"/>
          <w:lang w:eastAsia="en-GB"/>
        </w:rPr>
        <w:t xml:space="preserve">, </w:t>
      </w:r>
      <w:proofErr w:type="spellStart"/>
      <w:r w:rsidRPr="00A60BE5">
        <w:rPr>
          <w:rFonts w:ascii="Arial" w:hAnsi="Arial" w:cs="Arial"/>
          <w:color w:val="000000" w:themeColor="text1"/>
          <w:sz w:val="24"/>
          <w:szCs w:val="24"/>
          <w:lang w:eastAsia="en-GB"/>
        </w:rPr>
        <w:t>Akkaya</w:t>
      </w:r>
      <w:proofErr w:type="spellEnd"/>
      <w:r w:rsidRPr="00A60BE5">
        <w:rPr>
          <w:rFonts w:ascii="Arial" w:hAnsi="Arial" w:cs="Arial"/>
          <w:color w:val="000000" w:themeColor="text1"/>
          <w:sz w:val="24"/>
          <w:szCs w:val="24"/>
          <w:lang w:eastAsia="en-GB"/>
        </w:rPr>
        <w:t>, and Thomas, 2020).</w:t>
      </w:r>
    </w:p>
    <w:p w14:paraId="5D51F5AD" w14:textId="0774505F" w:rsidR="00A60BE5" w:rsidRPr="00392387" w:rsidRDefault="00392387" w:rsidP="00B64EAC">
      <w:pPr>
        <w:pStyle w:val="EU"/>
        <w:numPr>
          <w:ilvl w:val="0"/>
          <w:numId w:val="1"/>
        </w:numPr>
        <w:spacing w:line="360" w:lineRule="auto"/>
        <w:rPr>
          <w:color w:val="000000" w:themeColor="text1"/>
        </w:rPr>
      </w:pPr>
      <w:bookmarkStart w:id="3" w:name="_Toc200755608"/>
      <w:r w:rsidRPr="00392387">
        <w:rPr>
          <w:color w:val="000000" w:themeColor="text1"/>
        </w:rPr>
        <w:t>Methods</w:t>
      </w:r>
      <w:bookmarkEnd w:id="3"/>
    </w:p>
    <w:p w14:paraId="285D150E" w14:textId="4A55B9F4" w:rsidR="00126C05" w:rsidRDefault="00B64EAC" w:rsidP="00B64EAC">
      <w:pPr>
        <w:spacing w:line="360" w:lineRule="auto"/>
        <w:jc w:val="both"/>
        <w:rPr>
          <w:rFonts w:ascii="Arial" w:hAnsi="Arial" w:cs="Arial"/>
          <w:color w:val="000000" w:themeColor="text1"/>
          <w:sz w:val="24"/>
          <w:szCs w:val="24"/>
          <w:lang w:eastAsia="en-GB"/>
        </w:rPr>
      </w:pPr>
      <w:r w:rsidRPr="00B64EAC">
        <w:rPr>
          <w:rFonts w:ascii="Arial" w:hAnsi="Arial" w:cs="Arial"/>
          <w:color w:val="000000" w:themeColor="text1"/>
          <w:sz w:val="24"/>
          <w:szCs w:val="24"/>
          <w:lang w:eastAsia="en-GB"/>
        </w:rPr>
        <w:t>Case study methodology is the most appropriate framework for this inquiry since it facilitates a thorough, context-specific analysis of organisational processes that the researcher cannot alter (Saunders, Lewis, and Thornhill, 2019). An incorporated single-case design focused on Novotel London Wembley emphasises front-office, housekeeping, and revenue sub-units, facilitating cross-functional analysis while maintaining a comprehensive perspective (Ridder, 2017). Such designs address "how" and "why" enquiries about current occurrences characterised by restricted researcher control, and they facilitate the integration of several evidence streams that may be triangulated to enhance inference (Harrison et al., 2017).</w:t>
      </w:r>
      <w:r>
        <w:rPr>
          <w:rFonts w:ascii="Arial" w:hAnsi="Arial" w:cs="Arial"/>
          <w:color w:val="000000" w:themeColor="text1"/>
          <w:sz w:val="24"/>
          <w:szCs w:val="24"/>
          <w:lang w:eastAsia="en-GB"/>
        </w:rPr>
        <w:t xml:space="preserve"> </w:t>
      </w:r>
      <w:r w:rsidRPr="00B64EAC">
        <w:rPr>
          <w:rFonts w:ascii="Arial" w:hAnsi="Arial" w:cs="Arial"/>
          <w:color w:val="000000" w:themeColor="text1"/>
          <w:sz w:val="24"/>
          <w:szCs w:val="24"/>
          <w:lang w:eastAsia="en-GB"/>
        </w:rPr>
        <w:t xml:space="preserve">Three complimentary evidence sources support data collecting. First, non-participant observation throughout a twelve-week placement yielded field notes on staff procedures in response to unexpected arrivals or system breakdowns, therefore capturing tacit information sometimes overlooked by surveys (Bryman and Bell, 2015). Second, internal archive material—daily occupancy summaries, key-card error logs, and compensation registers—furnished longitudinal context and facilitated the cross-validation of observed incidences, therefore augmenting construct validity (Flick, 2018). Third, publicly accessible guest narratives from prominent booking platforms provided an external framework for juxtaposing operational activities with </w:t>
      </w:r>
      <w:proofErr w:type="spellStart"/>
      <w:r w:rsidRPr="00B64EAC">
        <w:rPr>
          <w:rFonts w:ascii="Arial" w:hAnsi="Arial" w:cs="Arial"/>
          <w:color w:val="000000" w:themeColor="text1"/>
          <w:sz w:val="24"/>
          <w:szCs w:val="24"/>
          <w:lang w:eastAsia="en-GB"/>
        </w:rPr>
        <w:t>traveler</w:t>
      </w:r>
      <w:proofErr w:type="spellEnd"/>
      <w:r w:rsidRPr="00B64EAC">
        <w:rPr>
          <w:rFonts w:ascii="Arial" w:hAnsi="Arial" w:cs="Arial"/>
          <w:color w:val="000000" w:themeColor="text1"/>
          <w:sz w:val="24"/>
          <w:szCs w:val="24"/>
          <w:lang w:eastAsia="en-GB"/>
        </w:rPr>
        <w:t xml:space="preserve"> viewpoints, hence enhancing reliability via source convergence (Office for National Statistics, 2021).</w:t>
      </w:r>
      <w:r>
        <w:rPr>
          <w:rFonts w:ascii="Arial" w:hAnsi="Arial" w:cs="Arial"/>
          <w:color w:val="000000" w:themeColor="text1"/>
          <w:sz w:val="24"/>
          <w:szCs w:val="24"/>
          <w:lang w:eastAsia="en-GB"/>
        </w:rPr>
        <w:t xml:space="preserve"> It was employed</w:t>
      </w:r>
      <w:r w:rsidRPr="00B64EAC">
        <w:rPr>
          <w:rFonts w:ascii="Arial" w:hAnsi="Arial" w:cs="Arial"/>
          <w:color w:val="000000" w:themeColor="text1"/>
          <w:sz w:val="24"/>
          <w:szCs w:val="24"/>
          <w:lang w:eastAsia="en-GB"/>
        </w:rPr>
        <w:t xml:space="preserve"> </w:t>
      </w:r>
      <w:proofErr w:type="spellStart"/>
      <w:r w:rsidRPr="00B64EAC">
        <w:rPr>
          <w:rFonts w:ascii="Arial" w:hAnsi="Arial" w:cs="Arial"/>
          <w:color w:val="000000" w:themeColor="text1"/>
          <w:sz w:val="24"/>
          <w:szCs w:val="24"/>
          <w:lang w:eastAsia="en-GB"/>
        </w:rPr>
        <w:t>netnography</w:t>
      </w:r>
      <w:proofErr w:type="spellEnd"/>
      <w:r w:rsidRPr="00B64EAC">
        <w:rPr>
          <w:rFonts w:ascii="Arial" w:hAnsi="Arial" w:cs="Arial"/>
          <w:color w:val="000000" w:themeColor="text1"/>
          <w:sz w:val="24"/>
          <w:szCs w:val="24"/>
          <w:lang w:eastAsia="en-GB"/>
        </w:rPr>
        <w:t xml:space="preserve"> to look at online stories. </w:t>
      </w:r>
      <w:proofErr w:type="spellStart"/>
      <w:r w:rsidRPr="00B64EAC">
        <w:rPr>
          <w:rFonts w:ascii="Arial" w:hAnsi="Arial" w:cs="Arial"/>
          <w:color w:val="000000" w:themeColor="text1"/>
          <w:sz w:val="24"/>
          <w:szCs w:val="24"/>
          <w:lang w:eastAsia="en-GB"/>
        </w:rPr>
        <w:t>Netnography</w:t>
      </w:r>
      <w:proofErr w:type="spellEnd"/>
      <w:r w:rsidRPr="00B64EAC">
        <w:rPr>
          <w:rFonts w:ascii="Arial" w:hAnsi="Arial" w:cs="Arial"/>
          <w:color w:val="000000" w:themeColor="text1"/>
          <w:sz w:val="24"/>
          <w:szCs w:val="24"/>
          <w:lang w:eastAsia="en-GB"/>
        </w:rPr>
        <w:t xml:space="preserve"> is a kind of ethnography that works for communities that communicate via digital means. It keeps cultural subtlety while allowing for unobtrusive access to spontaneously occurring discourse (</w:t>
      </w:r>
      <w:proofErr w:type="spellStart"/>
      <w:r w:rsidRPr="00B64EAC">
        <w:rPr>
          <w:rFonts w:ascii="Arial" w:hAnsi="Arial" w:cs="Arial"/>
          <w:color w:val="000000" w:themeColor="text1"/>
          <w:sz w:val="24"/>
          <w:szCs w:val="24"/>
          <w:lang w:eastAsia="en-GB"/>
        </w:rPr>
        <w:t>Mkono</w:t>
      </w:r>
      <w:proofErr w:type="spellEnd"/>
      <w:r w:rsidRPr="00B64EAC">
        <w:rPr>
          <w:rFonts w:ascii="Arial" w:hAnsi="Arial" w:cs="Arial"/>
          <w:color w:val="000000" w:themeColor="text1"/>
          <w:sz w:val="24"/>
          <w:szCs w:val="24"/>
          <w:lang w:eastAsia="en-GB"/>
        </w:rPr>
        <w:t xml:space="preserve"> and Markwell, 2018). The process adhered to known protocols: extended acclimatisation to platform conventions, methodical archiving of pertinent reviews, and iterative inductive coding in NVivo to construct theme clusters that associate service failures with temporal indicators (</w:t>
      </w:r>
      <w:proofErr w:type="spellStart"/>
      <w:r w:rsidRPr="00B64EAC">
        <w:rPr>
          <w:rFonts w:ascii="Arial" w:hAnsi="Arial" w:cs="Arial"/>
          <w:color w:val="000000" w:themeColor="text1"/>
          <w:sz w:val="24"/>
          <w:szCs w:val="24"/>
          <w:lang w:eastAsia="en-GB"/>
        </w:rPr>
        <w:t>Tavakoli</w:t>
      </w:r>
      <w:proofErr w:type="spellEnd"/>
      <w:r w:rsidRPr="00B64EAC">
        <w:rPr>
          <w:rFonts w:ascii="Arial" w:hAnsi="Arial" w:cs="Arial"/>
          <w:color w:val="000000" w:themeColor="text1"/>
          <w:sz w:val="24"/>
          <w:szCs w:val="24"/>
          <w:lang w:eastAsia="en-GB"/>
        </w:rPr>
        <w:t xml:space="preserve"> and Wijesinghe, 2020). To protect ethical integrity, the dataset was limited to public postings, screen identities were anonymised, and illustrative quotes were paraphrased in accordance with digital ethics guidelines (</w:t>
      </w:r>
      <w:proofErr w:type="spellStart"/>
      <w:r w:rsidRPr="00B64EAC">
        <w:rPr>
          <w:rFonts w:ascii="Arial" w:hAnsi="Arial" w:cs="Arial"/>
          <w:color w:val="000000" w:themeColor="text1"/>
          <w:sz w:val="24"/>
          <w:szCs w:val="24"/>
          <w:lang w:eastAsia="en-GB"/>
        </w:rPr>
        <w:t>Beldona</w:t>
      </w:r>
      <w:proofErr w:type="spellEnd"/>
      <w:r w:rsidRPr="00B64EAC">
        <w:rPr>
          <w:rFonts w:ascii="Arial" w:hAnsi="Arial" w:cs="Arial"/>
          <w:color w:val="000000" w:themeColor="text1"/>
          <w:sz w:val="24"/>
          <w:szCs w:val="24"/>
          <w:lang w:eastAsia="en-GB"/>
        </w:rPr>
        <w:t xml:space="preserve">, </w:t>
      </w:r>
      <w:proofErr w:type="spellStart"/>
      <w:r w:rsidRPr="00B64EAC">
        <w:rPr>
          <w:rFonts w:ascii="Arial" w:hAnsi="Arial" w:cs="Arial"/>
          <w:color w:val="000000" w:themeColor="text1"/>
          <w:sz w:val="24"/>
          <w:szCs w:val="24"/>
          <w:lang w:eastAsia="en-GB"/>
        </w:rPr>
        <w:t>Kher</w:t>
      </w:r>
      <w:proofErr w:type="spellEnd"/>
      <w:r w:rsidRPr="00B64EAC">
        <w:rPr>
          <w:rFonts w:ascii="Arial" w:hAnsi="Arial" w:cs="Arial"/>
          <w:color w:val="000000" w:themeColor="text1"/>
          <w:sz w:val="24"/>
          <w:szCs w:val="24"/>
          <w:lang w:eastAsia="en-GB"/>
        </w:rPr>
        <w:t xml:space="preserve">, and </w:t>
      </w:r>
      <w:proofErr w:type="spellStart"/>
      <w:r w:rsidRPr="00B64EAC">
        <w:rPr>
          <w:rFonts w:ascii="Arial" w:hAnsi="Arial" w:cs="Arial"/>
          <w:color w:val="000000" w:themeColor="text1"/>
          <w:sz w:val="24"/>
          <w:szCs w:val="24"/>
          <w:lang w:eastAsia="en-GB"/>
        </w:rPr>
        <w:t>Sugathan</w:t>
      </w:r>
      <w:proofErr w:type="spellEnd"/>
      <w:r w:rsidRPr="00B64EAC">
        <w:rPr>
          <w:rFonts w:ascii="Arial" w:hAnsi="Arial" w:cs="Arial"/>
          <w:color w:val="000000" w:themeColor="text1"/>
          <w:sz w:val="24"/>
          <w:szCs w:val="24"/>
          <w:lang w:eastAsia="en-GB"/>
        </w:rPr>
        <w:t>, 2020).</w:t>
      </w:r>
      <w:r>
        <w:rPr>
          <w:rFonts w:ascii="Arial" w:hAnsi="Arial" w:cs="Arial"/>
          <w:color w:val="000000" w:themeColor="text1"/>
          <w:sz w:val="24"/>
          <w:szCs w:val="24"/>
          <w:lang w:eastAsia="en-GB"/>
        </w:rPr>
        <w:t xml:space="preserve"> </w:t>
      </w:r>
      <w:r w:rsidRPr="00B64EAC">
        <w:rPr>
          <w:rFonts w:ascii="Arial" w:hAnsi="Arial" w:cs="Arial"/>
          <w:color w:val="000000" w:themeColor="text1"/>
          <w:sz w:val="24"/>
          <w:szCs w:val="24"/>
          <w:lang w:eastAsia="en-GB"/>
        </w:rPr>
        <w:t>The mixed-evidence technique has a number of advantages. Triangulation generates explanation by enabling patterns identified in one source to be validated or contested in another, so enhancing internal coherence (</w:t>
      </w:r>
      <w:proofErr w:type="spellStart"/>
      <w:r w:rsidRPr="00B64EAC">
        <w:rPr>
          <w:rFonts w:ascii="Arial" w:hAnsi="Arial" w:cs="Arial"/>
          <w:color w:val="000000" w:themeColor="text1"/>
          <w:sz w:val="24"/>
          <w:szCs w:val="24"/>
          <w:lang w:eastAsia="en-GB"/>
        </w:rPr>
        <w:t>Bazeley</w:t>
      </w:r>
      <w:proofErr w:type="spellEnd"/>
      <w:r w:rsidRPr="00B64EAC">
        <w:rPr>
          <w:rFonts w:ascii="Arial" w:hAnsi="Arial" w:cs="Arial"/>
          <w:color w:val="000000" w:themeColor="text1"/>
          <w:sz w:val="24"/>
          <w:szCs w:val="24"/>
          <w:lang w:eastAsia="en-GB"/>
        </w:rPr>
        <w:t xml:space="preserve"> and Jackson, 2019). The embedded structure facilitates comparison across sub-units, such as juxtaposing guest-facing procedures with back-of-house protocols, therefore uncovering causative processes that may stay dormant in single-unit investigations (Easton, 2020). However, constraints remain. The findings do not assert statistical representativeness beyond comparable four-star London hotels, and extended field participation poses a risk of researcher subjectivity despite the use of reflexive journaling (Guest, </w:t>
      </w:r>
      <w:proofErr w:type="spellStart"/>
      <w:r w:rsidRPr="00B64EAC">
        <w:rPr>
          <w:rFonts w:ascii="Arial" w:hAnsi="Arial" w:cs="Arial"/>
          <w:color w:val="000000" w:themeColor="text1"/>
          <w:sz w:val="24"/>
          <w:szCs w:val="24"/>
          <w:lang w:eastAsia="en-GB"/>
        </w:rPr>
        <w:t>Namey</w:t>
      </w:r>
      <w:proofErr w:type="spellEnd"/>
      <w:r w:rsidRPr="00B64EAC">
        <w:rPr>
          <w:rFonts w:ascii="Arial" w:hAnsi="Arial" w:cs="Arial"/>
          <w:color w:val="000000" w:themeColor="text1"/>
          <w:sz w:val="24"/>
          <w:szCs w:val="24"/>
          <w:lang w:eastAsia="en-GB"/>
        </w:rPr>
        <w:t xml:space="preserve">, and Mitchell, 2019). </w:t>
      </w:r>
      <w:proofErr w:type="spellStart"/>
      <w:r w:rsidRPr="00B64EAC">
        <w:rPr>
          <w:rFonts w:ascii="Arial" w:hAnsi="Arial" w:cs="Arial"/>
          <w:color w:val="000000" w:themeColor="text1"/>
          <w:sz w:val="24"/>
          <w:szCs w:val="24"/>
          <w:lang w:eastAsia="en-GB"/>
        </w:rPr>
        <w:t>Netnographic</w:t>
      </w:r>
      <w:proofErr w:type="spellEnd"/>
      <w:r w:rsidRPr="00B64EAC">
        <w:rPr>
          <w:rFonts w:ascii="Arial" w:hAnsi="Arial" w:cs="Arial"/>
          <w:color w:val="000000" w:themeColor="text1"/>
          <w:sz w:val="24"/>
          <w:szCs w:val="24"/>
          <w:lang w:eastAsia="en-GB"/>
        </w:rPr>
        <w:t xml:space="preserve"> data may be subject to self-selection bias, since disgruntled visitors are more inclined to post, a risk alleviated in this context by seeing online conversation as situational testimony rather than a population poll (</w:t>
      </w:r>
      <w:proofErr w:type="spellStart"/>
      <w:r w:rsidRPr="00B64EAC">
        <w:rPr>
          <w:rFonts w:ascii="Arial" w:hAnsi="Arial" w:cs="Arial"/>
          <w:color w:val="000000" w:themeColor="text1"/>
          <w:sz w:val="24"/>
          <w:szCs w:val="24"/>
          <w:lang w:eastAsia="en-GB"/>
        </w:rPr>
        <w:t>Lugova</w:t>
      </w:r>
      <w:proofErr w:type="spellEnd"/>
      <w:r w:rsidRPr="00B64EAC">
        <w:rPr>
          <w:rFonts w:ascii="Arial" w:hAnsi="Arial" w:cs="Arial"/>
          <w:color w:val="000000" w:themeColor="text1"/>
          <w:sz w:val="24"/>
          <w:szCs w:val="24"/>
          <w:lang w:eastAsia="en-GB"/>
        </w:rPr>
        <w:t xml:space="preserve"> and </w:t>
      </w:r>
      <w:proofErr w:type="spellStart"/>
      <w:r w:rsidRPr="00B64EAC">
        <w:rPr>
          <w:rFonts w:ascii="Arial" w:hAnsi="Arial" w:cs="Arial"/>
          <w:color w:val="000000" w:themeColor="text1"/>
          <w:sz w:val="24"/>
          <w:szCs w:val="24"/>
          <w:lang w:eastAsia="en-GB"/>
        </w:rPr>
        <w:t>Samah</w:t>
      </w:r>
      <w:proofErr w:type="spellEnd"/>
      <w:r w:rsidRPr="00B64EAC">
        <w:rPr>
          <w:rFonts w:ascii="Arial" w:hAnsi="Arial" w:cs="Arial"/>
          <w:color w:val="000000" w:themeColor="text1"/>
          <w:sz w:val="24"/>
          <w:szCs w:val="24"/>
          <w:lang w:eastAsia="en-GB"/>
        </w:rPr>
        <w:t>, 2019).</w:t>
      </w:r>
      <w:r>
        <w:rPr>
          <w:rFonts w:ascii="Arial" w:hAnsi="Arial" w:cs="Arial"/>
          <w:color w:val="000000" w:themeColor="text1"/>
          <w:sz w:val="24"/>
          <w:szCs w:val="24"/>
          <w:lang w:eastAsia="en-GB"/>
        </w:rPr>
        <w:t xml:space="preserve"> </w:t>
      </w:r>
      <w:r w:rsidRPr="00B64EAC">
        <w:rPr>
          <w:rFonts w:ascii="Arial" w:hAnsi="Arial" w:cs="Arial"/>
          <w:color w:val="000000" w:themeColor="text1"/>
          <w:sz w:val="24"/>
          <w:szCs w:val="24"/>
          <w:lang w:eastAsia="en-GB"/>
        </w:rPr>
        <w:t xml:space="preserve">The combined case-study and </w:t>
      </w:r>
      <w:proofErr w:type="spellStart"/>
      <w:r w:rsidRPr="00B64EAC">
        <w:rPr>
          <w:rFonts w:ascii="Arial" w:hAnsi="Arial" w:cs="Arial"/>
          <w:color w:val="000000" w:themeColor="text1"/>
          <w:sz w:val="24"/>
          <w:szCs w:val="24"/>
          <w:lang w:eastAsia="en-GB"/>
        </w:rPr>
        <w:t>netnographic</w:t>
      </w:r>
      <w:proofErr w:type="spellEnd"/>
      <w:r w:rsidRPr="00B64EAC">
        <w:rPr>
          <w:rFonts w:ascii="Arial" w:hAnsi="Arial" w:cs="Arial"/>
          <w:color w:val="000000" w:themeColor="text1"/>
          <w:sz w:val="24"/>
          <w:szCs w:val="24"/>
          <w:lang w:eastAsia="en-GB"/>
        </w:rPr>
        <w:t xml:space="preserve"> design strikes a balance between depth and breadth, merging direct immersion with secondary documentation, and establishes a framework for explanation development that is attuned to the relationship between overbooking decisions and technological reliability at Novotel London Wembley. Consequently, the methodological selections correspond with the project's aim of generating practical insights that accurately depict operational reality while enhancing academic comprehension. In the debate, the strengths and drawbacks of the selected strategy are explored to show that the author is aware of them. Subsequent research may enhance the architecture by integrating real-time system telemetry, allowing predictive analytics that efficiently avert concurrent capacity and technological issues.</w:t>
      </w:r>
    </w:p>
    <w:p w14:paraId="2CA80041" w14:textId="7F592E79" w:rsidR="009A3E6A" w:rsidRPr="009A3E6A" w:rsidRDefault="009A3E6A" w:rsidP="009A3E6A">
      <w:pPr>
        <w:pStyle w:val="EU"/>
        <w:numPr>
          <w:ilvl w:val="0"/>
          <w:numId w:val="1"/>
        </w:numPr>
        <w:spacing w:line="360" w:lineRule="auto"/>
        <w:rPr>
          <w:color w:val="000000" w:themeColor="text1"/>
        </w:rPr>
      </w:pPr>
      <w:bookmarkStart w:id="4" w:name="_Toc200755609"/>
      <w:r w:rsidRPr="009A3E6A">
        <w:rPr>
          <w:color w:val="000000" w:themeColor="text1"/>
        </w:rPr>
        <w:t>Hotel Overview and Findings</w:t>
      </w:r>
      <w:bookmarkEnd w:id="4"/>
    </w:p>
    <w:p w14:paraId="3AD06BE7" w14:textId="67EF6B9C" w:rsidR="00126C05" w:rsidRPr="009A3E6A" w:rsidRDefault="009A3E6A" w:rsidP="00BB091C">
      <w:pPr>
        <w:spacing w:line="360" w:lineRule="auto"/>
        <w:jc w:val="both"/>
        <w:rPr>
          <w:rFonts w:ascii="Arial" w:hAnsi="Arial" w:cs="Arial"/>
          <w:color w:val="000000" w:themeColor="text1"/>
          <w:sz w:val="24"/>
          <w:szCs w:val="24"/>
          <w:lang w:eastAsia="en-GB"/>
        </w:rPr>
      </w:pPr>
      <w:r w:rsidRPr="009A3E6A">
        <w:rPr>
          <w:rFonts w:ascii="Arial" w:hAnsi="Arial" w:cs="Arial"/>
          <w:color w:val="000000" w:themeColor="text1"/>
          <w:sz w:val="24"/>
          <w:szCs w:val="24"/>
          <w:lang w:eastAsia="en-GB"/>
        </w:rPr>
        <w:t>The Novotel London Wembley is a ten-story, four-star hotel at 5 Olympic Way. It has 235 guest rooms, eight conference suites, a fitness studio, and all-day dining. It is part of the Accor mid-scale portfolio (Accor, 2025). The hotel is across the street from Wembley Stadium and the OVO Arena, therefore it gets a lot of guests on concert and match days, with occupancy rates above ninety percent on weekdays (Short-term hotel room pricing impacts of sports events, 2020). Because of this kind of volatility, prices have to be flexible. For example, accommodation rates in event zones go up an average of fourteen percent on fixture nights, which increases the possibility for income but puts a strain on service systems (</w:t>
      </w:r>
      <w:proofErr w:type="spellStart"/>
      <w:r w:rsidRPr="009A3E6A">
        <w:rPr>
          <w:rFonts w:ascii="Arial" w:hAnsi="Arial" w:cs="Arial"/>
          <w:color w:val="000000" w:themeColor="text1"/>
          <w:sz w:val="24"/>
          <w:szCs w:val="24"/>
          <w:lang w:eastAsia="en-GB"/>
        </w:rPr>
        <w:t>Bhaskara</w:t>
      </w:r>
      <w:proofErr w:type="spellEnd"/>
      <w:r w:rsidRPr="009A3E6A">
        <w:rPr>
          <w:rFonts w:ascii="Arial" w:hAnsi="Arial" w:cs="Arial"/>
          <w:color w:val="000000" w:themeColor="text1"/>
          <w:sz w:val="24"/>
          <w:szCs w:val="24"/>
          <w:lang w:eastAsia="en-GB"/>
        </w:rPr>
        <w:t xml:space="preserve"> and </w:t>
      </w:r>
      <w:proofErr w:type="spellStart"/>
      <w:r w:rsidRPr="009A3E6A">
        <w:rPr>
          <w:rFonts w:ascii="Arial" w:hAnsi="Arial" w:cs="Arial"/>
          <w:color w:val="000000" w:themeColor="text1"/>
          <w:sz w:val="24"/>
          <w:szCs w:val="24"/>
          <w:lang w:eastAsia="en-GB"/>
        </w:rPr>
        <w:t>Filimonau</w:t>
      </w:r>
      <w:proofErr w:type="spellEnd"/>
      <w:r w:rsidRPr="009A3E6A">
        <w:rPr>
          <w:rFonts w:ascii="Arial" w:hAnsi="Arial" w:cs="Arial"/>
          <w:color w:val="000000" w:themeColor="text1"/>
          <w:sz w:val="24"/>
          <w:szCs w:val="24"/>
          <w:lang w:eastAsia="en-GB"/>
        </w:rPr>
        <w:t>, 2024). Accor's worldwide shift towards "smart hospitality" is what led to the property's use of technology including mobile keys, contactless payment, and cloud PMS. These are all aspects that have been found to increase engagement among UK millennials when they work well (</w:t>
      </w:r>
      <w:proofErr w:type="spellStart"/>
      <w:r w:rsidRPr="009A3E6A">
        <w:rPr>
          <w:rFonts w:ascii="Arial" w:hAnsi="Arial" w:cs="Arial"/>
          <w:color w:val="000000" w:themeColor="text1"/>
          <w:sz w:val="24"/>
          <w:szCs w:val="24"/>
          <w:lang w:eastAsia="en-GB"/>
        </w:rPr>
        <w:t>Ciampi</w:t>
      </w:r>
      <w:proofErr w:type="spellEnd"/>
      <w:r w:rsidRPr="009A3E6A">
        <w:rPr>
          <w:rFonts w:ascii="Arial" w:hAnsi="Arial" w:cs="Arial"/>
          <w:color w:val="000000" w:themeColor="text1"/>
          <w:sz w:val="24"/>
          <w:szCs w:val="24"/>
          <w:lang w:eastAsia="en-GB"/>
        </w:rPr>
        <w:t xml:space="preserve"> et al., 2021). Brand researchers say that Novotel's "Time Is on Your Side" promise stands out because of its flexible social areas and utilitarian architecture. This builds loyalty in the mid-scale market when consistency is maintained (Zhang et al., 2018). However, studies in London show that there are still workforce shortages that make it harder to be resilient during times of high demand. For example, there are an average of fifteen percent of frontline jobs open at four-star hotels that are similar to each other (</w:t>
      </w:r>
      <w:proofErr w:type="spellStart"/>
      <w:r w:rsidRPr="009A3E6A">
        <w:rPr>
          <w:rFonts w:ascii="Arial" w:hAnsi="Arial" w:cs="Arial"/>
          <w:color w:val="000000" w:themeColor="text1"/>
          <w:sz w:val="24"/>
          <w:szCs w:val="24"/>
          <w:lang w:eastAsia="en-GB"/>
        </w:rPr>
        <w:t>DeFranco</w:t>
      </w:r>
      <w:proofErr w:type="spellEnd"/>
      <w:r w:rsidRPr="009A3E6A">
        <w:rPr>
          <w:rFonts w:ascii="Arial" w:hAnsi="Arial" w:cs="Arial"/>
          <w:color w:val="000000" w:themeColor="text1"/>
          <w:sz w:val="24"/>
          <w:szCs w:val="24"/>
          <w:lang w:eastAsia="en-GB"/>
        </w:rPr>
        <w:t xml:space="preserve"> et al., 2022). In 2023, the hotel reported an expected turnover of £22 million and an average daily rate of £165. This was five percent better than the STR London mid-scale benchmark, but it was not as well as the Hilton Wembley when it came to guest satisfaction ratings. This operational background sets the stage for the following SWOT, PEST, competitor, </w:t>
      </w:r>
      <w:proofErr w:type="spellStart"/>
      <w:r w:rsidRPr="009A3E6A">
        <w:rPr>
          <w:rFonts w:ascii="Arial" w:hAnsi="Arial" w:cs="Arial"/>
          <w:color w:val="000000" w:themeColor="text1"/>
          <w:sz w:val="24"/>
          <w:szCs w:val="24"/>
          <w:lang w:eastAsia="en-GB"/>
        </w:rPr>
        <w:t>netnographic</w:t>
      </w:r>
      <w:proofErr w:type="spellEnd"/>
      <w:r w:rsidRPr="009A3E6A">
        <w:rPr>
          <w:rFonts w:ascii="Arial" w:hAnsi="Arial" w:cs="Arial"/>
          <w:color w:val="000000" w:themeColor="text1"/>
          <w:sz w:val="24"/>
          <w:szCs w:val="24"/>
          <w:lang w:eastAsia="en-GB"/>
        </w:rPr>
        <w:t>, and reflective studies that look at how overbooking strategies and technological reliability affect the visitor experience. Forward bookings linked to the projected UEFA finals in 2025 indicate more compression chances that may exacerbate operational pressure (Simpson, 2024).</w:t>
      </w:r>
      <w:r w:rsidR="00BB091C" w:rsidRPr="00BB091C">
        <w:t xml:space="preserve"> </w:t>
      </w:r>
      <w:r w:rsidR="00BB091C" w:rsidRPr="00BB091C">
        <w:rPr>
          <w:rFonts w:ascii="Arial" w:hAnsi="Arial" w:cs="Arial"/>
          <w:color w:val="000000" w:themeColor="text1"/>
          <w:sz w:val="24"/>
          <w:szCs w:val="24"/>
          <w:lang w:eastAsia="en-GB"/>
        </w:rPr>
        <w:t>Wembley Park has been redeveloped during the last 20 years at a cost of £3 billion. It is now a year-round attraction instead of only a place to watch matches (Urban Land Institute, 2021). The change is happening around Wembley Stadium and the OVO Arena, which together host more than 300 events a year and cause hotel prices to rise by 20% on peak nights (CoStar, 2024). The Jubilee and Metropolitan lines stop at Wembley Park Underground, which is about 250 meters from Novotel London Wembley. This means that visitors can get to Baker Street in less than twelve minutes, making it more appealing to those who need to get there quickly (Transport for London, 2025).</w:t>
      </w:r>
      <w:r w:rsidR="00BB091C">
        <w:rPr>
          <w:rFonts w:ascii="Arial" w:hAnsi="Arial" w:cs="Arial"/>
          <w:color w:val="000000" w:themeColor="text1"/>
          <w:sz w:val="24"/>
          <w:szCs w:val="24"/>
          <w:lang w:eastAsia="en-GB"/>
        </w:rPr>
        <w:t xml:space="preserve"> </w:t>
      </w:r>
      <w:r w:rsidR="00BB091C" w:rsidRPr="00BB091C">
        <w:rPr>
          <w:rFonts w:ascii="Arial" w:hAnsi="Arial" w:cs="Arial"/>
          <w:color w:val="000000" w:themeColor="text1"/>
          <w:sz w:val="24"/>
          <w:szCs w:val="24"/>
          <w:lang w:eastAsia="en-GB"/>
        </w:rPr>
        <w:t>According to local authorities, visitors to events spent £327 million in Brent's economy during the 2017–18 season alone, with accommodation being the biggest expense (Brent Council, 2019). This kind of compression leads to aggressive overbooking. For example, during last season's League Cup Final, the hotel took reservations for 108% of its rooms, and when late cancellations didn't happen, it moved six parties to sibling facilities. The tension was made worse by the fact that technology was fragile. On the day of the Beyoncé performance, the property management system was down for five minutes, forcing people to check in manually. This caused long lines that went all the way to the foyer and led to three public complaints about "chaotic reception" in online evaluations posted that same night. Key-card encoders also failed at random times, twice in one week, which meant that security had to lead guests to forty rooms while the system restarted. These live observations show how Wembley’s event-driven environment makes both revenue opportunities and operational risks bigger. Table 1 shows the most recent key performance indicators for Novotel London Wembley. Companies House papers reveal that the company's turnover for the year ending December 2023 was £22.3 million, which is a nine percent increase over 2022. This is a sign that events are starting to rebound after the pandemic (Companies House, 2024). According to STR benchmarking, the average daily rate for the year so far in 2024 is £165 and the income per available room is £127, which is five points more than the London mid-scale set (STR, 2024). The average number of full-time equivalents on staff was 142, or 0.60 workers per room. This is a little below than the UK four-star norm of 0.67 (British Hospitality Association, 2024). To reflect the event-driven occupancy profile, the department headcount is mostly made up of people who work in food &amp; beverage and cleaning (Knight Frank, 2024). The hotel is in the top quartile of Accor's mid-scale network for RevPAR index. This is because to the compression impact of Wembley during concerts and football finals (Hotel Analyst, 2025).</w:t>
      </w:r>
    </w:p>
    <w:tbl>
      <w:tblPr>
        <w:tblStyle w:val="TableGrid"/>
        <w:tblW w:w="0" w:type="auto"/>
        <w:tblLook w:val="04A0" w:firstRow="1" w:lastRow="0" w:firstColumn="1" w:lastColumn="0" w:noHBand="0" w:noVBand="1"/>
      </w:tblPr>
      <w:tblGrid>
        <w:gridCol w:w="4508"/>
        <w:gridCol w:w="4508"/>
      </w:tblGrid>
      <w:tr w:rsidR="00BB091C" w14:paraId="0F5794B4" w14:textId="77777777" w:rsidTr="00BB091C">
        <w:tc>
          <w:tcPr>
            <w:tcW w:w="4508" w:type="dxa"/>
          </w:tcPr>
          <w:p w14:paraId="63215EE4" w14:textId="5AEBFDB2" w:rsidR="00BB091C" w:rsidRPr="00BB091C" w:rsidRDefault="00BB091C" w:rsidP="00BB091C">
            <w:pPr>
              <w:spacing w:line="360" w:lineRule="auto"/>
              <w:jc w:val="both"/>
              <w:rPr>
                <w:rFonts w:ascii="Arial" w:hAnsi="Arial" w:cs="Arial"/>
                <w:b/>
                <w:bCs/>
                <w:color w:val="000000" w:themeColor="text1"/>
                <w:sz w:val="24"/>
                <w:szCs w:val="24"/>
                <w:lang w:eastAsia="en-GB"/>
              </w:rPr>
            </w:pPr>
            <w:r w:rsidRPr="00BB091C">
              <w:rPr>
                <w:rFonts w:ascii="Arial" w:hAnsi="Arial" w:cs="Arial"/>
                <w:b/>
                <w:bCs/>
                <w:sz w:val="24"/>
                <w:szCs w:val="24"/>
              </w:rPr>
              <w:t>Metric</w:t>
            </w:r>
          </w:p>
        </w:tc>
        <w:tc>
          <w:tcPr>
            <w:tcW w:w="4508" w:type="dxa"/>
          </w:tcPr>
          <w:p w14:paraId="12422A25" w14:textId="2A7078A6" w:rsidR="00BB091C" w:rsidRPr="00BB091C" w:rsidRDefault="00BB091C" w:rsidP="00BB091C">
            <w:pPr>
              <w:spacing w:line="360" w:lineRule="auto"/>
              <w:jc w:val="both"/>
              <w:rPr>
                <w:rFonts w:ascii="Arial" w:hAnsi="Arial" w:cs="Arial"/>
                <w:b/>
                <w:bCs/>
                <w:color w:val="000000" w:themeColor="text1"/>
                <w:sz w:val="24"/>
                <w:szCs w:val="24"/>
                <w:lang w:eastAsia="en-GB"/>
              </w:rPr>
            </w:pPr>
            <w:r w:rsidRPr="00BB091C">
              <w:rPr>
                <w:rFonts w:ascii="Arial" w:hAnsi="Arial" w:cs="Arial"/>
                <w:b/>
                <w:bCs/>
                <w:sz w:val="24"/>
                <w:szCs w:val="24"/>
              </w:rPr>
              <w:t>2023 Value</w:t>
            </w:r>
          </w:p>
        </w:tc>
      </w:tr>
      <w:tr w:rsidR="00BB091C" w14:paraId="2BFE0DB9" w14:textId="77777777" w:rsidTr="00BB091C">
        <w:tc>
          <w:tcPr>
            <w:tcW w:w="4508" w:type="dxa"/>
          </w:tcPr>
          <w:p w14:paraId="2DF066E7" w14:textId="37D140C3"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Turnover (£m)</w:t>
            </w:r>
          </w:p>
        </w:tc>
        <w:tc>
          <w:tcPr>
            <w:tcW w:w="4508" w:type="dxa"/>
          </w:tcPr>
          <w:p w14:paraId="7AA87784" w14:textId="71AE451D"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22.3</w:t>
            </w:r>
          </w:p>
        </w:tc>
      </w:tr>
      <w:tr w:rsidR="00BB091C" w14:paraId="6F9AB7F8" w14:textId="77777777" w:rsidTr="00BB091C">
        <w:tc>
          <w:tcPr>
            <w:tcW w:w="4508" w:type="dxa"/>
          </w:tcPr>
          <w:p w14:paraId="4C6134F8" w14:textId="459E664A"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ADR (£)</w:t>
            </w:r>
          </w:p>
        </w:tc>
        <w:tc>
          <w:tcPr>
            <w:tcW w:w="4508" w:type="dxa"/>
          </w:tcPr>
          <w:p w14:paraId="4839E1DD" w14:textId="68C70F5B"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165</w:t>
            </w:r>
          </w:p>
        </w:tc>
      </w:tr>
      <w:tr w:rsidR="00BB091C" w14:paraId="2867ACEF" w14:textId="77777777" w:rsidTr="00BB091C">
        <w:tc>
          <w:tcPr>
            <w:tcW w:w="4508" w:type="dxa"/>
          </w:tcPr>
          <w:p w14:paraId="1D909963" w14:textId="37A4F42B"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RevPAR (£)</w:t>
            </w:r>
          </w:p>
        </w:tc>
        <w:tc>
          <w:tcPr>
            <w:tcW w:w="4508" w:type="dxa"/>
          </w:tcPr>
          <w:p w14:paraId="4F591AD8" w14:textId="4E37F4DB"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127</w:t>
            </w:r>
          </w:p>
        </w:tc>
      </w:tr>
      <w:tr w:rsidR="00BB091C" w14:paraId="23CD3E3E" w14:textId="77777777" w:rsidTr="00BB091C">
        <w:tc>
          <w:tcPr>
            <w:tcW w:w="4508" w:type="dxa"/>
          </w:tcPr>
          <w:p w14:paraId="2C6205D9" w14:textId="53B94A3A"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Staff FTE</w:t>
            </w:r>
          </w:p>
        </w:tc>
        <w:tc>
          <w:tcPr>
            <w:tcW w:w="4508" w:type="dxa"/>
          </w:tcPr>
          <w:p w14:paraId="47871213" w14:textId="066176A7"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142</w:t>
            </w:r>
          </w:p>
        </w:tc>
      </w:tr>
      <w:tr w:rsidR="00BB091C" w14:paraId="1B341F5E" w14:textId="77777777" w:rsidTr="00BB091C">
        <w:tc>
          <w:tcPr>
            <w:tcW w:w="4508" w:type="dxa"/>
          </w:tcPr>
          <w:p w14:paraId="13D9941D" w14:textId="6411A781"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Employees per room</w:t>
            </w:r>
          </w:p>
        </w:tc>
        <w:tc>
          <w:tcPr>
            <w:tcW w:w="4508" w:type="dxa"/>
          </w:tcPr>
          <w:p w14:paraId="1D13C9DF" w14:textId="1453DA9B"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0.60</w:t>
            </w:r>
          </w:p>
        </w:tc>
      </w:tr>
      <w:tr w:rsidR="00BB091C" w14:paraId="008D59E5" w14:textId="77777777" w:rsidTr="00BB091C">
        <w:tc>
          <w:tcPr>
            <w:tcW w:w="4508" w:type="dxa"/>
          </w:tcPr>
          <w:p w14:paraId="39A42B32" w14:textId="6FF61E82"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Accor RevPAR index</w:t>
            </w:r>
          </w:p>
        </w:tc>
        <w:tc>
          <w:tcPr>
            <w:tcW w:w="4508" w:type="dxa"/>
          </w:tcPr>
          <w:p w14:paraId="6A19F308" w14:textId="4FFD55E4" w:rsidR="00BB091C" w:rsidRPr="00BB091C" w:rsidRDefault="00BB091C" w:rsidP="00BB091C">
            <w:pPr>
              <w:spacing w:line="360" w:lineRule="auto"/>
              <w:jc w:val="both"/>
              <w:rPr>
                <w:rFonts w:ascii="Arial" w:hAnsi="Arial" w:cs="Arial"/>
                <w:color w:val="000000" w:themeColor="text1"/>
                <w:sz w:val="24"/>
                <w:szCs w:val="24"/>
                <w:lang w:eastAsia="en-GB"/>
              </w:rPr>
            </w:pPr>
            <w:r w:rsidRPr="00BB091C">
              <w:rPr>
                <w:rFonts w:ascii="Arial" w:hAnsi="Arial" w:cs="Arial"/>
                <w:sz w:val="24"/>
                <w:szCs w:val="24"/>
              </w:rPr>
              <w:t>Top quartile</w:t>
            </w:r>
          </w:p>
        </w:tc>
      </w:tr>
    </w:tbl>
    <w:p w14:paraId="66289F81" w14:textId="77777777" w:rsidR="00126C05" w:rsidRPr="009A3E6A" w:rsidRDefault="00126C05" w:rsidP="009A3E6A">
      <w:pPr>
        <w:spacing w:line="360" w:lineRule="auto"/>
        <w:jc w:val="both"/>
        <w:rPr>
          <w:rFonts w:ascii="Arial" w:hAnsi="Arial" w:cs="Arial"/>
          <w:color w:val="000000" w:themeColor="text1"/>
          <w:sz w:val="24"/>
          <w:szCs w:val="24"/>
          <w:lang w:eastAsia="en-GB"/>
        </w:rPr>
      </w:pPr>
    </w:p>
    <w:p w14:paraId="13195F5D" w14:textId="7D060B41" w:rsidR="00126C05" w:rsidRPr="00BB091C" w:rsidRDefault="00BB091C" w:rsidP="009A3E6A">
      <w:pPr>
        <w:spacing w:line="360" w:lineRule="auto"/>
        <w:jc w:val="both"/>
        <w:rPr>
          <w:rFonts w:ascii="Arial" w:hAnsi="Arial" w:cs="Arial"/>
          <w:b/>
          <w:bCs/>
          <w:color w:val="000000" w:themeColor="text1"/>
          <w:sz w:val="24"/>
          <w:szCs w:val="24"/>
          <w:lang w:eastAsia="en-GB"/>
        </w:rPr>
      </w:pPr>
      <w:r w:rsidRPr="00BB091C">
        <w:rPr>
          <w:rFonts w:ascii="Arial" w:hAnsi="Arial" w:cs="Arial"/>
          <w:b/>
          <w:bCs/>
          <w:color w:val="000000" w:themeColor="text1"/>
          <w:sz w:val="24"/>
          <w:szCs w:val="24"/>
          <w:lang w:eastAsia="en-GB"/>
        </w:rPr>
        <w:t xml:space="preserve">SWOT Analysis </w:t>
      </w:r>
    </w:p>
    <w:p w14:paraId="05B96AD9" w14:textId="27225511" w:rsidR="00126C05" w:rsidRPr="009A3E6A" w:rsidRDefault="0001405F" w:rsidP="009A3E6A">
      <w:pPr>
        <w:spacing w:line="360" w:lineRule="auto"/>
        <w:jc w:val="both"/>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Novotel London Wembley has a great competitive edge because of its brand equity, event-driven location, and sophisticated digital capabilities. However, it also has to deal with operational problems and market uncertainties that need careful management. The hotel is part of Accor's global network and uses corporate distribution platforms and the ALL loyalty program to get more direct bookings than the market average (Deloitte, 2023). It is also close to Wembley Stadium and the OVO Arena, which keeps demand high and raises RevPAR premiums by up to 18% on major event nights compared to the London mid-scale average (CBRE Hotels, 2024). A newly enhanced cloud-based property management system offers mobile check-in and centralised revenue controls, which fits with guests' desire for touchless trips (IBM, 2023). But these virtues are balanced out by drawbacks that come from how much work it takes and how much space it takes up: Brexit-related tightening of the hospitality labour pool has pushed casual staff turnover above forty percent, which has raised training costs and made it harder to fill service gaps during peak arrivals (</w:t>
      </w:r>
      <w:proofErr w:type="spellStart"/>
      <w:r w:rsidRPr="0001405F">
        <w:rPr>
          <w:rFonts w:ascii="Arial" w:hAnsi="Arial" w:cs="Arial"/>
          <w:color w:val="000000" w:themeColor="text1"/>
          <w:sz w:val="24"/>
          <w:szCs w:val="24"/>
          <w:lang w:eastAsia="en-GB"/>
        </w:rPr>
        <w:t>UKHospitality</w:t>
      </w:r>
      <w:proofErr w:type="spellEnd"/>
      <w:r w:rsidRPr="0001405F">
        <w:rPr>
          <w:rFonts w:ascii="Arial" w:hAnsi="Arial" w:cs="Arial"/>
          <w:color w:val="000000" w:themeColor="text1"/>
          <w:sz w:val="24"/>
          <w:szCs w:val="24"/>
          <w:lang w:eastAsia="en-GB"/>
        </w:rPr>
        <w:t>, 2024). Guest feedback has also noted that the back-of-house layout is too tight, which makes it harder to store luggage and makes it harder to check out late. There are several chances outside of the company: Brent Council's ongoing Wembley Park Vision is adding retail, residential and conference spaces that can make people stay longer (Greater London Authority, 2023). The planned Elizabeth line extension to Old Oak Common is expected to cut transfer times from Heathrow to twenty-five minutes, which could bring in more international visitors (Transport for London, 2024). However, threats still exist. The Hilton, Premier Inn, and soon-to-open Ibis Styles are all using dynamic pricing algorithms that could lower Novotel's rate premium during shoulder periods. Also, the UK Government's net-zero roadmap is making people more aware of how hotels are doing on sustainability, which could hurt mid-scale hotels that aren't very clear about their carbon emissions (Department for Energy Security and Net Zero, 2024). Technological fragility is another concern. For example, when the PMS was down for a short time during the 2024 Carabao Cup Final, people had to manually allocate tasks, which led to harsh comments on social media within minutes. This shows how vulnerable a company's image can be in a market where everyone is linked. Lastly, possible rules for short-term rentals might drive price-sensitive customers back to hotels, but they could also start a price war on Airbnb that lowers profits if supply is only substantially cut (VisitBritain, 2025). AI-enabled dashboards that keep track of guest sentiment and relationships with local event organisers will help turn one-time visitors into repeat customers, which will help keep income stable throughout the year. Putting money into renewable energy on-site and being certified for green operations can also help lower future carbon taxes and make your business stand out to eco-conscious tourists.</w:t>
      </w:r>
    </w:p>
    <w:p w14:paraId="293ED3C7" w14:textId="478FA112" w:rsidR="00126C05" w:rsidRPr="00D1108D" w:rsidRDefault="00D1108D" w:rsidP="00126C05">
      <w:pPr>
        <w:spacing w:line="360" w:lineRule="auto"/>
        <w:jc w:val="both"/>
        <w:rPr>
          <w:rFonts w:ascii="Arial" w:hAnsi="Arial" w:cs="Arial"/>
          <w:b/>
          <w:bCs/>
          <w:color w:val="000000" w:themeColor="text1"/>
          <w:sz w:val="24"/>
          <w:szCs w:val="24"/>
          <w:lang w:eastAsia="en-GB"/>
        </w:rPr>
      </w:pPr>
      <w:r w:rsidRPr="00D1108D">
        <w:rPr>
          <w:rFonts w:ascii="Arial" w:hAnsi="Arial" w:cs="Arial"/>
          <w:b/>
          <w:bCs/>
          <w:color w:val="000000" w:themeColor="text1"/>
          <w:sz w:val="24"/>
          <w:szCs w:val="24"/>
          <w:lang w:eastAsia="en-GB"/>
        </w:rPr>
        <w:t>PEST Analysis</w:t>
      </w:r>
    </w:p>
    <w:tbl>
      <w:tblPr>
        <w:tblStyle w:val="TableGrid"/>
        <w:tblW w:w="0" w:type="auto"/>
        <w:tblLook w:val="04A0" w:firstRow="1" w:lastRow="0" w:firstColumn="1" w:lastColumn="0" w:noHBand="0" w:noVBand="1"/>
      </w:tblPr>
      <w:tblGrid>
        <w:gridCol w:w="2405"/>
        <w:gridCol w:w="6611"/>
      </w:tblGrid>
      <w:tr w:rsidR="00D1108D" w14:paraId="17740BC7" w14:textId="77777777" w:rsidTr="00D1108D">
        <w:tc>
          <w:tcPr>
            <w:tcW w:w="2405" w:type="dxa"/>
          </w:tcPr>
          <w:p w14:paraId="24ABEB0A" w14:textId="44B1D25A" w:rsidR="00D1108D" w:rsidRPr="00D1108D" w:rsidRDefault="00D1108D" w:rsidP="00D1108D">
            <w:pPr>
              <w:spacing w:line="360" w:lineRule="auto"/>
              <w:jc w:val="both"/>
              <w:rPr>
                <w:rFonts w:ascii="Arial" w:hAnsi="Arial" w:cs="Arial"/>
                <w:b/>
                <w:bCs/>
                <w:color w:val="000000" w:themeColor="text1"/>
                <w:sz w:val="24"/>
                <w:szCs w:val="24"/>
                <w:lang w:eastAsia="en-GB"/>
              </w:rPr>
            </w:pPr>
            <w:r w:rsidRPr="00D1108D">
              <w:rPr>
                <w:rFonts w:ascii="Arial" w:hAnsi="Arial" w:cs="Arial"/>
                <w:b/>
                <w:bCs/>
                <w:color w:val="000000" w:themeColor="text1"/>
                <w:sz w:val="24"/>
                <w:szCs w:val="24"/>
              </w:rPr>
              <w:t>Political</w:t>
            </w:r>
          </w:p>
        </w:tc>
        <w:tc>
          <w:tcPr>
            <w:tcW w:w="6611" w:type="dxa"/>
          </w:tcPr>
          <w:p w14:paraId="398F43F1" w14:textId="34229A6B"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rPr>
            </w:pPr>
            <w:r w:rsidRPr="00D1108D">
              <w:rPr>
                <w:rFonts w:ascii="Arial" w:hAnsi="Arial" w:cs="Arial"/>
                <w:color w:val="000000" w:themeColor="text1"/>
                <w:sz w:val="24"/>
                <w:szCs w:val="24"/>
              </w:rPr>
              <w:t>Post-Brexit immigration rules have reduced the flow of EU hospitality workers, tightening the London labour pool and increasing recruitment costs (House of Commons Library, 2024).</w:t>
            </w:r>
          </w:p>
          <w:p w14:paraId="3289231F" w14:textId="7E2055FA"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rPr>
            </w:pPr>
            <w:r w:rsidRPr="00D1108D">
              <w:rPr>
                <w:rFonts w:ascii="Arial" w:hAnsi="Arial" w:cs="Arial"/>
                <w:color w:val="000000" w:themeColor="text1"/>
                <w:sz w:val="24"/>
                <w:szCs w:val="24"/>
                <w:lang w:eastAsia="en-GB"/>
              </w:rPr>
              <w:t>The National Living Wage rose 9.8 % in April 2025, adding direct payroll pressure (Low Pay Commission, 2025).</w:t>
            </w:r>
          </w:p>
          <w:p w14:paraId="52151CED" w14:textId="71706EE8"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Brent Council’s Local Plan incentivises mixed-use development around the stadium, raising planning constraints but generating demand from new offices and homes (Brent Council, 2023).</w:t>
            </w:r>
          </w:p>
          <w:p w14:paraId="7264934E" w14:textId="34231CC2"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The UK’s Net Zero Strategy obliges large hotels to disclose carbon-reduction trajectories, influencing capex toward energy-efficient retrofits (Department for Energy Security and Net Zero, 2024).</w:t>
            </w:r>
          </w:p>
        </w:tc>
      </w:tr>
      <w:tr w:rsidR="00D1108D" w14:paraId="3353253E" w14:textId="77777777" w:rsidTr="00D1108D">
        <w:tc>
          <w:tcPr>
            <w:tcW w:w="2405" w:type="dxa"/>
          </w:tcPr>
          <w:p w14:paraId="59F48F42" w14:textId="7917CB4E" w:rsidR="00D1108D" w:rsidRPr="00D1108D" w:rsidRDefault="00D1108D" w:rsidP="00D1108D">
            <w:pPr>
              <w:spacing w:line="360" w:lineRule="auto"/>
              <w:jc w:val="both"/>
              <w:rPr>
                <w:rFonts w:ascii="Arial" w:hAnsi="Arial" w:cs="Arial"/>
                <w:b/>
                <w:bCs/>
                <w:color w:val="000000" w:themeColor="text1"/>
                <w:sz w:val="24"/>
                <w:szCs w:val="24"/>
                <w:lang w:eastAsia="en-GB"/>
              </w:rPr>
            </w:pPr>
            <w:r w:rsidRPr="00D1108D">
              <w:rPr>
                <w:rFonts w:ascii="Arial" w:hAnsi="Arial" w:cs="Arial"/>
                <w:b/>
                <w:bCs/>
                <w:color w:val="000000" w:themeColor="text1"/>
                <w:sz w:val="24"/>
                <w:szCs w:val="24"/>
                <w:lang w:eastAsia="en-GB"/>
              </w:rPr>
              <w:t>Economic</w:t>
            </w:r>
          </w:p>
        </w:tc>
        <w:tc>
          <w:tcPr>
            <w:tcW w:w="6611" w:type="dxa"/>
          </w:tcPr>
          <w:p w14:paraId="30D341C7" w14:textId="77777777"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UK hotel RevPAR growth is forecast to slow to 2 % in 2025 as cost-of-living pressures temper leisure spend (PwC, 2024).</w:t>
            </w:r>
          </w:p>
          <w:p w14:paraId="338F4756" w14:textId="24E7809A"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London inflation for food and utilities remains above the national mean, squeezing operating margins (Office for National Statistics, 2025).</w:t>
            </w:r>
          </w:p>
          <w:p w14:paraId="1AB07221" w14:textId="2CF4C8DC"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Event-led compression pushes ADR premiums of 15–20 % on match days, but also heightens refund exposure when fixtures shift (Oxford Economics, 2024).</w:t>
            </w:r>
          </w:p>
          <w:p w14:paraId="1628B923" w14:textId="02F8E7AA" w:rsidR="00D1108D" w:rsidRPr="00D1108D" w:rsidRDefault="00D1108D" w:rsidP="00D1108D">
            <w:pPr>
              <w:pStyle w:val="ListParagraph"/>
              <w:numPr>
                <w:ilvl w:val="0"/>
                <w:numId w:val="3"/>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Rising gilt yields elevate financing costs for refurbishment loans, delaying back-of-house upgrades (Bank of England, 2025).</w:t>
            </w:r>
          </w:p>
        </w:tc>
      </w:tr>
      <w:tr w:rsidR="00D1108D" w14:paraId="110E224A" w14:textId="77777777" w:rsidTr="00D1108D">
        <w:tc>
          <w:tcPr>
            <w:tcW w:w="2405" w:type="dxa"/>
          </w:tcPr>
          <w:p w14:paraId="17C897D6" w14:textId="344C44F4" w:rsidR="00D1108D" w:rsidRPr="00D1108D" w:rsidRDefault="00D1108D" w:rsidP="00D1108D">
            <w:pPr>
              <w:spacing w:line="360" w:lineRule="auto"/>
              <w:jc w:val="both"/>
              <w:rPr>
                <w:rFonts w:ascii="Arial" w:hAnsi="Arial" w:cs="Arial"/>
                <w:b/>
                <w:bCs/>
                <w:color w:val="000000" w:themeColor="text1"/>
                <w:sz w:val="24"/>
                <w:szCs w:val="24"/>
                <w:lang w:eastAsia="en-GB"/>
              </w:rPr>
            </w:pPr>
            <w:r w:rsidRPr="00D1108D">
              <w:rPr>
                <w:rFonts w:ascii="Arial" w:hAnsi="Arial" w:cs="Arial"/>
                <w:b/>
                <w:bCs/>
                <w:color w:val="000000" w:themeColor="text1"/>
                <w:sz w:val="24"/>
                <w:szCs w:val="24"/>
                <w:lang w:eastAsia="en-GB"/>
              </w:rPr>
              <w:t>Social</w:t>
            </w:r>
          </w:p>
        </w:tc>
        <w:tc>
          <w:tcPr>
            <w:tcW w:w="6611" w:type="dxa"/>
          </w:tcPr>
          <w:p w14:paraId="403C6EC9" w14:textId="77777777" w:rsidR="00D1108D" w:rsidRPr="00D1108D" w:rsidRDefault="00D1108D" w:rsidP="00D1108D">
            <w:pPr>
              <w:pStyle w:val="ListParagraph"/>
              <w:numPr>
                <w:ilvl w:val="0"/>
                <w:numId w:val="4"/>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Gen Z travellers prioritise seamless digital journeys and ethical sourcing, rating sustainability certificates above brand tier (Deloitte, 2024).</w:t>
            </w:r>
          </w:p>
          <w:p w14:paraId="6972D89A" w14:textId="2E29F7B8" w:rsidR="00D1108D" w:rsidRPr="00D1108D" w:rsidRDefault="00D1108D" w:rsidP="00D1108D">
            <w:pPr>
              <w:pStyle w:val="ListParagraph"/>
              <w:numPr>
                <w:ilvl w:val="0"/>
                <w:numId w:val="4"/>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Domestic short-break demand remains robust as outbound airfare stays high, extending weekend shoulder business (VisitBritain, 2025).</w:t>
            </w:r>
          </w:p>
          <w:p w14:paraId="75EC8600" w14:textId="77582DDA" w:rsidR="00D1108D" w:rsidRPr="00D1108D" w:rsidRDefault="00D1108D" w:rsidP="00D1108D">
            <w:pPr>
              <w:pStyle w:val="ListParagraph"/>
              <w:numPr>
                <w:ilvl w:val="0"/>
                <w:numId w:val="4"/>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UK Hospitality reports staff turnover at 42 % in London hotels, risking service consistency during overbooking peaks (</w:t>
            </w:r>
            <w:proofErr w:type="spellStart"/>
            <w:r w:rsidRPr="00D1108D">
              <w:rPr>
                <w:rFonts w:ascii="Arial" w:hAnsi="Arial" w:cs="Arial"/>
                <w:color w:val="000000" w:themeColor="text1"/>
                <w:sz w:val="24"/>
                <w:szCs w:val="24"/>
                <w:lang w:eastAsia="en-GB"/>
              </w:rPr>
              <w:t>UKHospitality</w:t>
            </w:r>
            <w:proofErr w:type="spellEnd"/>
            <w:r w:rsidRPr="00D1108D">
              <w:rPr>
                <w:rFonts w:ascii="Arial" w:hAnsi="Arial" w:cs="Arial"/>
                <w:color w:val="000000" w:themeColor="text1"/>
                <w:sz w:val="24"/>
                <w:szCs w:val="24"/>
                <w:lang w:eastAsia="en-GB"/>
              </w:rPr>
              <w:t>, 2024).</w:t>
            </w:r>
          </w:p>
          <w:p w14:paraId="0575BE31" w14:textId="239202E8" w:rsidR="00D1108D" w:rsidRPr="00D1108D" w:rsidRDefault="00D1108D" w:rsidP="00D1108D">
            <w:pPr>
              <w:pStyle w:val="ListParagraph"/>
              <w:numPr>
                <w:ilvl w:val="0"/>
                <w:numId w:val="4"/>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Heightened public scrutiny of data privacy makes guests wary of unchecked facial-recognition pilots (Information Commissioner’s Office, 2025).</w:t>
            </w:r>
          </w:p>
        </w:tc>
      </w:tr>
      <w:tr w:rsidR="00D1108D" w14:paraId="27232804" w14:textId="77777777" w:rsidTr="00D1108D">
        <w:tc>
          <w:tcPr>
            <w:tcW w:w="2405" w:type="dxa"/>
          </w:tcPr>
          <w:p w14:paraId="6646251B" w14:textId="6D74B1B3" w:rsidR="00D1108D" w:rsidRPr="00D1108D" w:rsidRDefault="00D1108D" w:rsidP="00D1108D">
            <w:pPr>
              <w:spacing w:line="360" w:lineRule="auto"/>
              <w:jc w:val="both"/>
              <w:rPr>
                <w:rFonts w:ascii="Arial" w:hAnsi="Arial" w:cs="Arial"/>
                <w:b/>
                <w:bCs/>
                <w:color w:val="000000" w:themeColor="text1"/>
                <w:sz w:val="24"/>
                <w:szCs w:val="24"/>
                <w:lang w:eastAsia="en-GB"/>
              </w:rPr>
            </w:pPr>
            <w:r w:rsidRPr="00D1108D">
              <w:rPr>
                <w:rFonts w:ascii="Arial" w:hAnsi="Arial" w:cs="Arial"/>
                <w:b/>
                <w:bCs/>
                <w:color w:val="000000" w:themeColor="text1"/>
                <w:sz w:val="24"/>
                <w:szCs w:val="24"/>
                <w:lang w:eastAsia="en-GB"/>
              </w:rPr>
              <w:t>Technological</w:t>
            </w:r>
          </w:p>
        </w:tc>
        <w:tc>
          <w:tcPr>
            <w:tcW w:w="6611" w:type="dxa"/>
          </w:tcPr>
          <w:p w14:paraId="290D4849" w14:textId="77777777" w:rsidR="00D1108D" w:rsidRPr="00D1108D" w:rsidRDefault="00D1108D" w:rsidP="00D1108D">
            <w:pPr>
              <w:pStyle w:val="ListParagraph"/>
              <w:numPr>
                <w:ilvl w:val="0"/>
                <w:numId w:val="5"/>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Mobile key adoption across UK mid-scale hotels reached 48 % in 2024, but PMS–door-lock integration failures still drive front-desk queues (Hotel Technology Report, 2024).</w:t>
            </w:r>
          </w:p>
          <w:p w14:paraId="7D9ACE3D" w14:textId="300E25BB" w:rsidR="00D1108D" w:rsidRPr="00D1108D" w:rsidRDefault="00D1108D" w:rsidP="00D1108D">
            <w:pPr>
              <w:pStyle w:val="ListParagraph"/>
              <w:numPr>
                <w:ilvl w:val="0"/>
                <w:numId w:val="5"/>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Cloud-based revenue-management systems leveraging real-time event feeds lift RevPAR by up to 6 % when calibrated correctly (Edwards et al., 2023).</w:t>
            </w:r>
          </w:p>
          <w:p w14:paraId="36E7036E" w14:textId="2201AFF4" w:rsidR="00D1108D" w:rsidRPr="00D1108D" w:rsidRDefault="00D1108D" w:rsidP="00D1108D">
            <w:pPr>
              <w:pStyle w:val="ListParagraph"/>
              <w:numPr>
                <w:ilvl w:val="0"/>
                <w:numId w:val="5"/>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5G rollout at Wembley Park enables low-latency IoT monitoring of HVAC and lifts, yet raises cybersecurity spend (Ofcom, 2024).</w:t>
            </w:r>
          </w:p>
          <w:p w14:paraId="2C0A6DCD" w14:textId="5199A8C8" w:rsidR="00D1108D" w:rsidRPr="00D1108D" w:rsidRDefault="00D1108D" w:rsidP="00D1108D">
            <w:pPr>
              <w:pStyle w:val="ListParagraph"/>
              <w:numPr>
                <w:ilvl w:val="0"/>
                <w:numId w:val="5"/>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Generative-AI chatbots now handle 22 % of Accor’s UK pre-stay enquiries, freeing staff but demanding AI governance frameworks (Accor, 2025).</w:t>
            </w:r>
          </w:p>
        </w:tc>
      </w:tr>
    </w:tbl>
    <w:p w14:paraId="7D63917B" w14:textId="77777777" w:rsidR="00126C05" w:rsidRDefault="00126C05" w:rsidP="00126C05">
      <w:pPr>
        <w:spacing w:line="360" w:lineRule="auto"/>
        <w:jc w:val="both"/>
        <w:rPr>
          <w:rFonts w:ascii="Arial" w:hAnsi="Arial" w:cs="Arial"/>
          <w:color w:val="000000" w:themeColor="text1"/>
          <w:sz w:val="24"/>
          <w:szCs w:val="24"/>
          <w:lang w:eastAsia="en-GB"/>
        </w:rPr>
      </w:pPr>
    </w:p>
    <w:p w14:paraId="43DFC885" w14:textId="299BD672" w:rsidR="00126C05" w:rsidRDefault="006E4BFF" w:rsidP="00126C05">
      <w:p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 xml:space="preserve">On June 12, 2025, booking-site price trackers put Novotel London Wembley in a crowded mid-range group. They said the average daily rate was £165 and the guest review score was 8.5. Hilton London Wembley was £190 and 8.8, Holiday Inn London Wembley was £140 and 8.0, and Premier Inn Wembley Park was £110 and 8.2 (Booking.com, 2025). TripAdvisor's meta-search panel showed that the spreads were comparable, and that Hilton's match-night pricing may be more than £300, which shows that the hotel makes more money since its reputation index is somewhat higher (TripAdvisor, 2025). Studies on revenue management show that each extra </w:t>
      </w:r>
      <w:proofErr w:type="spellStart"/>
      <w:r w:rsidRPr="006E4BFF">
        <w:rPr>
          <w:rFonts w:ascii="Arial" w:hAnsi="Arial" w:cs="Arial"/>
          <w:color w:val="000000" w:themeColor="text1"/>
          <w:sz w:val="24"/>
          <w:szCs w:val="24"/>
          <w:lang w:eastAsia="en-GB"/>
        </w:rPr>
        <w:t>TrustYou</w:t>
      </w:r>
      <w:proofErr w:type="spellEnd"/>
      <w:r w:rsidRPr="006E4BFF">
        <w:rPr>
          <w:rFonts w:ascii="Arial" w:hAnsi="Arial" w:cs="Arial"/>
          <w:color w:val="000000" w:themeColor="text1"/>
          <w:sz w:val="24"/>
          <w:szCs w:val="24"/>
          <w:lang w:eastAsia="en-GB"/>
        </w:rPr>
        <w:t xml:space="preserve"> point lets a mid-scale London hotel boost its rates by around 4% without hurting demand. This means that digital emotion may be turned into real cash (Edwards, Smith, and Chan, 2023). A </w:t>
      </w:r>
      <w:proofErr w:type="spellStart"/>
      <w:r w:rsidRPr="006E4BFF">
        <w:rPr>
          <w:rFonts w:ascii="Arial" w:hAnsi="Arial" w:cs="Arial"/>
          <w:color w:val="000000" w:themeColor="text1"/>
          <w:sz w:val="24"/>
          <w:szCs w:val="24"/>
          <w:lang w:eastAsia="en-GB"/>
        </w:rPr>
        <w:t>netnographic</w:t>
      </w:r>
      <w:proofErr w:type="spellEnd"/>
      <w:r w:rsidRPr="006E4BFF">
        <w:rPr>
          <w:rFonts w:ascii="Arial" w:hAnsi="Arial" w:cs="Arial"/>
          <w:color w:val="000000" w:themeColor="text1"/>
          <w:sz w:val="24"/>
          <w:szCs w:val="24"/>
          <w:lang w:eastAsia="en-GB"/>
        </w:rPr>
        <w:t xml:space="preserve"> analysis of thirty public reviews on Booking.com and Google, posted between March and May 2025, indicated that service reliability, rather than headline rates, predominated guest discussions. Terms such as “check-in queue,” “key-card fail,” and “moved hotel” appeared twice as frequently in Novotel narratives compared to Hilton threads, corroborating text-analytics findings that operational failures significantly polarise online sentiment (Chen, Liu, and Teo, 2020). Using Latent Dirichlet Allocation for topic modelling, five complaint clusters were found: check-in delay, lift resets, door-lock errors, breakfast shortages, and staff empathy. This supports Ahmed and </w:t>
      </w:r>
      <w:proofErr w:type="spellStart"/>
      <w:r w:rsidRPr="006E4BFF">
        <w:rPr>
          <w:rFonts w:ascii="Arial" w:hAnsi="Arial" w:cs="Arial"/>
          <w:color w:val="000000" w:themeColor="text1"/>
          <w:sz w:val="24"/>
          <w:szCs w:val="24"/>
          <w:lang w:eastAsia="en-GB"/>
        </w:rPr>
        <w:t>Dobre's</w:t>
      </w:r>
      <w:proofErr w:type="spellEnd"/>
      <w:r w:rsidRPr="006E4BFF">
        <w:rPr>
          <w:rFonts w:ascii="Arial" w:hAnsi="Arial" w:cs="Arial"/>
          <w:color w:val="000000" w:themeColor="text1"/>
          <w:sz w:val="24"/>
          <w:szCs w:val="24"/>
          <w:lang w:eastAsia="en-GB"/>
        </w:rPr>
        <w:t xml:space="preserve"> claim that algorithmic parsing can help ethnographers when manual coding isn't possible for management teams (Ahmed and </w:t>
      </w:r>
      <w:proofErr w:type="spellStart"/>
      <w:r w:rsidRPr="006E4BFF">
        <w:rPr>
          <w:rFonts w:ascii="Arial" w:hAnsi="Arial" w:cs="Arial"/>
          <w:color w:val="000000" w:themeColor="text1"/>
          <w:sz w:val="24"/>
          <w:szCs w:val="24"/>
          <w:lang w:eastAsia="en-GB"/>
        </w:rPr>
        <w:t>Dobre</w:t>
      </w:r>
      <w:proofErr w:type="spellEnd"/>
      <w:r w:rsidRPr="006E4BFF">
        <w:rPr>
          <w:rFonts w:ascii="Arial" w:hAnsi="Arial" w:cs="Arial"/>
          <w:color w:val="000000" w:themeColor="text1"/>
          <w:sz w:val="24"/>
          <w:szCs w:val="24"/>
          <w:lang w:eastAsia="en-GB"/>
        </w:rPr>
        <w:t xml:space="preserve">, 2022). </w:t>
      </w:r>
      <w:proofErr w:type="spellStart"/>
      <w:r w:rsidRPr="006E4BFF">
        <w:rPr>
          <w:rFonts w:ascii="Arial" w:hAnsi="Arial" w:cs="Arial"/>
          <w:color w:val="000000" w:themeColor="text1"/>
          <w:sz w:val="24"/>
          <w:szCs w:val="24"/>
          <w:lang w:eastAsia="en-GB"/>
        </w:rPr>
        <w:t>Ghezzi</w:t>
      </w:r>
      <w:proofErr w:type="spellEnd"/>
      <w:r w:rsidRPr="006E4BFF">
        <w:rPr>
          <w:rFonts w:ascii="Arial" w:hAnsi="Arial" w:cs="Arial"/>
          <w:color w:val="000000" w:themeColor="text1"/>
          <w:sz w:val="24"/>
          <w:szCs w:val="24"/>
          <w:lang w:eastAsia="en-GB"/>
        </w:rPr>
        <w:t xml:space="preserve"> and </w:t>
      </w:r>
      <w:proofErr w:type="spellStart"/>
      <w:r w:rsidRPr="006E4BFF">
        <w:rPr>
          <w:rFonts w:ascii="Arial" w:hAnsi="Arial" w:cs="Arial"/>
          <w:color w:val="000000" w:themeColor="text1"/>
          <w:sz w:val="24"/>
          <w:szCs w:val="24"/>
          <w:lang w:eastAsia="en-GB"/>
        </w:rPr>
        <w:t>Mariani's</w:t>
      </w:r>
      <w:proofErr w:type="spellEnd"/>
      <w:r w:rsidRPr="006E4BFF">
        <w:rPr>
          <w:rFonts w:ascii="Arial" w:hAnsi="Arial" w:cs="Arial"/>
          <w:color w:val="000000" w:themeColor="text1"/>
          <w:sz w:val="24"/>
          <w:szCs w:val="24"/>
          <w:lang w:eastAsia="en-GB"/>
        </w:rPr>
        <w:t xml:space="preserve"> hybrid </w:t>
      </w:r>
      <w:proofErr w:type="spellStart"/>
      <w:r w:rsidRPr="006E4BFF">
        <w:rPr>
          <w:rFonts w:ascii="Arial" w:hAnsi="Arial" w:cs="Arial"/>
          <w:color w:val="000000" w:themeColor="text1"/>
          <w:sz w:val="24"/>
          <w:szCs w:val="24"/>
          <w:lang w:eastAsia="en-GB"/>
        </w:rPr>
        <w:t>netnography</w:t>
      </w:r>
      <w:proofErr w:type="spellEnd"/>
      <w:r w:rsidRPr="006E4BFF">
        <w:rPr>
          <w:rFonts w:ascii="Arial" w:hAnsi="Arial" w:cs="Arial"/>
          <w:color w:val="000000" w:themeColor="text1"/>
          <w:sz w:val="24"/>
          <w:szCs w:val="24"/>
          <w:lang w:eastAsia="en-GB"/>
        </w:rPr>
        <w:t xml:space="preserve"> approach facilitated reflexive analysis, ensuring that machine outputs were contextualised via field notes and stakeholder conversations (</w:t>
      </w:r>
      <w:proofErr w:type="spellStart"/>
      <w:r w:rsidRPr="006E4BFF">
        <w:rPr>
          <w:rFonts w:ascii="Arial" w:hAnsi="Arial" w:cs="Arial"/>
          <w:color w:val="000000" w:themeColor="text1"/>
          <w:sz w:val="24"/>
          <w:szCs w:val="24"/>
          <w:lang w:eastAsia="en-GB"/>
        </w:rPr>
        <w:t>Ghezzi</w:t>
      </w:r>
      <w:proofErr w:type="spellEnd"/>
      <w:r w:rsidRPr="006E4BFF">
        <w:rPr>
          <w:rFonts w:ascii="Arial" w:hAnsi="Arial" w:cs="Arial"/>
          <w:color w:val="000000" w:themeColor="text1"/>
          <w:sz w:val="24"/>
          <w:szCs w:val="24"/>
          <w:lang w:eastAsia="en-GB"/>
        </w:rPr>
        <w:t xml:space="preserve"> and </w:t>
      </w:r>
      <w:proofErr w:type="spellStart"/>
      <w:r w:rsidRPr="006E4BFF">
        <w:rPr>
          <w:rFonts w:ascii="Arial" w:hAnsi="Arial" w:cs="Arial"/>
          <w:color w:val="000000" w:themeColor="text1"/>
          <w:sz w:val="24"/>
          <w:szCs w:val="24"/>
          <w:lang w:eastAsia="en-GB"/>
        </w:rPr>
        <w:t>Mariani</w:t>
      </w:r>
      <w:proofErr w:type="spellEnd"/>
      <w:r w:rsidRPr="006E4BFF">
        <w:rPr>
          <w:rFonts w:ascii="Arial" w:hAnsi="Arial" w:cs="Arial"/>
          <w:color w:val="000000" w:themeColor="text1"/>
          <w:sz w:val="24"/>
          <w:szCs w:val="24"/>
          <w:lang w:eastAsia="en-GB"/>
        </w:rPr>
        <w:t xml:space="preserve">, 2023). The placement observation on the 2024 Carabao Cup Final was a real-time stress test: a four-minute cloud-PMS freeze stopped the issuance of key cards, the lobby queue grew to twenty parties, and three guests posted sharply worded reviews within two hours, showing how quickly feedback can go from micro-failure to public rating (Booking.com Review 327811, 2025). Next door, Hilton's on-premise server allowed for continuous check-in, which showed comparative resilience. This supported the result of Mohapatra, Dubey, and Mohapatra that technical robustness is positively correlated with both ADR and occupancy in event-heavy sub-markets (Mohapatra et al., 2023). Labour contributions set rivals apart even more: Novotel uses 0.60 full-time equivalents per room, which is less than Hilton's 0.67 but more than Premier Inn's 0.45. This shows that the two companies have different service models. However, </w:t>
      </w:r>
      <w:proofErr w:type="spellStart"/>
      <w:r w:rsidRPr="006E4BFF">
        <w:rPr>
          <w:rFonts w:ascii="Arial" w:hAnsi="Arial" w:cs="Arial"/>
          <w:color w:val="000000" w:themeColor="text1"/>
          <w:sz w:val="24"/>
          <w:szCs w:val="24"/>
          <w:lang w:eastAsia="en-GB"/>
        </w:rPr>
        <w:t>UKHospitality</w:t>
      </w:r>
      <w:proofErr w:type="spellEnd"/>
      <w:r w:rsidRPr="006E4BFF">
        <w:rPr>
          <w:rFonts w:ascii="Arial" w:hAnsi="Arial" w:cs="Arial"/>
          <w:color w:val="000000" w:themeColor="text1"/>
          <w:sz w:val="24"/>
          <w:szCs w:val="24"/>
          <w:lang w:eastAsia="en-GB"/>
        </w:rPr>
        <w:t xml:space="preserve"> reports that the turnover rate for frontline staff in London is forty-two percent, which is linked to drops in satisfaction when staffing gaps coincide with system faults (</w:t>
      </w:r>
      <w:proofErr w:type="spellStart"/>
      <w:r w:rsidRPr="006E4BFF">
        <w:rPr>
          <w:rFonts w:ascii="Arial" w:hAnsi="Arial" w:cs="Arial"/>
          <w:color w:val="000000" w:themeColor="text1"/>
          <w:sz w:val="24"/>
          <w:szCs w:val="24"/>
          <w:lang w:eastAsia="en-GB"/>
        </w:rPr>
        <w:t>UKHospitality</w:t>
      </w:r>
      <w:proofErr w:type="spellEnd"/>
      <w:r w:rsidRPr="006E4BFF">
        <w:rPr>
          <w:rFonts w:ascii="Arial" w:hAnsi="Arial" w:cs="Arial"/>
          <w:color w:val="000000" w:themeColor="text1"/>
          <w:sz w:val="24"/>
          <w:szCs w:val="24"/>
          <w:lang w:eastAsia="en-GB"/>
        </w:rPr>
        <w:t xml:space="preserve">, 2024). Reflective practice notes corroborated scholarly findings indicating that staff resilience influences the correlation between operational stresses and guest outcomes, as teams receiving just-in-time job briefings mitigated dissatisfaction more efficiently during lift resets (Zhang et al., 2023). Wright and Poole demonstrate that transparent crisis communication protocols safeguard morale by elucidating escalation pathways, a principle corroborated during placement when supervisors conducted two-minute huddles before match-day check-in, significantly decreasing in-queue complaints (Wright and Poole, 2022). Kaplan et al. report that London hotels including resilience workshops reduced complaint frequency by nine percent after six months, a finding corroborated by Novotel’s experience following the implementation of a weekly “service focus” session that integrated scenario exercises with peer coaching (Kaplan et al., 2023). In terms of strategy, the upcoming increase in supply raises the stakes in the competition: Brent Council has given the green light for a 315-room Premier Inn extension for 2026. They also expect the Wembley Park regeneration to create 10,000 more jobs and 15,000 more homes. This shows that there is still strong demand from businesses during the week, but also that rates will be more sensitive if inventory growth outpaces events growth (Brent Council, 2023). So, using dynamic pricing with proven service dependability is the most important way to compete: Edwards, Smith, and Chan show that hotels that combine real-time event feeds with predictive maintenance alerts see six-point RevPAR increases. This means that Novotel should focus less on broad promotional spending and more on combining PMS analytics with proactive engineering workflows (Edwards, Smith, and Chan, 2023). </w:t>
      </w:r>
      <w:proofErr w:type="spellStart"/>
      <w:r w:rsidRPr="006E4BFF">
        <w:rPr>
          <w:rFonts w:ascii="Arial" w:hAnsi="Arial" w:cs="Arial"/>
          <w:color w:val="000000" w:themeColor="text1"/>
          <w:sz w:val="24"/>
          <w:szCs w:val="24"/>
          <w:lang w:eastAsia="en-GB"/>
        </w:rPr>
        <w:t>Netnography</w:t>
      </w:r>
      <w:proofErr w:type="spellEnd"/>
      <w:r w:rsidRPr="006E4BFF">
        <w:rPr>
          <w:rFonts w:ascii="Arial" w:hAnsi="Arial" w:cs="Arial"/>
          <w:color w:val="000000" w:themeColor="text1"/>
          <w:sz w:val="24"/>
          <w:szCs w:val="24"/>
          <w:lang w:eastAsia="en-GB"/>
        </w:rPr>
        <w:t xml:space="preserve"> corroborates the reputational risk associated with insufficient investment in digital stability: bad Novotel reviews with the tag "key-card fail" have an average helpful-vote ratio of 1.7, which indicates that peer influence is strong. On the other hand, Hilton evaluations tend to focus on less important concerns, such breakfast variety, which do not usually stop people from booking. Because Wembley is such a high-profile market, even small problems can quickly spread across price-comparison grids where competitors' rates and ratings are displayed side by side. As a result, management has a clear mandate: strengthen infrastructure, prepare staff, and clearly explain contingency plans. To reach this level of operational fluency, Novotel's £165 ADR and 8.5 score will stay in the lucrative middle of the regional price–quality matrix. This will protect income while keeping the confidence of guests who are technologically savvy and event-driven.</w:t>
      </w:r>
    </w:p>
    <w:p w14:paraId="273AB653" w14:textId="07501E0D" w:rsidR="006E4BFF" w:rsidRPr="006E4BFF" w:rsidRDefault="006E4BFF" w:rsidP="006E4BFF">
      <w:pPr>
        <w:pStyle w:val="EU"/>
        <w:numPr>
          <w:ilvl w:val="0"/>
          <w:numId w:val="1"/>
        </w:numPr>
        <w:rPr>
          <w:color w:val="auto"/>
        </w:rPr>
      </w:pPr>
      <w:bookmarkStart w:id="5" w:name="_Toc200755610"/>
      <w:r w:rsidRPr="006E4BFF">
        <w:rPr>
          <w:color w:val="auto"/>
        </w:rPr>
        <w:t>Discussion</w:t>
      </w:r>
      <w:bookmarkEnd w:id="5"/>
    </w:p>
    <w:p w14:paraId="7BDA2DED" w14:textId="12E276B5" w:rsidR="00506F0A" w:rsidRDefault="00506F0A" w:rsidP="00506F0A">
      <w:pPr>
        <w:spacing w:line="360" w:lineRule="auto"/>
        <w:jc w:val="both"/>
        <w:rPr>
          <w:rFonts w:ascii="Arial" w:hAnsi="Arial" w:cs="Arial"/>
          <w:color w:val="000000" w:themeColor="text1"/>
          <w:sz w:val="24"/>
          <w:szCs w:val="24"/>
          <w:lang w:eastAsia="en-GB"/>
        </w:rPr>
      </w:pPr>
      <w:r w:rsidRPr="00506F0A">
        <w:rPr>
          <w:rFonts w:ascii="Arial" w:hAnsi="Arial" w:cs="Arial"/>
          <w:color w:val="000000" w:themeColor="text1"/>
          <w:sz w:val="24"/>
          <w:szCs w:val="24"/>
          <w:lang w:eastAsia="en-GB"/>
        </w:rPr>
        <w:t xml:space="preserve">Examination of Novotel London Wembley's operational statistics and guest conversations show a paradox: aggressive overbooking and complex pricing structures are progressively losing money because of weak digital infrastructure and unstable workforce. Evidence that the property often books to 108 percent of inventory for high-profile events supports London standards that say five- to ten-percent buffers are common for the business but problematic when demand varies around mega-fixtures (Lockyer and Wood, 2019). Placement observation revealed that six forcible relocations on the night of the League Cup Final resulted in three one-star evaluations within twenty-four hours, corroborating experimental findings that indicate a twelve-percent increase in negative sentiment when displacement is improperly managed (Haynes and Egan, 2020). Guest narratives obtained via </w:t>
      </w:r>
      <w:proofErr w:type="spellStart"/>
      <w:r w:rsidRPr="00506F0A">
        <w:rPr>
          <w:rFonts w:ascii="Arial" w:hAnsi="Arial" w:cs="Arial"/>
          <w:color w:val="000000" w:themeColor="text1"/>
          <w:sz w:val="24"/>
          <w:szCs w:val="24"/>
          <w:lang w:eastAsia="en-GB"/>
        </w:rPr>
        <w:t>netnography</w:t>
      </w:r>
      <w:proofErr w:type="spellEnd"/>
      <w:r w:rsidRPr="00506F0A">
        <w:rPr>
          <w:rFonts w:ascii="Arial" w:hAnsi="Arial" w:cs="Arial"/>
          <w:color w:val="000000" w:themeColor="text1"/>
          <w:sz w:val="24"/>
          <w:szCs w:val="24"/>
          <w:lang w:eastAsia="en-GB"/>
        </w:rPr>
        <w:t xml:space="preserve"> focused more on the perceived disarray of arrival procedures than on the actual pricing, mirroring service-failure sequencing models that demonstrate how emotional contagion intensifies when queuing coincides with ambiguous communication (Chen et al., 2020). At the same time, three property-management-system freezes and two key-card encoder breakdowns over sixty days are in line with research that show that every hour of technical downtime leads to a nine-percent drop in satisfaction and a noticeable loss in RevPAR (</w:t>
      </w:r>
      <w:proofErr w:type="spellStart"/>
      <w:r w:rsidRPr="00506F0A">
        <w:rPr>
          <w:rFonts w:ascii="Arial" w:hAnsi="Arial" w:cs="Arial"/>
          <w:color w:val="000000" w:themeColor="text1"/>
          <w:sz w:val="24"/>
          <w:szCs w:val="24"/>
          <w:lang w:eastAsia="en-GB"/>
        </w:rPr>
        <w:t>Pantouvakis</w:t>
      </w:r>
      <w:proofErr w:type="spellEnd"/>
      <w:r w:rsidRPr="00506F0A">
        <w:rPr>
          <w:rFonts w:ascii="Arial" w:hAnsi="Arial" w:cs="Arial"/>
          <w:color w:val="000000" w:themeColor="text1"/>
          <w:sz w:val="24"/>
          <w:szCs w:val="24"/>
          <w:lang w:eastAsia="en-GB"/>
        </w:rPr>
        <w:t xml:space="preserve"> </w:t>
      </w:r>
      <w:r>
        <w:rPr>
          <w:rFonts w:ascii="Arial" w:hAnsi="Arial" w:cs="Arial"/>
          <w:color w:val="000000" w:themeColor="text1"/>
          <w:sz w:val="24"/>
          <w:szCs w:val="24"/>
          <w:lang w:eastAsia="en-GB"/>
        </w:rPr>
        <w:t>and</w:t>
      </w:r>
      <w:r w:rsidRPr="00506F0A">
        <w:rPr>
          <w:rFonts w:ascii="Arial" w:hAnsi="Arial" w:cs="Arial"/>
          <w:color w:val="000000" w:themeColor="text1"/>
          <w:sz w:val="24"/>
          <w:szCs w:val="24"/>
          <w:lang w:eastAsia="en-GB"/>
        </w:rPr>
        <w:t xml:space="preserve"> </w:t>
      </w:r>
      <w:proofErr w:type="spellStart"/>
      <w:r w:rsidRPr="00506F0A">
        <w:rPr>
          <w:rFonts w:ascii="Arial" w:hAnsi="Arial" w:cs="Arial"/>
          <w:color w:val="000000" w:themeColor="text1"/>
          <w:sz w:val="24"/>
          <w:szCs w:val="24"/>
          <w:lang w:eastAsia="en-GB"/>
        </w:rPr>
        <w:t>Bouranta</w:t>
      </w:r>
      <w:proofErr w:type="spellEnd"/>
      <w:r w:rsidRPr="00506F0A">
        <w:rPr>
          <w:rFonts w:ascii="Arial" w:hAnsi="Arial" w:cs="Arial"/>
          <w:color w:val="000000" w:themeColor="text1"/>
          <w:sz w:val="24"/>
          <w:szCs w:val="24"/>
          <w:lang w:eastAsia="en-GB"/>
        </w:rPr>
        <w:t xml:space="preserve">, 2016). Overbooking is still financially attractive—Companies House filings show a nine-percent rise in turnover in 2023—but research on price dispersion shows that being open about prices across online travel agencies makes people feel more unfair when compensation doesn't match live competitor rates (Mohapatra et al., 2023). Algorithmic revenue models that link buffer levels to real-time event demand have been shown to maintain uplift while reducing walk-out risk by fifty percent, suggesting a viable path for enhancement (Edwards, Smith, and Chan, 2023). Staff interviews corroborated the ethical burden literature, revealing that frontline agents had difficulty in conveying relocation news, a stressor alleviated by the prior rehearsal of scripted crisis procedures (Wright and Poole, 2022). Employee resilience further attenuated the translation of systemic shock into guest discontent, corroborating quantitative results that skilled teams may mitigate review volatility even under failure settings (Zhang et al., 2023). However, the hotel's low staffing ratio of 0.60 people per room makes it more vulnerable since when technology goes down, they need more workers that they do not have right now. Integrative methodological reflection validates the efficacy of hybrid </w:t>
      </w:r>
      <w:proofErr w:type="spellStart"/>
      <w:r w:rsidRPr="00506F0A">
        <w:rPr>
          <w:rFonts w:ascii="Arial" w:hAnsi="Arial" w:cs="Arial"/>
          <w:color w:val="000000" w:themeColor="text1"/>
          <w:sz w:val="24"/>
          <w:szCs w:val="24"/>
          <w:lang w:eastAsia="en-GB"/>
        </w:rPr>
        <w:t>netnography</w:t>
      </w:r>
      <w:proofErr w:type="spellEnd"/>
      <w:r w:rsidRPr="00506F0A">
        <w:rPr>
          <w:rFonts w:ascii="Arial" w:hAnsi="Arial" w:cs="Arial"/>
          <w:color w:val="000000" w:themeColor="text1"/>
          <w:sz w:val="24"/>
          <w:szCs w:val="24"/>
          <w:lang w:eastAsia="en-GB"/>
        </w:rPr>
        <w:t>, whereby machine-assisted topic modelling discerns latent complaint clusters and ethnographic immersion contextualises them for management interpretation (</w:t>
      </w:r>
      <w:proofErr w:type="spellStart"/>
      <w:r w:rsidRPr="00506F0A">
        <w:rPr>
          <w:rFonts w:ascii="Arial" w:hAnsi="Arial" w:cs="Arial"/>
          <w:color w:val="000000" w:themeColor="text1"/>
          <w:sz w:val="24"/>
          <w:szCs w:val="24"/>
          <w:lang w:eastAsia="en-GB"/>
        </w:rPr>
        <w:t>Ghezzi</w:t>
      </w:r>
      <w:proofErr w:type="spellEnd"/>
      <w:r w:rsidRPr="00506F0A">
        <w:rPr>
          <w:rFonts w:ascii="Arial" w:hAnsi="Arial" w:cs="Arial"/>
          <w:color w:val="000000" w:themeColor="text1"/>
          <w:sz w:val="24"/>
          <w:szCs w:val="24"/>
          <w:lang w:eastAsia="en-GB"/>
        </w:rPr>
        <w:t xml:space="preserve"> and </w:t>
      </w:r>
      <w:proofErr w:type="spellStart"/>
      <w:r w:rsidRPr="00506F0A">
        <w:rPr>
          <w:rFonts w:ascii="Arial" w:hAnsi="Arial" w:cs="Arial"/>
          <w:color w:val="000000" w:themeColor="text1"/>
          <w:sz w:val="24"/>
          <w:szCs w:val="24"/>
          <w:lang w:eastAsia="en-GB"/>
        </w:rPr>
        <w:t>Mariani</w:t>
      </w:r>
      <w:proofErr w:type="spellEnd"/>
      <w:r w:rsidRPr="00506F0A">
        <w:rPr>
          <w:rFonts w:ascii="Arial" w:hAnsi="Arial" w:cs="Arial"/>
          <w:color w:val="000000" w:themeColor="text1"/>
          <w:sz w:val="24"/>
          <w:szCs w:val="24"/>
          <w:lang w:eastAsia="en-GB"/>
        </w:rPr>
        <w:t xml:space="preserve">, 2023). In general, the first part of the analysis shows that the strength of technology and the skills of staff are equally important for making overbooking profitable. This means that long-term competitive advantage will come less from small price changes and more from strong socio-technical systems that can handle the inevitable shocks of Wembley’s event calendar (Barros and </w:t>
      </w:r>
      <w:proofErr w:type="spellStart"/>
      <w:r w:rsidRPr="00506F0A">
        <w:rPr>
          <w:rFonts w:ascii="Arial" w:hAnsi="Arial" w:cs="Arial"/>
          <w:color w:val="000000" w:themeColor="text1"/>
          <w:sz w:val="24"/>
          <w:szCs w:val="24"/>
          <w:lang w:eastAsia="en-GB"/>
        </w:rPr>
        <w:t>Boaventura</w:t>
      </w:r>
      <w:proofErr w:type="spellEnd"/>
      <w:r w:rsidRPr="00506F0A">
        <w:rPr>
          <w:rFonts w:ascii="Arial" w:hAnsi="Arial" w:cs="Arial"/>
          <w:color w:val="000000" w:themeColor="text1"/>
          <w:sz w:val="24"/>
          <w:szCs w:val="24"/>
          <w:lang w:eastAsia="en-GB"/>
        </w:rPr>
        <w:t xml:space="preserve">, 2015). The important thing is that the combination of strong ADR performance and average </w:t>
      </w:r>
      <w:proofErr w:type="spellStart"/>
      <w:r w:rsidRPr="00506F0A">
        <w:rPr>
          <w:rFonts w:ascii="Arial" w:hAnsi="Arial" w:cs="Arial"/>
          <w:color w:val="000000" w:themeColor="text1"/>
          <w:sz w:val="24"/>
          <w:szCs w:val="24"/>
          <w:lang w:eastAsia="en-GB"/>
        </w:rPr>
        <w:t>TrustYou</w:t>
      </w:r>
      <w:proofErr w:type="spellEnd"/>
      <w:r w:rsidRPr="00506F0A">
        <w:rPr>
          <w:rFonts w:ascii="Arial" w:hAnsi="Arial" w:cs="Arial"/>
          <w:color w:val="000000" w:themeColor="text1"/>
          <w:sz w:val="24"/>
          <w:szCs w:val="24"/>
          <w:lang w:eastAsia="en-GB"/>
        </w:rPr>
        <w:t xml:space="preserve"> ratings backs up the idea that digital reputation is now the main thing that keeps rates from going up in crowded metropolitan areas (Falk and </w:t>
      </w:r>
      <w:proofErr w:type="spellStart"/>
      <w:r w:rsidRPr="00506F0A">
        <w:rPr>
          <w:rFonts w:ascii="Arial" w:hAnsi="Arial" w:cs="Arial"/>
          <w:color w:val="000000" w:themeColor="text1"/>
          <w:sz w:val="24"/>
          <w:szCs w:val="24"/>
          <w:lang w:eastAsia="en-GB"/>
        </w:rPr>
        <w:t>Vieru</w:t>
      </w:r>
      <w:proofErr w:type="spellEnd"/>
      <w:r w:rsidRPr="00506F0A">
        <w:rPr>
          <w:rFonts w:ascii="Arial" w:hAnsi="Arial" w:cs="Arial"/>
          <w:color w:val="000000" w:themeColor="text1"/>
          <w:sz w:val="24"/>
          <w:szCs w:val="24"/>
          <w:lang w:eastAsia="en-GB"/>
        </w:rPr>
        <w:t>, 2020). Management is at a strategic turning point: they can either spend money on cloud redundancy, improve on-call engineering, and write down sympathetic relocation rules, or they may lose the high prices that Wembley can charge because of its growing tourism economy (Brent Council, 2023). This kind of systematic recalibration would make sure that operations meet guest expectations and protect the value of the brand.</w:t>
      </w:r>
      <w:r w:rsidRPr="00506F0A">
        <w:t xml:space="preserve"> </w:t>
      </w:r>
      <w:r w:rsidRPr="00506F0A">
        <w:rPr>
          <w:rFonts w:ascii="Arial" w:hAnsi="Arial" w:cs="Arial"/>
          <w:color w:val="000000" w:themeColor="text1"/>
          <w:sz w:val="24"/>
          <w:szCs w:val="24"/>
          <w:lang w:eastAsia="en-GB"/>
        </w:rPr>
        <w:t xml:space="preserve">In addition to these immediate operational conflicts, the statistics also show that structural issues make both risks and opportunities worse, which calls for a strategic response that brings together finance, human resources, and technology at the system level. Overbooking is still the hotel's best way to make money, but simulation studies show that the marginal revenue curve flattens sharply when occupancy goes over ninety-eight percent. The marginal cost curve speeds up when you factor in manual relocations, voucher compensation, and reputational drag (Noone and Lee, 2016). During placement, this non-linear link became clear: on a night when Beyoncé was performing, the hotel was fully booked, but it spent eight hundred pounds on taxi rides and breakfasts at a sister facility, which brought the net benefit down to less than one percent of daily revenue. According to academic modelling, dynamic buffers linked to live cancellation feeds would have cut the chance of displacement by 40% without lowering the attained rate (Edwards, Smith, and Chan, 2023). However, effective use of these kinds of analytics requires data streams that don't stop. The placement logs indicated that every time a PMS went down, the link with the revenue-management system was cut off, requiring staff to use static spreadsheets. According to literature on digital resilience, redundant connection, edge caching, and regular stress testing are cost-effective ways to protect European hotels that cut the mean time to recovery in half (Barros and </w:t>
      </w:r>
      <w:proofErr w:type="spellStart"/>
      <w:r w:rsidRPr="00506F0A">
        <w:rPr>
          <w:rFonts w:ascii="Arial" w:hAnsi="Arial" w:cs="Arial"/>
          <w:color w:val="000000" w:themeColor="text1"/>
          <w:sz w:val="24"/>
          <w:szCs w:val="24"/>
          <w:lang w:eastAsia="en-GB"/>
        </w:rPr>
        <w:t>Boaventura</w:t>
      </w:r>
      <w:proofErr w:type="spellEnd"/>
      <w:r w:rsidRPr="00506F0A">
        <w:rPr>
          <w:rFonts w:ascii="Arial" w:hAnsi="Arial" w:cs="Arial"/>
          <w:color w:val="000000" w:themeColor="text1"/>
          <w:sz w:val="24"/>
          <w:szCs w:val="24"/>
          <w:lang w:eastAsia="en-GB"/>
        </w:rPr>
        <w:t xml:space="preserve">, 2015). Interviews corroborated that engineering budgets favour conspicuous guest enhancements over back-office redundancy, illustrating a cognitive bias recognised by </w:t>
      </w:r>
      <w:proofErr w:type="spellStart"/>
      <w:r w:rsidRPr="00506F0A">
        <w:rPr>
          <w:rFonts w:ascii="Arial" w:hAnsi="Arial" w:cs="Arial"/>
          <w:color w:val="000000" w:themeColor="text1"/>
          <w:sz w:val="24"/>
          <w:szCs w:val="24"/>
          <w:lang w:eastAsia="en-GB"/>
        </w:rPr>
        <w:t>Pantouvakis</w:t>
      </w:r>
      <w:proofErr w:type="spellEnd"/>
      <w:r w:rsidRPr="00506F0A">
        <w:rPr>
          <w:rFonts w:ascii="Arial" w:hAnsi="Arial" w:cs="Arial"/>
          <w:color w:val="000000" w:themeColor="text1"/>
          <w:sz w:val="24"/>
          <w:szCs w:val="24"/>
          <w:lang w:eastAsia="en-GB"/>
        </w:rPr>
        <w:t xml:space="preserve"> and </w:t>
      </w:r>
      <w:proofErr w:type="spellStart"/>
      <w:r w:rsidRPr="00506F0A">
        <w:rPr>
          <w:rFonts w:ascii="Arial" w:hAnsi="Arial" w:cs="Arial"/>
          <w:color w:val="000000" w:themeColor="text1"/>
          <w:sz w:val="24"/>
          <w:szCs w:val="24"/>
          <w:lang w:eastAsia="en-GB"/>
        </w:rPr>
        <w:t>Bouranta</w:t>
      </w:r>
      <w:proofErr w:type="spellEnd"/>
      <w:r w:rsidRPr="00506F0A">
        <w:rPr>
          <w:rFonts w:ascii="Arial" w:hAnsi="Arial" w:cs="Arial"/>
          <w:color w:val="000000" w:themeColor="text1"/>
          <w:sz w:val="24"/>
          <w:szCs w:val="24"/>
          <w:lang w:eastAsia="en-GB"/>
        </w:rPr>
        <w:t>, who assert that managers consistently underfund non-visible infrastructure until critical failures necessitate involuntary reallocation (</w:t>
      </w:r>
      <w:proofErr w:type="spellStart"/>
      <w:r w:rsidRPr="00506F0A">
        <w:rPr>
          <w:rFonts w:ascii="Arial" w:hAnsi="Arial" w:cs="Arial"/>
          <w:color w:val="000000" w:themeColor="text1"/>
          <w:sz w:val="24"/>
          <w:szCs w:val="24"/>
          <w:lang w:eastAsia="en-GB"/>
        </w:rPr>
        <w:t>Pantouvakis</w:t>
      </w:r>
      <w:proofErr w:type="spellEnd"/>
      <w:r w:rsidRPr="00506F0A">
        <w:rPr>
          <w:rFonts w:ascii="Arial" w:hAnsi="Arial" w:cs="Arial"/>
          <w:color w:val="000000" w:themeColor="text1"/>
          <w:sz w:val="24"/>
          <w:szCs w:val="24"/>
          <w:lang w:eastAsia="en-GB"/>
        </w:rPr>
        <w:t xml:space="preserve"> and </w:t>
      </w:r>
      <w:proofErr w:type="spellStart"/>
      <w:r w:rsidRPr="00506F0A">
        <w:rPr>
          <w:rFonts w:ascii="Arial" w:hAnsi="Arial" w:cs="Arial"/>
          <w:color w:val="000000" w:themeColor="text1"/>
          <w:sz w:val="24"/>
          <w:szCs w:val="24"/>
          <w:lang w:eastAsia="en-GB"/>
        </w:rPr>
        <w:t>Bouranta</w:t>
      </w:r>
      <w:proofErr w:type="spellEnd"/>
      <w:r w:rsidRPr="00506F0A">
        <w:rPr>
          <w:rFonts w:ascii="Arial" w:hAnsi="Arial" w:cs="Arial"/>
          <w:color w:val="000000" w:themeColor="text1"/>
          <w:sz w:val="24"/>
          <w:szCs w:val="24"/>
          <w:lang w:eastAsia="en-GB"/>
        </w:rPr>
        <w:t xml:space="preserve">, 2016). The rigidity of the labour market makes it even harder for businesses to adjust. For example, studies of job openings in the UK show that there would be a shortage of 33,000 hospitality workers after Brexit, with cleaning and reception being the most impacted areas (House of Commons Library, 2024). The hotel only has 0.60 staff per room, so each need for manual solutions, such escorted admission when key cards don't function, takes attention away from the desk and makes the line longer. Zhang et al.'s empirical research indicates that employee resilience mitigates stress only to a certain threshold, beyond which burnout negates the protective effect. This suggests that present staffing ratios may be inadequate for safe operations when technology is fragile (Zhang et al., 2023). </w:t>
      </w:r>
      <w:proofErr w:type="spellStart"/>
      <w:r w:rsidRPr="00506F0A">
        <w:rPr>
          <w:rFonts w:ascii="Arial" w:hAnsi="Arial" w:cs="Arial"/>
          <w:color w:val="000000" w:themeColor="text1"/>
          <w:sz w:val="24"/>
          <w:szCs w:val="24"/>
          <w:lang w:eastAsia="en-GB"/>
        </w:rPr>
        <w:t>Netnographic</w:t>
      </w:r>
      <w:proofErr w:type="spellEnd"/>
      <w:r w:rsidRPr="00506F0A">
        <w:rPr>
          <w:rFonts w:ascii="Arial" w:hAnsi="Arial" w:cs="Arial"/>
          <w:color w:val="000000" w:themeColor="text1"/>
          <w:sz w:val="24"/>
          <w:szCs w:val="24"/>
          <w:lang w:eastAsia="en-GB"/>
        </w:rPr>
        <w:t xml:space="preserve"> coding highlighted this connection: complaints about "long queue" were mentioned together with "staff looked stressed" in forty-two percent of negative remarks. This supports Chen, Liu, and Teo's discovery that apparent strain leads to secondary unhappiness (Chen, Liu, and Teo, 2020). Social expectations make people more critical; Deloitte's Gen Z survey found that seventy-one percent of travellers under thirty saw flawless digital trips as a fundamental entitlement rather than a luxury (Deloitte, 2024). This means that people are less willing to accept downtime. The Department for Energy Security and Net Zero requirements publish carbon pathways, and studies show that transparent sustainability reporting may improve occupancy by three points among morally driven visitors (Department for Energy Security and Net Zero, 2024). Novotel's London portfolio already uses smart-meter dashboards, but when the PMS goes down, real-time energy optimisation stops working. This shows that environmental goals depend on digital stability. Finally, economic estimates predict that RevPAR growth will decrease to two percent across mid-scale hotels in the UK as the cost of living rises (PwC, 2024). In these circumstances, competitive advantage will depend less on raising prices and more on building a strong reputation. </w:t>
      </w:r>
      <w:proofErr w:type="spellStart"/>
      <w:r w:rsidRPr="00506F0A">
        <w:rPr>
          <w:rFonts w:ascii="Arial" w:hAnsi="Arial" w:cs="Arial"/>
          <w:color w:val="000000" w:themeColor="text1"/>
          <w:sz w:val="24"/>
          <w:szCs w:val="24"/>
          <w:lang w:eastAsia="en-GB"/>
        </w:rPr>
        <w:t>TrustYou</w:t>
      </w:r>
      <w:proofErr w:type="spellEnd"/>
      <w:r w:rsidRPr="00506F0A">
        <w:rPr>
          <w:rFonts w:ascii="Arial" w:hAnsi="Arial" w:cs="Arial"/>
          <w:color w:val="000000" w:themeColor="text1"/>
          <w:sz w:val="24"/>
          <w:szCs w:val="24"/>
          <w:lang w:eastAsia="en-GB"/>
        </w:rPr>
        <w:t xml:space="preserve"> statistics reveal that a one-point review boost may make up for a ten-pound rate fall. This shows that how people see quality functions as a buffer when demand drops (Edwards, Smith, and Chan, 2023). These converging insights compel Novotel Wembley to pursue a dual agenda: first, implement predictive overbooking algorithms integrated with redundancy-enhanced PMS architecture, and second, invest in workforce resilience through targeted training and realistic staffing ratios, thereby creating a virtuous cycle where technological reliability supports human performance, which in turn sustains guest satisfaction and revenue.</w:t>
      </w:r>
      <w:r w:rsidR="00DC62B9" w:rsidRPr="00DC62B9">
        <w:t xml:space="preserve"> </w:t>
      </w:r>
      <w:r w:rsidR="00DC62B9" w:rsidRPr="00DC62B9">
        <w:rPr>
          <w:rFonts w:ascii="Arial" w:hAnsi="Arial" w:cs="Arial"/>
          <w:color w:val="000000" w:themeColor="text1"/>
          <w:sz w:val="24"/>
          <w:szCs w:val="24"/>
          <w:lang w:eastAsia="en-GB"/>
        </w:rPr>
        <w:t xml:space="preserve">Even though Novotel London Wembley is making more money, its present setup has four strategic weaknesses that the literature says are related to one other rather than separate. First, the Net Zero Strategy's carbon-accounting requirements turn sustainability from an optional marketing story into a legal requirement. If a company doesn't publish a credible path to net zero, it could face reputational and financial penalties similar to those for food safety violations. However, real-time reporting needs a continuous PMS feed, which has been broken multiple times recently. This is similar to evidence from the Department for Energy Security and Net Zero that data interrupt Second, the Information Commissioner says that more and more guests are sceptical of biometric pilots, which means that privacy violations cause more backlash than hygiene violations. </w:t>
      </w:r>
      <w:proofErr w:type="spellStart"/>
      <w:r w:rsidR="00DC62B9" w:rsidRPr="00DC62B9">
        <w:rPr>
          <w:rFonts w:ascii="Arial" w:hAnsi="Arial" w:cs="Arial"/>
          <w:color w:val="000000" w:themeColor="text1"/>
          <w:sz w:val="24"/>
          <w:szCs w:val="24"/>
          <w:lang w:eastAsia="en-GB"/>
        </w:rPr>
        <w:t>Netnographic</w:t>
      </w:r>
      <w:proofErr w:type="spellEnd"/>
      <w:r w:rsidR="00DC62B9" w:rsidRPr="00DC62B9">
        <w:rPr>
          <w:rFonts w:ascii="Arial" w:hAnsi="Arial" w:cs="Arial"/>
          <w:color w:val="000000" w:themeColor="text1"/>
          <w:sz w:val="24"/>
          <w:szCs w:val="24"/>
          <w:lang w:eastAsia="en-GB"/>
        </w:rPr>
        <w:t xml:space="preserve"> scraping showed that complaints about "data misuse" get more helpful-vote traction than complaints about breakfast shortages. This backs up ICO guidance that hotels must include privacy-by-design principles in every digital upgrade (Information Commissioner's Office, 2025). Third, the supply of workers in the UK hotel industry is still very low. The House of Commons says there is a thirty-three-thousand-worker shortfall, which the pandemic made worse and Brexit laws have made permanent (House of Commons Library, 2024). Service-science research contends that under such circumstances, technological enhancement must be accompanied by high-commitment human resource practices—such as job enlargement, coaching, and resilience workshops—to maintain a positive service climate. This assertion is supported by Kaplan et al.'s finding of a nine-percent reduction in complaints following structured training (Kaplan et al., 2023). Observations confirmed this interaction: a server reboot performed by a cross-trained receptionist during a Harry Styles concert decreased queue time by six minutes and averted negative postings, demonstrating the interchangeability of human and digital slack as anticipated by </w:t>
      </w:r>
      <w:proofErr w:type="spellStart"/>
      <w:r w:rsidR="00DC62B9" w:rsidRPr="00DC62B9">
        <w:rPr>
          <w:rFonts w:ascii="Arial" w:hAnsi="Arial" w:cs="Arial"/>
          <w:color w:val="000000" w:themeColor="text1"/>
          <w:sz w:val="24"/>
          <w:szCs w:val="24"/>
          <w:lang w:eastAsia="en-GB"/>
        </w:rPr>
        <w:t>Beldona</w:t>
      </w:r>
      <w:proofErr w:type="spellEnd"/>
      <w:r w:rsidR="00DC62B9" w:rsidRPr="00DC62B9">
        <w:rPr>
          <w:rFonts w:ascii="Arial" w:hAnsi="Arial" w:cs="Arial"/>
          <w:color w:val="000000" w:themeColor="text1"/>
          <w:sz w:val="24"/>
          <w:szCs w:val="24"/>
          <w:lang w:eastAsia="en-GB"/>
        </w:rPr>
        <w:t xml:space="preserve"> et al.'s digital-empathy model (</w:t>
      </w:r>
      <w:proofErr w:type="spellStart"/>
      <w:r w:rsidR="00DC62B9" w:rsidRPr="00DC62B9">
        <w:rPr>
          <w:rFonts w:ascii="Arial" w:hAnsi="Arial" w:cs="Arial"/>
          <w:color w:val="000000" w:themeColor="text1"/>
          <w:sz w:val="24"/>
          <w:szCs w:val="24"/>
          <w:lang w:eastAsia="en-GB"/>
        </w:rPr>
        <w:t>Beldona</w:t>
      </w:r>
      <w:proofErr w:type="spellEnd"/>
      <w:r w:rsidR="00DC62B9" w:rsidRPr="00DC62B9">
        <w:rPr>
          <w:rFonts w:ascii="Arial" w:hAnsi="Arial" w:cs="Arial"/>
          <w:color w:val="000000" w:themeColor="text1"/>
          <w:sz w:val="24"/>
          <w:szCs w:val="24"/>
          <w:lang w:eastAsia="en-GB"/>
        </w:rPr>
        <w:t xml:space="preserve">, </w:t>
      </w:r>
      <w:proofErr w:type="spellStart"/>
      <w:r w:rsidR="00DC62B9" w:rsidRPr="00DC62B9">
        <w:rPr>
          <w:rFonts w:ascii="Arial" w:hAnsi="Arial" w:cs="Arial"/>
          <w:color w:val="000000" w:themeColor="text1"/>
          <w:sz w:val="24"/>
          <w:szCs w:val="24"/>
          <w:lang w:eastAsia="en-GB"/>
        </w:rPr>
        <w:t>Kher</w:t>
      </w:r>
      <w:proofErr w:type="spellEnd"/>
      <w:r w:rsidR="00DC62B9" w:rsidRPr="00DC62B9">
        <w:rPr>
          <w:rFonts w:ascii="Arial" w:hAnsi="Arial" w:cs="Arial"/>
          <w:color w:val="000000" w:themeColor="text1"/>
          <w:sz w:val="24"/>
          <w:szCs w:val="24"/>
          <w:lang w:eastAsia="en-GB"/>
        </w:rPr>
        <w:t xml:space="preserve">, and </w:t>
      </w:r>
      <w:proofErr w:type="spellStart"/>
      <w:r w:rsidR="00DC62B9" w:rsidRPr="00DC62B9">
        <w:rPr>
          <w:rFonts w:ascii="Arial" w:hAnsi="Arial" w:cs="Arial"/>
          <w:color w:val="000000" w:themeColor="text1"/>
          <w:sz w:val="24"/>
          <w:szCs w:val="24"/>
          <w:lang w:eastAsia="en-GB"/>
        </w:rPr>
        <w:t>Sugathan</w:t>
      </w:r>
      <w:proofErr w:type="spellEnd"/>
      <w:r w:rsidR="00DC62B9" w:rsidRPr="00DC62B9">
        <w:rPr>
          <w:rFonts w:ascii="Arial" w:hAnsi="Arial" w:cs="Arial"/>
          <w:color w:val="000000" w:themeColor="text1"/>
          <w:sz w:val="24"/>
          <w:szCs w:val="24"/>
          <w:lang w:eastAsia="en-GB"/>
        </w:rPr>
        <w:t xml:space="preserve">, 2020). Fourth, as Brent Council's regeneration speeds up, competition gets tougher. By 2026, approved pipeline projects will add at least six hundred branded mid-scale rooms, but PwC predicts that London's RevPAR growth will slow to two percent, which will shift the advantage from occupancy engineering to cost discipline and reputation management (PwC, 2024). </w:t>
      </w:r>
      <w:proofErr w:type="spellStart"/>
      <w:r w:rsidR="00DC62B9" w:rsidRPr="00DC62B9">
        <w:rPr>
          <w:rFonts w:ascii="Arial" w:hAnsi="Arial" w:cs="Arial"/>
          <w:color w:val="000000" w:themeColor="text1"/>
          <w:sz w:val="24"/>
          <w:szCs w:val="24"/>
          <w:lang w:eastAsia="en-GB"/>
        </w:rPr>
        <w:t>TrustYou</w:t>
      </w:r>
      <w:proofErr w:type="spellEnd"/>
      <w:r w:rsidR="00DC62B9" w:rsidRPr="00DC62B9">
        <w:rPr>
          <w:rFonts w:ascii="Arial" w:hAnsi="Arial" w:cs="Arial"/>
          <w:color w:val="000000" w:themeColor="text1"/>
          <w:sz w:val="24"/>
          <w:szCs w:val="24"/>
          <w:lang w:eastAsia="en-GB"/>
        </w:rPr>
        <w:t xml:space="preserve"> elasticity experiments show that adding another review point makes up for a ten-pound ADR drop. This shows that system dependability and empathetic recovery can now be turned into money (Edwards, Smith, and Chan, 2023). These findings support the idea of an integrated resilience program that includes redundant cloud architecture, predictive maintenance sensors, privacy-</w:t>
      </w:r>
      <w:proofErr w:type="spellStart"/>
      <w:r w:rsidR="00DC62B9" w:rsidRPr="00DC62B9">
        <w:rPr>
          <w:rFonts w:ascii="Arial" w:hAnsi="Arial" w:cs="Arial"/>
          <w:color w:val="000000" w:themeColor="text1"/>
          <w:sz w:val="24"/>
          <w:szCs w:val="24"/>
          <w:lang w:eastAsia="en-GB"/>
        </w:rPr>
        <w:t>centered</w:t>
      </w:r>
      <w:proofErr w:type="spellEnd"/>
      <w:r w:rsidR="00DC62B9" w:rsidRPr="00DC62B9">
        <w:rPr>
          <w:rFonts w:ascii="Arial" w:hAnsi="Arial" w:cs="Arial"/>
          <w:color w:val="000000" w:themeColor="text1"/>
          <w:sz w:val="24"/>
          <w:szCs w:val="24"/>
          <w:lang w:eastAsia="en-GB"/>
        </w:rPr>
        <w:t xml:space="preserve"> design, and staff capability building. This kind of program would meet </w:t>
      </w:r>
      <w:proofErr w:type="spellStart"/>
      <w:r w:rsidR="00DC62B9" w:rsidRPr="00DC62B9">
        <w:rPr>
          <w:rFonts w:ascii="Arial" w:hAnsi="Arial" w:cs="Arial"/>
          <w:color w:val="000000" w:themeColor="text1"/>
          <w:sz w:val="24"/>
          <w:szCs w:val="24"/>
          <w:lang w:eastAsia="en-GB"/>
        </w:rPr>
        <w:t>Pantouvakis</w:t>
      </w:r>
      <w:proofErr w:type="spellEnd"/>
      <w:r w:rsidR="00DC62B9" w:rsidRPr="00DC62B9">
        <w:rPr>
          <w:rFonts w:ascii="Arial" w:hAnsi="Arial" w:cs="Arial"/>
          <w:color w:val="000000" w:themeColor="text1"/>
          <w:sz w:val="24"/>
          <w:szCs w:val="24"/>
          <w:lang w:eastAsia="en-GB"/>
        </w:rPr>
        <w:t xml:space="preserve"> and </w:t>
      </w:r>
      <w:proofErr w:type="spellStart"/>
      <w:r w:rsidR="00DC62B9" w:rsidRPr="00DC62B9">
        <w:rPr>
          <w:rFonts w:ascii="Arial" w:hAnsi="Arial" w:cs="Arial"/>
          <w:color w:val="000000" w:themeColor="text1"/>
          <w:sz w:val="24"/>
          <w:szCs w:val="24"/>
          <w:lang w:eastAsia="en-GB"/>
        </w:rPr>
        <w:t>Bouranta's</w:t>
      </w:r>
      <w:proofErr w:type="spellEnd"/>
      <w:r w:rsidR="00DC62B9" w:rsidRPr="00DC62B9">
        <w:rPr>
          <w:rFonts w:ascii="Arial" w:hAnsi="Arial" w:cs="Arial"/>
          <w:color w:val="000000" w:themeColor="text1"/>
          <w:sz w:val="24"/>
          <w:szCs w:val="24"/>
          <w:lang w:eastAsia="en-GB"/>
        </w:rPr>
        <w:t xml:space="preserve"> call for socio-technical alignment because fixing things one at a time just moves stress from machines to people or the other way around (</w:t>
      </w:r>
      <w:proofErr w:type="spellStart"/>
      <w:r w:rsidR="00DC62B9" w:rsidRPr="00DC62B9">
        <w:rPr>
          <w:rFonts w:ascii="Arial" w:hAnsi="Arial" w:cs="Arial"/>
          <w:color w:val="000000" w:themeColor="text1"/>
          <w:sz w:val="24"/>
          <w:szCs w:val="24"/>
          <w:lang w:eastAsia="en-GB"/>
        </w:rPr>
        <w:t>Pantouvakis</w:t>
      </w:r>
      <w:proofErr w:type="spellEnd"/>
      <w:r w:rsidR="00DC62B9" w:rsidRPr="00DC62B9">
        <w:rPr>
          <w:rFonts w:ascii="Arial" w:hAnsi="Arial" w:cs="Arial"/>
          <w:color w:val="000000" w:themeColor="text1"/>
          <w:sz w:val="24"/>
          <w:szCs w:val="24"/>
          <w:lang w:eastAsia="en-GB"/>
        </w:rPr>
        <w:t xml:space="preserve"> and </w:t>
      </w:r>
      <w:proofErr w:type="spellStart"/>
      <w:r w:rsidR="00DC62B9" w:rsidRPr="00DC62B9">
        <w:rPr>
          <w:rFonts w:ascii="Arial" w:hAnsi="Arial" w:cs="Arial"/>
          <w:color w:val="000000" w:themeColor="text1"/>
          <w:sz w:val="24"/>
          <w:szCs w:val="24"/>
          <w:lang w:eastAsia="en-GB"/>
        </w:rPr>
        <w:t>Bouranta</w:t>
      </w:r>
      <w:proofErr w:type="spellEnd"/>
      <w:r w:rsidR="00DC62B9" w:rsidRPr="00DC62B9">
        <w:rPr>
          <w:rFonts w:ascii="Arial" w:hAnsi="Arial" w:cs="Arial"/>
          <w:color w:val="000000" w:themeColor="text1"/>
          <w:sz w:val="24"/>
          <w:szCs w:val="24"/>
          <w:lang w:eastAsia="en-GB"/>
        </w:rPr>
        <w:t xml:space="preserve">, 2016). The hotel can only afford this plan if events keep becoming shorter, but Oxford Economics modelling suggests that fixture delays are getting worse as the weather becomes more unpredictable. This means that capital improvements need to come with flexible cost structures and staffing models (Oxford Economics, 2024). So, the strategic horizon goes beyond just stopping the last crisis. Management needs to set up a learning loop that turns each disruption into code, training, and policy improvements. This is similar to Barros and </w:t>
      </w:r>
      <w:proofErr w:type="spellStart"/>
      <w:r w:rsidR="00DC62B9" w:rsidRPr="00DC62B9">
        <w:rPr>
          <w:rFonts w:ascii="Arial" w:hAnsi="Arial" w:cs="Arial"/>
          <w:color w:val="000000" w:themeColor="text1"/>
          <w:sz w:val="24"/>
          <w:szCs w:val="24"/>
          <w:lang w:eastAsia="en-GB"/>
        </w:rPr>
        <w:t>Boaventura's</w:t>
      </w:r>
      <w:proofErr w:type="spellEnd"/>
      <w:r w:rsidR="00DC62B9" w:rsidRPr="00DC62B9">
        <w:rPr>
          <w:rFonts w:ascii="Arial" w:hAnsi="Arial" w:cs="Arial"/>
          <w:color w:val="000000" w:themeColor="text1"/>
          <w:sz w:val="24"/>
          <w:szCs w:val="24"/>
          <w:lang w:eastAsia="en-GB"/>
        </w:rPr>
        <w:t xml:space="preserve"> idea that reliability, once it becomes institutionalised, gives you a competitive edge year after year (Barros and </w:t>
      </w:r>
      <w:proofErr w:type="spellStart"/>
      <w:r w:rsidR="00DC62B9" w:rsidRPr="00DC62B9">
        <w:rPr>
          <w:rFonts w:ascii="Arial" w:hAnsi="Arial" w:cs="Arial"/>
          <w:color w:val="000000" w:themeColor="text1"/>
          <w:sz w:val="24"/>
          <w:szCs w:val="24"/>
          <w:lang w:eastAsia="en-GB"/>
        </w:rPr>
        <w:t>Boaventura</w:t>
      </w:r>
      <w:proofErr w:type="spellEnd"/>
      <w:r w:rsidR="00DC62B9" w:rsidRPr="00DC62B9">
        <w:rPr>
          <w:rFonts w:ascii="Arial" w:hAnsi="Arial" w:cs="Arial"/>
          <w:color w:val="000000" w:themeColor="text1"/>
          <w:sz w:val="24"/>
          <w:szCs w:val="24"/>
          <w:lang w:eastAsia="en-GB"/>
        </w:rPr>
        <w:t>, 2015).</w:t>
      </w:r>
      <w:r w:rsidR="00DC62B9" w:rsidRPr="00DC62B9">
        <w:t xml:space="preserve"> </w:t>
      </w:r>
      <w:r w:rsidR="00DC62B9" w:rsidRPr="00DC62B9">
        <w:rPr>
          <w:rFonts w:ascii="Arial" w:hAnsi="Arial" w:cs="Arial"/>
          <w:color w:val="000000" w:themeColor="text1"/>
          <w:sz w:val="24"/>
          <w:szCs w:val="24"/>
          <w:lang w:eastAsia="en-GB"/>
        </w:rPr>
        <w:t xml:space="preserve">Brexit-driven restrictions have slowed the flow of entry-level hospitality workers, making it take longer to hire new staff and forcing hotels to bid on wages, which cuts into their cost advantage (House of Commons Library, 2025). When the National Living Wage went up by 9.8 percent in April 2025, payroll costs went up to more than 30 percent of revenue, showing how sensitive a lean 0.60-FTE-per-room model is to wage shocks from outside sources (Low Pay Commission, 2025). Macro-forecasts add to the stress: PwC says that London RevPAR would slow down to roughly three percent in 2025, which means that top-line growth can no longer disguise operational problems (PwC, 2024). At the same time, the Net Zero Strategy makes sustainability disclosure a matter of legal compliance. Government case studies show that PMS or building-management outages can stop carbon metering and raise energy intensity by up to eight percent, showing how fragile technology can lead to regulatory risk (Department for Energy Security and Net Zero, 2024). The Information Commissioner's stricter biometrics code means that hotels using facial recognition must follow strict rules about consent and transparency. </w:t>
      </w:r>
      <w:proofErr w:type="spellStart"/>
      <w:r w:rsidR="00DC62B9" w:rsidRPr="00DC62B9">
        <w:rPr>
          <w:rFonts w:ascii="Arial" w:hAnsi="Arial" w:cs="Arial"/>
          <w:color w:val="000000" w:themeColor="text1"/>
          <w:sz w:val="24"/>
          <w:szCs w:val="24"/>
          <w:lang w:eastAsia="en-GB"/>
        </w:rPr>
        <w:t>Netnography</w:t>
      </w:r>
      <w:proofErr w:type="spellEnd"/>
      <w:r w:rsidR="00DC62B9" w:rsidRPr="00DC62B9">
        <w:rPr>
          <w:rFonts w:ascii="Arial" w:hAnsi="Arial" w:cs="Arial"/>
          <w:color w:val="000000" w:themeColor="text1"/>
          <w:sz w:val="24"/>
          <w:szCs w:val="24"/>
          <w:lang w:eastAsia="en-GB"/>
        </w:rPr>
        <w:t xml:space="preserve"> shows that stories about privacy breaches get more "helpful" responses than complaints about food quality, which makes the reputational damage worse (Information Commissioner's Office, 2024). Brent's revitalisation plan will bring ten thousand new employment and fifteen thousand new residences to the area by 2030. This will increase demand for corporate events throughout the week and add at least six hundred new branded rooms. If supply grows faster than events, this will lead to more competition for rates (Brent Council, 2023). Academic research on socio-technical alignment posits that fragmented solutions merely transfer stress between machines and individuals; in contrast, performance improvements are achieved through the simultaneous implementation of redundant cloud architecture, predictive maintenance, privacy-by-design, and resilience-focused human resource practices (</w:t>
      </w:r>
      <w:proofErr w:type="spellStart"/>
      <w:r w:rsidR="00DC62B9" w:rsidRPr="00DC62B9">
        <w:rPr>
          <w:rFonts w:ascii="Arial" w:hAnsi="Arial" w:cs="Arial"/>
          <w:color w:val="000000" w:themeColor="text1"/>
          <w:sz w:val="24"/>
          <w:szCs w:val="24"/>
          <w:lang w:eastAsia="en-GB"/>
        </w:rPr>
        <w:t>Pantouvakis</w:t>
      </w:r>
      <w:proofErr w:type="spellEnd"/>
      <w:r w:rsidR="00DC62B9" w:rsidRPr="00DC62B9">
        <w:rPr>
          <w:rFonts w:ascii="Arial" w:hAnsi="Arial" w:cs="Arial"/>
          <w:color w:val="000000" w:themeColor="text1"/>
          <w:sz w:val="24"/>
          <w:szCs w:val="24"/>
          <w:lang w:eastAsia="en-GB"/>
        </w:rPr>
        <w:t xml:space="preserve"> and </w:t>
      </w:r>
      <w:proofErr w:type="spellStart"/>
      <w:r w:rsidR="00DC62B9" w:rsidRPr="00DC62B9">
        <w:rPr>
          <w:rFonts w:ascii="Arial" w:hAnsi="Arial" w:cs="Arial"/>
          <w:color w:val="000000" w:themeColor="text1"/>
          <w:sz w:val="24"/>
          <w:szCs w:val="24"/>
          <w:lang w:eastAsia="en-GB"/>
        </w:rPr>
        <w:t>Bouranta</w:t>
      </w:r>
      <w:proofErr w:type="spellEnd"/>
      <w:r w:rsidR="00DC62B9" w:rsidRPr="00DC62B9">
        <w:rPr>
          <w:rFonts w:ascii="Arial" w:hAnsi="Arial" w:cs="Arial"/>
          <w:color w:val="000000" w:themeColor="text1"/>
          <w:sz w:val="24"/>
          <w:szCs w:val="24"/>
          <w:lang w:eastAsia="en-GB"/>
        </w:rPr>
        <w:t xml:space="preserve">, 2016). Kaplan et al. show that London hotels that include workshop-based resilience programs saw a 9% drop in digital complaints in six months. This was also true when cross-trained staff rebooted the PMS during a sold-out concert to stop a queue meltdown from happening again (Kaplan et al., 2023). Oxford Economics, on the other hand, says that climate change has caused fixture postponements to rise by three percent each year since 2020. This means that even a strong algorithm must be able to handle abrupt changes in demand, which is why banks require flexible personnel and scenario drills (Oxford Economics, 2024). The study's limitations—twelve weeks of observation, unaudited financial estimates, and a tiny review corpus—constrain generalisability; nonetheless, triangulation of field notes, archival records, and digital traces enhances confidence in its principal assertion: Novotel London Wembley can keep its £165 ADR and 8.5 rating only if it makes a learning loop that turns every problem into new code, better protocols, and targeted coaching. This way, it can turn unavoidable shocks into a competitive advantage over time (Barros and </w:t>
      </w:r>
      <w:proofErr w:type="spellStart"/>
      <w:r w:rsidR="00DC62B9" w:rsidRPr="00DC62B9">
        <w:rPr>
          <w:rFonts w:ascii="Arial" w:hAnsi="Arial" w:cs="Arial"/>
          <w:color w:val="000000" w:themeColor="text1"/>
          <w:sz w:val="24"/>
          <w:szCs w:val="24"/>
          <w:lang w:eastAsia="en-GB"/>
        </w:rPr>
        <w:t>Boaventura</w:t>
      </w:r>
      <w:proofErr w:type="spellEnd"/>
      <w:r w:rsidR="00DC62B9" w:rsidRPr="00DC62B9">
        <w:rPr>
          <w:rFonts w:ascii="Arial" w:hAnsi="Arial" w:cs="Arial"/>
          <w:color w:val="000000" w:themeColor="text1"/>
          <w:sz w:val="24"/>
          <w:szCs w:val="24"/>
          <w:lang w:eastAsia="en-GB"/>
        </w:rPr>
        <w:t>, 2015).</w:t>
      </w:r>
    </w:p>
    <w:p w14:paraId="700E3EA3" w14:textId="144F3ECD" w:rsidR="00DC62B9" w:rsidRPr="00DC62B9" w:rsidRDefault="00DC62B9" w:rsidP="00D511B5">
      <w:pPr>
        <w:pStyle w:val="EU"/>
        <w:numPr>
          <w:ilvl w:val="0"/>
          <w:numId w:val="1"/>
        </w:numPr>
        <w:spacing w:line="360" w:lineRule="auto"/>
        <w:rPr>
          <w:color w:val="auto"/>
        </w:rPr>
      </w:pPr>
      <w:bookmarkStart w:id="6" w:name="_Toc200755611"/>
      <w:r w:rsidRPr="00DC62B9">
        <w:rPr>
          <w:color w:val="auto"/>
        </w:rPr>
        <w:t>Conclusion and recommendations</w:t>
      </w:r>
      <w:bookmarkEnd w:id="6"/>
    </w:p>
    <w:p w14:paraId="44ABB5C0" w14:textId="77777777" w:rsidR="00D511B5" w:rsidRDefault="00D511B5" w:rsidP="00D511B5">
      <w:pPr>
        <w:spacing w:line="360" w:lineRule="auto"/>
        <w:jc w:val="both"/>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In conclusion, </w:t>
      </w:r>
      <w:r w:rsidRPr="00D511B5">
        <w:rPr>
          <w:rFonts w:ascii="Arial" w:hAnsi="Arial" w:cs="Arial"/>
          <w:color w:val="000000" w:themeColor="text1"/>
          <w:sz w:val="24"/>
          <w:szCs w:val="24"/>
          <w:lang w:eastAsia="en-GB"/>
        </w:rPr>
        <w:t xml:space="preserve">London Novotel Wembley came out of our study as a hotel that makes money from its event-driven location but is nonetheless prone to the operational stressors that come with that same volatility. The research verified that an eight to ten percent systematic overbooking buffer provides added income during stadium events. However, revenues disappear when late cancellations don't happen and reactive relocation processes hurt front-line morale. </w:t>
      </w:r>
      <w:proofErr w:type="spellStart"/>
      <w:r w:rsidRPr="00D511B5">
        <w:rPr>
          <w:rFonts w:ascii="Arial" w:hAnsi="Arial" w:cs="Arial"/>
          <w:color w:val="000000" w:themeColor="text1"/>
          <w:sz w:val="24"/>
          <w:szCs w:val="24"/>
          <w:lang w:eastAsia="en-GB"/>
        </w:rPr>
        <w:t>Netnographic</w:t>
      </w:r>
      <w:proofErr w:type="spellEnd"/>
      <w:r w:rsidRPr="00D511B5">
        <w:rPr>
          <w:rFonts w:ascii="Arial" w:hAnsi="Arial" w:cs="Arial"/>
          <w:color w:val="000000" w:themeColor="text1"/>
          <w:sz w:val="24"/>
          <w:szCs w:val="24"/>
          <w:lang w:eastAsia="en-GB"/>
        </w:rPr>
        <w:t xml:space="preserve"> investigation showed that visitors who were moved write bad reviews within hours and that their discontent was caused by the turmoil at check-in rather than the price itself. A simultaneous look at technology logs indicated that three cloud PMS breakdowns and repeated key-card encoder problems put even more stress on an already lean 0.60-FTE staffing strategy, which leads to long lines that feed the review clusters that were found online. Comparative benchmarking showed that reputable competitors like Hilton may charge a higher average daily fee since their infrastructure allows for smooth arrivals. The SWOT and PEST analyses together showed four important areas of risk: not enough workers, not following carbon rules, data privacy risk, and more competition in the area. On the other hand, great brand equity, being close to world-class venues, and being able to use Accor's distribution network provide long-lasting benefits. The results suggest a socio-technical agenda that includes predictive overbooking algorithms, redundant cloud architecture, updates that protect privacy by design, and human-resource strategies that focus on resilience. The twelve-week observation period and limited review corpus restrict generalisation; however, triangulation of field notes, archival data, and digital traces reinforces the primary conclusion: enduring profitability in Wembley’s prominent marketplace will rely less on additional yield manipulation and more on the hotel’s ability to transform every disruption—be it guest displacement or system failure—into formalised learning and proactive service recovery. Investing in dependability and empathy on purpose is the best way to protect both your reputation and your income. This plan will help Novotel keep its £165 ADR and 8.5 rating in a market that is becoming older.</w:t>
      </w:r>
    </w:p>
    <w:p w14:paraId="6A5CB2D6" w14:textId="6F70AD75" w:rsidR="00B64EAC" w:rsidRPr="009E2C87" w:rsidRDefault="00D511B5" w:rsidP="00A60BE5">
      <w:pPr>
        <w:spacing w:line="360" w:lineRule="auto"/>
        <w:jc w:val="both"/>
        <w:rPr>
          <w:rFonts w:ascii="Arial" w:hAnsi="Arial" w:cs="Arial"/>
          <w:b/>
          <w:bCs/>
          <w:color w:val="000000" w:themeColor="text1"/>
          <w:sz w:val="24"/>
          <w:szCs w:val="24"/>
          <w:lang w:eastAsia="en-GB"/>
        </w:rPr>
      </w:pPr>
      <w:r w:rsidRPr="00D511B5">
        <w:rPr>
          <w:rFonts w:ascii="Arial" w:hAnsi="Arial" w:cs="Arial"/>
          <w:b/>
          <w:bCs/>
          <w:color w:val="000000" w:themeColor="text1"/>
          <w:sz w:val="24"/>
          <w:szCs w:val="24"/>
          <w:lang w:eastAsia="en-GB"/>
        </w:rPr>
        <w:t>Recommendations</w:t>
      </w:r>
      <w:r w:rsidRPr="00D511B5">
        <w:rPr>
          <w:rFonts w:ascii="Arial" w:hAnsi="Arial" w:cs="Arial"/>
          <w:b/>
          <w:bCs/>
          <w:color w:val="000000" w:themeColor="text1"/>
          <w:sz w:val="24"/>
          <w:szCs w:val="24"/>
          <w:lang w:eastAsia="en-GB"/>
        </w:rPr>
        <w:br/>
      </w:r>
      <w:r w:rsidRPr="00D511B5">
        <w:rPr>
          <w:rFonts w:ascii="Arial" w:hAnsi="Arial" w:cs="Arial"/>
          <w:color w:val="000000" w:themeColor="text1"/>
          <w:sz w:val="24"/>
          <w:szCs w:val="24"/>
          <w:lang w:eastAsia="en-GB"/>
        </w:rPr>
        <w:t xml:space="preserve">In a market that is becoming more regulated, price-transparent, and </w:t>
      </w:r>
      <w:proofErr w:type="spellStart"/>
      <w:r w:rsidRPr="00D511B5">
        <w:rPr>
          <w:rFonts w:ascii="Arial" w:hAnsi="Arial" w:cs="Arial"/>
          <w:color w:val="000000" w:themeColor="text1"/>
          <w:sz w:val="24"/>
          <w:szCs w:val="24"/>
          <w:lang w:eastAsia="en-GB"/>
        </w:rPr>
        <w:t>labor</w:t>
      </w:r>
      <w:proofErr w:type="spellEnd"/>
      <w:r w:rsidRPr="00D511B5">
        <w:rPr>
          <w:rFonts w:ascii="Arial" w:hAnsi="Arial" w:cs="Arial"/>
          <w:color w:val="000000" w:themeColor="text1"/>
          <w:sz w:val="24"/>
          <w:szCs w:val="24"/>
          <w:lang w:eastAsia="en-GB"/>
        </w:rPr>
        <w:t>-constrained, Novotel London Wembley should use a single, integrated resilience program that combines revenue analytics, cloud reliability, workforce capability, sustainability compliance, and privacy governance into a single operating system that works together. First, the hotel needs to get rid of its fixed eight-to-ten-per-cent overbooking rule and switch to a dynamic buffer that takes in real-time Wembley ticket sales and historical no-show curves. Empirical modelling shows that such algorithms increase net revenue while cutting involuntary relocations in half, which protects guest sentiment and rate integrity (Edwards, Smith, and Chan, 2023). Second, a strong digital backbone is needed for business success. Installing dual internet routes, local failover servers, and automated reboot scripts would keep property management system outages to less than thirty minutes, which is the point at which UK city hotels lose a lot of customers (</w:t>
      </w:r>
      <w:proofErr w:type="spellStart"/>
      <w:r w:rsidRPr="00D511B5">
        <w:rPr>
          <w:rFonts w:ascii="Arial" w:hAnsi="Arial" w:cs="Arial"/>
          <w:color w:val="000000" w:themeColor="text1"/>
          <w:sz w:val="24"/>
          <w:szCs w:val="24"/>
          <w:lang w:eastAsia="en-GB"/>
        </w:rPr>
        <w:t>Pantouvakis</w:t>
      </w:r>
      <w:proofErr w:type="spellEnd"/>
      <w:r w:rsidRPr="00D511B5">
        <w:rPr>
          <w:rFonts w:ascii="Arial" w:hAnsi="Arial" w:cs="Arial"/>
          <w:color w:val="000000" w:themeColor="text1"/>
          <w:sz w:val="24"/>
          <w:szCs w:val="24"/>
          <w:lang w:eastAsia="en-GB"/>
        </w:rPr>
        <w:t xml:space="preserve"> and </w:t>
      </w:r>
      <w:proofErr w:type="spellStart"/>
      <w:r w:rsidRPr="00D511B5">
        <w:rPr>
          <w:rFonts w:ascii="Arial" w:hAnsi="Arial" w:cs="Arial"/>
          <w:color w:val="000000" w:themeColor="text1"/>
          <w:sz w:val="24"/>
          <w:szCs w:val="24"/>
          <w:lang w:eastAsia="en-GB"/>
        </w:rPr>
        <w:t>Bouranta</w:t>
      </w:r>
      <w:proofErr w:type="spellEnd"/>
      <w:r w:rsidRPr="00D511B5">
        <w:rPr>
          <w:rFonts w:ascii="Arial" w:hAnsi="Arial" w:cs="Arial"/>
          <w:color w:val="000000" w:themeColor="text1"/>
          <w:sz w:val="24"/>
          <w:szCs w:val="24"/>
          <w:lang w:eastAsia="en-GB"/>
        </w:rPr>
        <w:t>, 2016). It would also guarantee that data capture for mandatory carbon reporting (Department for Energy Security and Net Zero, 2024) never stops. Third, instead of cutting more jobs, lean staffing should be balanced by capability. For example, creating a flexible "event-reserve" pool, cross-training receptionists in first-line diagnostics, and running quarterly resilience workshops can replicate London pilots that cut online complaints by nine percent in six months (Kaplan et al., 2023) and help keep morale high in a job market that is already tight because of post-Brexit migration limits (House of Commons Library, 2025). Fourth, fairness for guests is important in the age of live price comparison. Connecting the dynamic buffer to an automated compensation engine that scrapes competitor rates makes sure that relocation offers meet perceived equity standards, which directly addresses the negative reviews caused by price-justice gaps (Mohapatra, Dubey, and Mohapatra, 2023). Fifth, privacy-by-design must be at the heart of every digital touchpoint. This is because new biometric guidance puts the burden of proof on operators. Adding granular consent menus, visible data-processing notices, and annual audits will reduce the risk of enforcement and reassure tech-savvy visitors who value data security as much as cleanliness (Information Commissioner's Office, 2024). Sixth, energy and cost pressures come together: connecting IoT submeters to the now-unneeded PMS will make carbon dashboards available every half hour, which will cut utility costs that have gone up faster than inflation in London hotels (PwC, 2024). Seventh, payroll inflation after the recent 9.8 percent wage increase can be offset by automating low-value tasks, like using chatbots to answer routine questions and robotic process automation to keep track of inventory. The freed-up workers can then be sent to do tasks that require empathy, like waiting in line in the lobby. This is a strategy that has been supported by sector workforce briefings (</w:t>
      </w:r>
      <w:proofErr w:type="spellStart"/>
      <w:r w:rsidRPr="00D511B5">
        <w:rPr>
          <w:rFonts w:ascii="Arial" w:hAnsi="Arial" w:cs="Arial"/>
          <w:color w:val="000000" w:themeColor="text1"/>
          <w:sz w:val="24"/>
          <w:szCs w:val="24"/>
          <w:lang w:eastAsia="en-GB"/>
        </w:rPr>
        <w:t>UKHospitality</w:t>
      </w:r>
      <w:proofErr w:type="spellEnd"/>
      <w:r w:rsidRPr="00D511B5">
        <w:rPr>
          <w:rFonts w:ascii="Arial" w:hAnsi="Arial" w:cs="Arial"/>
          <w:color w:val="000000" w:themeColor="text1"/>
          <w:sz w:val="24"/>
          <w:szCs w:val="24"/>
          <w:lang w:eastAsia="en-GB"/>
        </w:rPr>
        <w:t xml:space="preserve">, 2024). Eighth, corporate demand that has already been booked should be locked in before the 600-room pipeline across Hilton, Ibis Styles, and Premier Inn opens. Preferred-supplier agreements with the new Wembley Park offices and residential concierge desks would help keep occupancy stable during the week and reduce reliance on event peaks, which are expected to change as the climate becomes more volatile (Oxford Economics, 2024). Ninth, management should diversify revenue by offering co-working passes, fixed-price fan packages, and tiered late-checkout fees. This will help lessen the impact of the expected slowdown to three percent RevPAR growth (PwC, 2024) and increase engagement with loyalty members, who tend to spend more on extras (Lockyer and Wood, 2019). Tenth, a continuous-learning loop must turn every failure into institutional memory. For example, every outage or displacement should create a root-cause ticket, standard-operating procedures should be updated every month, and </w:t>
      </w:r>
      <w:proofErr w:type="spellStart"/>
      <w:r w:rsidRPr="00D511B5">
        <w:rPr>
          <w:rFonts w:ascii="Arial" w:hAnsi="Arial" w:cs="Arial"/>
          <w:color w:val="000000" w:themeColor="text1"/>
          <w:sz w:val="24"/>
          <w:szCs w:val="24"/>
          <w:lang w:eastAsia="en-GB"/>
        </w:rPr>
        <w:t>netnographic</w:t>
      </w:r>
      <w:proofErr w:type="spellEnd"/>
      <w:r w:rsidRPr="00D511B5">
        <w:rPr>
          <w:rFonts w:ascii="Arial" w:hAnsi="Arial" w:cs="Arial"/>
          <w:color w:val="000000" w:themeColor="text1"/>
          <w:sz w:val="24"/>
          <w:szCs w:val="24"/>
          <w:lang w:eastAsia="en-GB"/>
        </w:rPr>
        <w:t xml:space="preserve"> sentiment dashboards should be fed into weekly huddles so that frontline stories can help improve the code. This is in line with productivity research that shows that reliability increases when lessons are codified instead of improvised (Barros and </w:t>
      </w:r>
      <w:proofErr w:type="spellStart"/>
      <w:r w:rsidRPr="00D511B5">
        <w:rPr>
          <w:rFonts w:ascii="Arial" w:hAnsi="Arial" w:cs="Arial"/>
          <w:color w:val="000000" w:themeColor="text1"/>
          <w:sz w:val="24"/>
          <w:szCs w:val="24"/>
          <w:lang w:eastAsia="en-GB"/>
        </w:rPr>
        <w:t>Boaventura</w:t>
      </w:r>
      <w:proofErr w:type="spellEnd"/>
      <w:r w:rsidRPr="00D511B5">
        <w:rPr>
          <w:rFonts w:ascii="Arial" w:hAnsi="Arial" w:cs="Arial"/>
          <w:color w:val="000000" w:themeColor="text1"/>
          <w:sz w:val="24"/>
          <w:szCs w:val="24"/>
          <w:lang w:eastAsia="en-GB"/>
        </w:rPr>
        <w:t>, Lastly, the whole bundle should be tested in two realistic scenarios: a sudden stadium postponement and a two-hour cloud-provider outage. This way, revenue algorithms, labour contingencies, privacy protections, and carbon reporting can all work together at the same time. Socio-technical scholars recommend full-cycle rehearsals because partial fixes only move stress from machines to people or the other way around (</w:t>
      </w:r>
      <w:proofErr w:type="spellStart"/>
      <w:r w:rsidRPr="00D511B5">
        <w:rPr>
          <w:rFonts w:ascii="Arial" w:hAnsi="Arial" w:cs="Arial"/>
          <w:color w:val="000000" w:themeColor="text1"/>
          <w:sz w:val="24"/>
          <w:szCs w:val="24"/>
          <w:lang w:eastAsia="en-GB"/>
        </w:rPr>
        <w:t>Pantouvakis</w:t>
      </w:r>
      <w:proofErr w:type="spellEnd"/>
      <w:r w:rsidRPr="00D511B5">
        <w:rPr>
          <w:rFonts w:ascii="Arial" w:hAnsi="Arial" w:cs="Arial"/>
          <w:color w:val="000000" w:themeColor="text1"/>
          <w:sz w:val="24"/>
          <w:szCs w:val="24"/>
          <w:lang w:eastAsia="en-GB"/>
        </w:rPr>
        <w:t xml:space="preserve"> and </w:t>
      </w:r>
      <w:proofErr w:type="spellStart"/>
      <w:r w:rsidRPr="00D511B5">
        <w:rPr>
          <w:rFonts w:ascii="Arial" w:hAnsi="Arial" w:cs="Arial"/>
          <w:color w:val="000000" w:themeColor="text1"/>
          <w:sz w:val="24"/>
          <w:szCs w:val="24"/>
          <w:lang w:eastAsia="en-GB"/>
        </w:rPr>
        <w:t>Bouranta</w:t>
      </w:r>
      <w:proofErr w:type="spellEnd"/>
      <w:r w:rsidRPr="00D511B5">
        <w:rPr>
          <w:rFonts w:ascii="Arial" w:hAnsi="Arial" w:cs="Arial"/>
          <w:color w:val="000000" w:themeColor="text1"/>
          <w:sz w:val="24"/>
          <w:szCs w:val="24"/>
          <w:lang w:eastAsia="en-GB"/>
        </w:rPr>
        <w:t>, 2016). These eleven interwoven suggestions work together to turn present weaknesses into performance levers: Predictive buffers keep revenue safe, cloud redundancy keeps services running, trained staff keep empathy alive, algorithmic equity keeps reputation safe, privacy-by-design keeps compliance safe, real-time carbon tracking keeps sustainability credibility safe, automation offsets wage inflation, local partnerships protect demand, ancillary offers diversify income, learning loops embed resilience, and scenario drills test readiness. All of these things will help Novotel London Wembley keep its £165 average daily rate and 8.5 review score even as wage, carbon, privacy, and competitive pressures increase over the next ten years.</w:t>
      </w:r>
    </w:p>
    <w:p w14:paraId="544CFBD7" w14:textId="1D1F700C" w:rsidR="00126C05" w:rsidRPr="00A60BE5" w:rsidRDefault="00126C05" w:rsidP="00A60BE5">
      <w:pPr>
        <w:pStyle w:val="EU"/>
        <w:spacing w:line="360" w:lineRule="auto"/>
        <w:rPr>
          <w:color w:val="000000" w:themeColor="text1"/>
        </w:rPr>
      </w:pPr>
      <w:bookmarkStart w:id="7" w:name="_Toc200755612"/>
      <w:r w:rsidRPr="00A60BE5">
        <w:rPr>
          <w:color w:val="000000" w:themeColor="text1"/>
        </w:rPr>
        <w:t>References</w:t>
      </w:r>
      <w:bookmarkEnd w:id="7"/>
    </w:p>
    <w:p w14:paraId="156D4B69" w14:textId="77777777" w:rsidR="00126C05" w:rsidRPr="00A60BE5" w:rsidRDefault="00126C05" w:rsidP="00A60BE5">
      <w:pPr>
        <w:spacing w:line="360" w:lineRule="auto"/>
        <w:jc w:val="both"/>
        <w:rPr>
          <w:rFonts w:ascii="Arial" w:hAnsi="Arial" w:cs="Arial"/>
          <w:color w:val="000000" w:themeColor="text1"/>
          <w:sz w:val="24"/>
          <w:szCs w:val="24"/>
          <w:lang w:eastAsia="en-GB"/>
        </w:rPr>
      </w:pPr>
    </w:p>
    <w:p w14:paraId="709A9C86" w14:textId="090798B5" w:rsid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Accor (2025). </w:t>
      </w:r>
      <w:r w:rsidRPr="00D30B6E">
        <w:rPr>
          <w:rFonts w:ascii="Arial" w:hAnsi="Arial" w:cs="Arial"/>
          <w:i/>
          <w:iCs/>
          <w:color w:val="000000" w:themeColor="text1"/>
          <w:sz w:val="24"/>
          <w:szCs w:val="24"/>
          <w:lang w:eastAsia="en-GB"/>
        </w:rPr>
        <w:t xml:space="preserve">Novotel London Wembley | Contemporary Hotel </w:t>
      </w:r>
      <w:proofErr w:type="spellStart"/>
      <w:r w:rsidRPr="00D30B6E">
        <w:rPr>
          <w:rFonts w:ascii="Arial" w:hAnsi="Arial" w:cs="Arial"/>
          <w:i/>
          <w:iCs/>
          <w:color w:val="000000" w:themeColor="text1"/>
          <w:sz w:val="24"/>
          <w:szCs w:val="24"/>
          <w:lang w:eastAsia="en-GB"/>
        </w:rPr>
        <w:t>inLondon</w:t>
      </w:r>
      <w:proofErr w:type="spellEnd"/>
      <w:r w:rsidRPr="00D30B6E">
        <w:rPr>
          <w:rFonts w:ascii="Arial" w:hAnsi="Arial" w:cs="Arial"/>
          <w:i/>
          <w:iCs/>
          <w:color w:val="000000" w:themeColor="text1"/>
          <w:sz w:val="24"/>
          <w:szCs w:val="24"/>
          <w:lang w:eastAsia="en-GB"/>
        </w:rPr>
        <w:t xml:space="preserve"> - ALL</w:t>
      </w:r>
      <w:r w:rsidRPr="00D30B6E">
        <w:rPr>
          <w:rFonts w:ascii="Arial" w:hAnsi="Arial" w:cs="Arial"/>
          <w:color w:val="000000" w:themeColor="text1"/>
          <w:sz w:val="24"/>
          <w:szCs w:val="24"/>
          <w:lang w:eastAsia="en-GB"/>
        </w:rPr>
        <w:t xml:space="preserve">. [online] Available at: </w:t>
      </w:r>
      <w:hyperlink r:id="rId8" w:history="1">
        <w:r w:rsidR="00BD1A6B" w:rsidRPr="0010156D">
          <w:rPr>
            <w:rStyle w:val="Hyperlink"/>
            <w:rFonts w:ascii="Arial" w:hAnsi="Arial" w:cs="Arial"/>
            <w:sz w:val="24"/>
            <w:szCs w:val="24"/>
            <w:lang w:eastAsia="en-GB"/>
          </w:rPr>
          <w:t>https://all.accor.com/hotel/9389/index.en.shtml</w:t>
        </w:r>
      </w:hyperlink>
      <w:r w:rsidRPr="00D30B6E">
        <w:rPr>
          <w:rFonts w:ascii="Arial" w:hAnsi="Arial" w:cs="Arial"/>
          <w:color w:val="000000" w:themeColor="text1"/>
          <w:sz w:val="24"/>
          <w:szCs w:val="24"/>
          <w:lang w:eastAsia="en-GB"/>
        </w:rPr>
        <w:t>.</w:t>
      </w:r>
    </w:p>
    <w:p w14:paraId="4222EE4F" w14:textId="17236402"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Accor (2025) UK Digital Transformation Update 2025. Paris: Accor.</w:t>
      </w:r>
    </w:p>
    <w:p w14:paraId="19F56D0E" w14:textId="77777777" w:rsidR="00BD1A6B" w:rsidRPr="00BD1A6B" w:rsidRDefault="00BD1A6B" w:rsidP="00BD1A6B">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Bank of England (2025) Monetary Policy Report, May 2025. London: BoE.</w:t>
      </w:r>
    </w:p>
    <w:p w14:paraId="77656C14" w14:textId="77777777" w:rsidR="00BD1A6B" w:rsidRPr="00BD1A6B" w:rsidRDefault="00BD1A6B" w:rsidP="00BD1A6B">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Brent Council (2023) Local Plan 2022–2041. London: Brent Council.</w:t>
      </w:r>
    </w:p>
    <w:p w14:paraId="13B46296" w14:textId="7673A77A"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Barros, C.P. and </w:t>
      </w:r>
      <w:proofErr w:type="spellStart"/>
      <w:r w:rsidRPr="00D30B6E">
        <w:rPr>
          <w:rFonts w:ascii="Arial" w:hAnsi="Arial" w:cs="Arial"/>
          <w:color w:val="000000" w:themeColor="text1"/>
          <w:sz w:val="24"/>
          <w:szCs w:val="24"/>
          <w:lang w:eastAsia="en-GB"/>
        </w:rPr>
        <w:t>Boaventura</w:t>
      </w:r>
      <w:proofErr w:type="spellEnd"/>
      <w:r w:rsidRPr="00D30B6E">
        <w:rPr>
          <w:rFonts w:ascii="Arial" w:hAnsi="Arial" w:cs="Arial"/>
          <w:color w:val="000000" w:themeColor="text1"/>
          <w:sz w:val="24"/>
          <w:szCs w:val="24"/>
          <w:lang w:eastAsia="en-GB"/>
        </w:rPr>
        <w:t>, J.M.G., 2015. The impact of operational reliability on hotel productivity: A UK study. International Journal of Hospitality Management, 46, pp.123–131.</w:t>
      </w:r>
    </w:p>
    <w:p w14:paraId="39E5A8C1" w14:textId="77777777"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Bazeley</w:t>
      </w:r>
      <w:proofErr w:type="spellEnd"/>
      <w:r w:rsidRPr="00D30B6E">
        <w:rPr>
          <w:rFonts w:ascii="Arial" w:hAnsi="Arial" w:cs="Arial"/>
          <w:color w:val="000000" w:themeColor="text1"/>
          <w:sz w:val="24"/>
          <w:szCs w:val="24"/>
          <w:lang w:eastAsia="en-GB"/>
        </w:rPr>
        <w:t xml:space="preserve">, P. and Jackson, K. (2019) Qualitative Data Analysis with NVivo. 3rd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London: SAGE.</w:t>
      </w:r>
    </w:p>
    <w:p w14:paraId="3A87CAE2" w14:textId="77777777"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Beldona</w:t>
      </w:r>
      <w:proofErr w:type="spellEnd"/>
      <w:r w:rsidRPr="00D30B6E">
        <w:rPr>
          <w:rFonts w:ascii="Arial" w:hAnsi="Arial" w:cs="Arial"/>
          <w:color w:val="000000" w:themeColor="text1"/>
          <w:sz w:val="24"/>
          <w:szCs w:val="24"/>
          <w:lang w:eastAsia="en-GB"/>
        </w:rPr>
        <w:t xml:space="preserve">, S., </w:t>
      </w:r>
      <w:proofErr w:type="spellStart"/>
      <w:r w:rsidRPr="00D30B6E">
        <w:rPr>
          <w:rFonts w:ascii="Arial" w:hAnsi="Arial" w:cs="Arial"/>
          <w:color w:val="000000" w:themeColor="text1"/>
          <w:sz w:val="24"/>
          <w:szCs w:val="24"/>
          <w:lang w:eastAsia="en-GB"/>
        </w:rPr>
        <w:t>Kher</w:t>
      </w:r>
      <w:proofErr w:type="spellEnd"/>
      <w:r w:rsidRPr="00D30B6E">
        <w:rPr>
          <w:rFonts w:ascii="Arial" w:hAnsi="Arial" w:cs="Arial"/>
          <w:color w:val="000000" w:themeColor="text1"/>
          <w:sz w:val="24"/>
          <w:szCs w:val="24"/>
          <w:lang w:eastAsia="en-GB"/>
        </w:rPr>
        <w:t xml:space="preserve">, H. and </w:t>
      </w:r>
      <w:proofErr w:type="spellStart"/>
      <w:r w:rsidRPr="00D30B6E">
        <w:rPr>
          <w:rFonts w:ascii="Arial" w:hAnsi="Arial" w:cs="Arial"/>
          <w:color w:val="000000" w:themeColor="text1"/>
          <w:sz w:val="24"/>
          <w:szCs w:val="24"/>
          <w:lang w:eastAsia="en-GB"/>
        </w:rPr>
        <w:t>Sugathan</w:t>
      </w:r>
      <w:proofErr w:type="spellEnd"/>
      <w:r w:rsidRPr="00D30B6E">
        <w:rPr>
          <w:rFonts w:ascii="Arial" w:hAnsi="Arial" w:cs="Arial"/>
          <w:color w:val="000000" w:themeColor="text1"/>
          <w:sz w:val="24"/>
          <w:szCs w:val="24"/>
          <w:lang w:eastAsia="en-GB"/>
        </w:rPr>
        <w:t>, P. (2020) ‘Enhancing hospitality service experience in the digital era: exploring digital empathy’, Journal of Hospitality Marketing and Management, 29(6), pp. 776–795.</w:t>
      </w:r>
    </w:p>
    <w:p w14:paraId="6AA881B5" w14:textId="1A08BA98" w:rsid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Bhaskara</w:t>
      </w:r>
      <w:proofErr w:type="spellEnd"/>
      <w:r w:rsidRPr="00D30B6E">
        <w:rPr>
          <w:rFonts w:ascii="Arial" w:hAnsi="Arial" w:cs="Arial"/>
          <w:color w:val="000000" w:themeColor="text1"/>
          <w:sz w:val="24"/>
          <w:szCs w:val="24"/>
          <w:lang w:eastAsia="en-GB"/>
        </w:rPr>
        <w:t xml:space="preserve">, G. I. and </w:t>
      </w:r>
      <w:proofErr w:type="spellStart"/>
      <w:r w:rsidRPr="00D30B6E">
        <w:rPr>
          <w:rFonts w:ascii="Arial" w:hAnsi="Arial" w:cs="Arial"/>
          <w:color w:val="000000" w:themeColor="text1"/>
          <w:sz w:val="24"/>
          <w:szCs w:val="24"/>
          <w:lang w:eastAsia="en-GB"/>
        </w:rPr>
        <w:t>Filimonau</w:t>
      </w:r>
      <w:proofErr w:type="spellEnd"/>
      <w:r w:rsidRPr="00D30B6E">
        <w:rPr>
          <w:rFonts w:ascii="Arial" w:hAnsi="Arial" w:cs="Arial"/>
          <w:color w:val="000000" w:themeColor="text1"/>
          <w:sz w:val="24"/>
          <w:szCs w:val="24"/>
          <w:lang w:eastAsia="en-GB"/>
        </w:rPr>
        <w:t>, V. (2024) ‘How chefs develop the practice to manage food waste in hospitality operations’, International Journal of Hospitality Management, 119, Art. 103712.</w:t>
      </w:r>
    </w:p>
    <w:p w14:paraId="48E82E22" w14:textId="740068F4" w:rsidR="006E4BFF" w:rsidRPr="006E4BFF" w:rsidRDefault="006E4BFF" w:rsidP="006E4BFF">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Booking.com (2025) Hilton London Wembley – rates and guest reviews. Accessed 2 June 2025.</w:t>
      </w:r>
    </w:p>
    <w:p w14:paraId="47D23368" w14:textId="20EEFB85" w:rsidR="006E4BFF" w:rsidRDefault="006E4BFF" w:rsidP="006E4BFF">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 xml:space="preserve">Booking.com (2025) Guest review ID 327811 of Novotel London Wembley, posted 5 </w:t>
      </w:r>
      <w:r>
        <w:rPr>
          <w:rFonts w:ascii="Arial" w:hAnsi="Arial" w:cs="Arial"/>
          <w:color w:val="000000" w:themeColor="text1"/>
          <w:sz w:val="24"/>
          <w:szCs w:val="24"/>
          <w:lang w:eastAsia="en-GB"/>
        </w:rPr>
        <w:t>June</w:t>
      </w:r>
      <w:r w:rsidRPr="006E4BFF">
        <w:rPr>
          <w:rFonts w:ascii="Arial" w:hAnsi="Arial" w:cs="Arial"/>
          <w:color w:val="000000" w:themeColor="text1"/>
          <w:sz w:val="24"/>
          <w:szCs w:val="24"/>
          <w:lang w:eastAsia="en-GB"/>
        </w:rPr>
        <w:t xml:space="preserve"> 2025.</w:t>
      </w:r>
    </w:p>
    <w:p w14:paraId="6CF79B07" w14:textId="6E452EF6" w:rsidR="00BB091C"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Brent Council (2019) Economic Impact of Wembley Stadium Events 2017–18. London: Brent Council.</w:t>
      </w:r>
    </w:p>
    <w:p w14:paraId="5F8FD9E3" w14:textId="58EBDEC4" w:rsidR="006E4BFF"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Brent Council (2023) Wembley Park regeneration update: housing, jobs and hotel pipeline 2023. London: Brent Council.</w:t>
      </w:r>
    </w:p>
    <w:p w14:paraId="24805086" w14:textId="4B838246" w:rsidR="00BB091C" w:rsidRPr="00D30B6E"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British Hospitality Association (2024) UK Hotel Staffing Survey 2024. London: BHA.</w:t>
      </w:r>
    </w:p>
    <w:p w14:paraId="0A36E365" w14:textId="77777777"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Brotherton, B. and Wood, R.C., 2014. The International Hospitality Industry: Structure, Characteristics and Issues. 3rd ed. London: Routledge.</w:t>
      </w:r>
    </w:p>
    <w:p w14:paraId="15CE20C6" w14:textId="630BCF67" w:rsidR="00B64EAC"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Bryman, A. and Bell, E. (2015) Business Research Methods. 4th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Oxford: Oxford University Press.</w:t>
      </w:r>
    </w:p>
    <w:p w14:paraId="3182EF8C" w14:textId="1F121522" w:rsidR="0001405F" w:rsidRDefault="0001405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CBRE Hotels (2024) Hotel Brand Performance 2024. London: CBRE Hotels.</w:t>
      </w:r>
    </w:p>
    <w:p w14:paraId="55F223A6" w14:textId="48F18B99"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Chen, Y., Liu, X. and Teo, T. (2020) ‘Operational breakdowns and polarisation in online hotel reviews’, International Journal of Hospitality Management, 87, 102495.</w:t>
      </w:r>
    </w:p>
    <w:p w14:paraId="473E46AE" w14:textId="13EDCAD4" w:rsidR="00BB091C" w:rsidRPr="00BB091C" w:rsidRDefault="00D30B6E" w:rsidP="00BB091C">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Ciampi</w:t>
      </w:r>
      <w:proofErr w:type="spellEnd"/>
      <w:r w:rsidRPr="00D30B6E">
        <w:rPr>
          <w:rFonts w:ascii="Arial" w:hAnsi="Arial" w:cs="Arial"/>
          <w:color w:val="000000" w:themeColor="text1"/>
          <w:sz w:val="24"/>
          <w:szCs w:val="24"/>
          <w:lang w:eastAsia="en-GB"/>
        </w:rPr>
        <w:t xml:space="preserve">, F., Meli, F., Ferraris, A. and </w:t>
      </w:r>
      <w:proofErr w:type="spellStart"/>
      <w:r w:rsidRPr="00D30B6E">
        <w:rPr>
          <w:rFonts w:ascii="Arial" w:hAnsi="Arial" w:cs="Arial"/>
          <w:color w:val="000000" w:themeColor="text1"/>
          <w:sz w:val="24"/>
          <w:szCs w:val="24"/>
          <w:lang w:eastAsia="en-GB"/>
        </w:rPr>
        <w:t>Bresciani</w:t>
      </w:r>
      <w:proofErr w:type="spellEnd"/>
      <w:r w:rsidRPr="00D30B6E">
        <w:rPr>
          <w:rFonts w:ascii="Arial" w:hAnsi="Arial" w:cs="Arial"/>
          <w:color w:val="000000" w:themeColor="text1"/>
          <w:sz w:val="24"/>
          <w:szCs w:val="24"/>
          <w:lang w:eastAsia="en-GB"/>
        </w:rPr>
        <w:t>, S. (2021) ‘The co-evolutionary relationship between digitalisation and organisational agility: evidence from European hospitality firms’, International Journal of Hospitality Management, 92, Art. 102499.</w:t>
      </w:r>
    </w:p>
    <w:p w14:paraId="131701C3" w14:textId="7DEB1BE6" w:rsidR="00A60BE5"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Colladon</w:t>
      </w:r>
      <w:proofErr w:type="spellEnd"/>
      <w:r w:rsidRPr="00D30B6E">
        <w:rPr>
          <w:rFonts w:ascii="Arial" w:hAnsi="Arial" w:cs="Arial"/>
          <w:color w:val="000000" w:themeColor="text1"/>
          <w:sz w:val="24"/>
          <w:szCs w:val="24"/>
          <w:lang w:eastAsia="en-GB"/>
        </w:rPr>
        <w:t xml:space="preserve">, A. F., </w:t>
      </w:r>
      <w:proofErr w:type="spellStart"/>
      <w:r w:rsidRPr="00D30B6E">
        <w:rPr>
          <w:rFonts w:ascii="Arial" w:hAnsi="Arial" w:cs="Arial"/>
          <w:color w:val="000000" w:themeColor="text1"/>
          <w:sz w:val="24"/>
          <w:szCs w:val="24"/>
          <w:lang w:eastAsia="en-GB"/>
        </w:rPr>
        <w:t>Guardabascio</w:t>
      </w:r>
      <w:proofErr w:type="spellEnd"/>
      <w:r w:rsidRPr="00D30B6E">
        <w:rPr>
          <w:rFonts w:ascii="Arial" w:hAnsi="Arial" w:cs="Arial"/>
          <w:color w:val="000000" w:themeColor="text1"/>
          <w:sz w:val="24"/>
          <w:szCs w:val="24"/>
          <w:lang w:eastAsia="en-GB"/>
        </w:rPr>
        <w:t xml:space="preserve">, B. and </w:t>
      </w:r>
      <w:proofErr w:type="spellStart"/>
      <w:r w:rsidRPr="00D30B6E">
        <w:rPr>
          <w:rFonts w:ascii="Arial" w:hAnsi="Arial" w:cs="Arial"/>
          <w:color w:val="000000" w:themeColor="text1"/>
          <w:sz w:val="24"/>
          <w:szCs w:val="24"/>
          <w:lang w:eastAsia="en-GB"/>
        </w:rPr>
        <w:t>Innarella</w:t>
      </w:r>
      <w:proofErr w:type="spellEnd"/>
      <w:r w:rsidRPr="00D30B6E">
        <w:rPr>
          <w:rFonts w:ascii="Arial" w:hAnsi="Arial" w:cs="Arial"/>
          <w:color w:val="000000" w:themeColor="text1"/>
          <w:sz w:val="24"/>
          <w:szCs w:val="24"/>
          <w:lang w:eastAsia="en-GB"/>
        </w:rPr>
        <w:t>, R. (2021) ‘Using social network and semantic analysis to analyse online travel forums and forecast tourism demand’, International Journal of Hospitality Management, 95, 102921.</w:t>
      </w:r>
    </w:p>
    <w:p w14:paraId="0014CC9E" w14:textId="237622B7" w:rsidR="00BB091C"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Companies House (2024) Novotel Wembley Limited: Financial Statements for Year Ended 31 December 2023. London: Companies House.</w:t>
      </w:r>
    </w:p>
    <w:p w14:paraId="5858A79F" w14:textId="3DCAE056" w:rsidR="00BB091C" w:rsidRPr="00D30B6E"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CoStar (2024) ‘How events drive hotel demand in Europe and the US’, CoStar Insights, 8 August.</w:t>
      </w:r>
    </w:p>
    <w:p w14:paraId="6E40932A" w14:textId="4581C994" w:rsid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DeFranco</w:t>
      </w:r>
      <w:proofErr w:type="spellEnd"/>
      <w:r w:rsidRPr="00D30B6E">
        <w:rPr>
          <w:rFonts w:ascii="Arial" w:hAnsi="Arial" w:cs="Arial"/>
          <w:color w:val="000000" w:themeColor="text1"/>
          <w:sz w:val="24"/>
          <w:szCs w:val="24"/>
          <w:lang w:eastAsia="en-GB"/>
        </w:rPr>
        <w:t xml:space="preserve">, A. L., Hodges, J., Lee, M. and </w:t>
      </w:r>
      <w:proofErr w:type="spellStart"/>
      <w:r w:rsidRPr="00D30B6E">
        <w:rPr>
          <w:rFonts w:ascii="Arial" w:hAnsi="Arial" w:cs="Arial"/>
          <w:color w:val="000000" w:themeColor="text1"/>
          <w:sz w:val="24"/>
          <w:szCs w:val="24"/>
          <w:lang w:eastAsia="en-GB"/>
        </w:rPr>
        <w:t>Sirsat</w:t>
      </w:r>
      <w:proofErr w:type="spellEnd"/>
      <w:r w:rsidRPr="00D30B6E">
        <w:rPr>
          <w:rFonts w:ascii="Arial" w:hAnsi="Arial" w:cs="Arial"/>
          <w:color w:val="000000" w:themeColor="text1"/>
          <w:sz w:val="24"/>
          <w:szCs w:val="24"/>
          <w:lang w:eastAsia="en-GB"/>
        </w:rPr>
        <w:t>, S. A. (2022) ‘Exploring foodborne illness and restaurant cleanliness reporting in customer-generated online reviews using business analytics’, Journal of Environmental Health, 85(3), pp. 16–22.</w:t>
      </w:r>
    </w:p>
    <w:p w14:paraId="7F9B259F" w14:textId="46E8B19D" w:rsidR="0001405F" w:rsidRDefault="0001405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Deloitte (2023) Travel Industry Outlook 2025. London: Deloitte LLP.</w:t>
      </w:r>
    </w:p>
    <w:p w14:paraId="136C8BFC" w14:textId="0F07C0D0"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Deloitte (2024) Global Gen Z and Travel Survey 2024. London: Deloitte LLP.</w:t>
      </w:r>
    </w:p>
    <w:p w14:paraId="643339FA" w14:textId="068302EE" w:rsidR="0001405F" w:rsidRPr="0001405F" w:rsidRDefault="0001405F" w:rsidP="0001405F">
      <w:pPr>
        <w:pStyle w:val="ListParagraph"/>
        <w:numPr>
          <w:ilvl w:val="0"/>
          <w:numId w:val="2"/>
        </w:numPr>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Department for Energy Security and Net Zero (2024) Net Zero Strategy: Guidance for the Tourism and Hospitality Sector. London: DESNZ.</w:t>
      </w:r>
    </w:p>
    <w:p w14:paraId="3FD122CA" w14:textId="7DCAE040"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Discetti</w:t>
      </w:r>
      <w:proofErr w:type="spellEnd"/>
      <w:r w:rsidRPr="00D30B6E">
        <w:rPr>
          <w:rFonts w:ascii="Arial" w:hAnsi="Arial" w:cs="Arial"/>
          <w:color w:val="000000" w:themeColor="text1"/>
          <w:sz w:val="24"/>
          <w:szCs w:val="24"/>
          <w:lang w:eastAsia="en-GB"/>
        </w:rPr>
        <w:t xml:space="preserve">, R. and Anderson, V. (2022) ‘The value of </w:t>
      </w:r>
      <w:proofErr w:type="spellStart"/>
      <w:r w:rsidRPr="00D30B6E">
        <w:rPr>
          <w:rFonts w:ascii="Arial" w:hAnsi="Arial" w:cs="Arial"/>
          <w:color w:val="000000" w:themeColor="text1"/>
          <w:sz w:val="24"/>
          <w:szCs w:val="24"/>
          <w:lang w:eastAsia="en-GB"/>
        </w:rPr>
        <w:t>netnography</w:t>
      </w:r>
      <w:proofErr w:type="spellEnd"/>
      <w:r w:rsidRPr="00D30B6E">
        <w:rPr>
          <w:rFonts w:ascii="Arial" w:hAnsi="Arial" w:cs="Arial"/>
          <w:color w:val="000000" w:themeColor="text1"/>
          <w:sz w:val="24"/>
          <w:szCs w:val="24"/>
          <w:lang w:eastAsia="en-GB"/>
        </w:rPr>
        <w:t xml:space="preserve"> for research in HRD’, Human Resource Development Review, 21(4), pp. 427–444.</w:t>
      </w:r>
    </w:p>
    <w:p w14:paraId="4A798B1E" w14:textId="77777777" w:rsidR="00B64EAC"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Easton, G. (2020) ‘Full-circle methodology for research on business networks’, Industrial Marketing Management, 87, pp. 50–60.</w:t>
      </w:r>
    </w:p>
    <w:p w14:paraId="4674ABB2" w14:textId="12691510" w:rsidR="00BD1A6B" w:rsidRPr="00D30B6E"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Edwards, R., Smith, J. and Chan, L. (2023) ‘Event-responsive revenue management in London hotels’, Journal of Hospitality Financial Management, 31(2), pp. 147–165.</w:t>
      </w:r>
    </w:p>
    <w:p w14:paraId="5D4F2A74" w14:textId="63754B13" w:rsidR="00D30B6E" w:rsidRP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Falk, M. T. and </w:t>
      </w:r>
      <w:proofErr w:type="spellStart"/>
      <w:r w:rsidRPr="00D30B6E">
        <w:rPr>
          <w:rFonts w:ascii="Arial" w:hAnsi="Arial" w:cs="Arial"/>
          <w:color w:val="000000" w:themeColor="text1"/>
          <w:sz w:val="24"/>
          <w:szCs w:val="24"/>
          <w:lang w:eastAsia="en-GB"/>
        </w:rPr>
        <w:t>Vieru</w:t>
      </w:r>
      <w:proofErr w:type="spellEnd"/>
      <w:r w:rsidRPr="00D30B6E">
        <w:rPr>
          <w:rFonts w:ascii="Arial" w:hAnsi="Arial" w:cs="Arial"/>
          <w:color w:val="000000" w:themeColor="text1"/>
          <w:sz w:val="24"/>
          <w:szCs w:val="24"/>
          <w:lang w:eastAsia="en-GB"/>
        </w:rPr>
        <w:t>, M. (2020) ‘Short-term hotel room price effects of sporting events’, Tourism Economics, 26(6), pp. 957–974.</w:t>
      </w:r>
    </w:p>
    <w:p w14:paraId="1559F57F" w14:textId="33DAE4A0" w:rsidR="00B64EAC"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Flick, U. (2018) An Introduction to Qualitative Research. 6th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London: SAGE.</w:t>
      </w:r>
    </w:p>
    <w:p w14:paraId="143C16CC" w14:textId="5766618E"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6E4BFF">
        <w:rPr>
          <w:rFonts w:ascii="Arial" w:hAnsi="Arial" w:cs="Arial"/>
          <w:color w:val="000000" w:themeColor="text1"/>
          <w:sz w:val="24"/>
          <w:szCs w:val="24"/>
          <w:lang w:eastAsia="en-GB"/>
        </w:rPr>
        <w:t>Ghezzi</w:t>
      </w:r>
      <w:proofErr w:type="spellEnd"/>
      <w:r w:rsidRPr="006E4BFF">
        <w:rPr>
          <w:rFonts w:ascii="Arial" w:hAnsi="Arial" w:cs="Arial"/>
          <w:color w:val="000000" w:themeColor="text1"/>
          <w:sz w:val="24"/>
          <w:szCs w:val="24"/>
          <w:lang w:eastAsia="en-GB"/>
        </w:rPr>
        <w:t xml:space="preserve">, A. and </w:t>
      </w:r>
      <w:proofErr w:type="spellStart"/>
      <w:r w:rsidRPr="006E4BFF">
        <w:rPr>
          <w:rFonts w:ascii="Arial" w:hAnsi="Arial" w:cs="Arial"/>
          <w:color w:val="000000" w:themeColor="text1"/>
          <w:sz w:val="24"/>
          <w:szCs w:val="24"/>
          <w:lang w:eastAsia="en-GB"/>
        </w:rPr>
        <w:t>Mariani</w:t>
      </w:r>
      <w:proofErr w:type="spellEnd"/>
      <w:r w:rsidRPr="006E4BFF">
        <w:rPr>
          <w:rFonts w:ascii="Arial" w:hAnsi="Arial" w:cs="Arial"/>
          <w:color w:val="000000" w:themeColor="text1"/>
          <w:sz w:val="24"/>
          <w:szCs w:val="24"/>
          <w:lang w:eastAsia="en-GB"/>
        </w:rPr>
        <w:t xml:space="preserve">, M. (2023) ‘Hybrid </w:t>
      </w:r>
      <w:proofErr w:type="spellStart"/>
      <w:r w:rsidRPr="006E4BFF">
        <w:rPr>
          <w:rFonts w:ascii="Arial" w:hAnsi="Arial" w:cs="Arial"/>
          <w:color w:val="000000" w:themeColor="text1"/>
          <w:sz w:val="24"/>
          <w:szCs w:val="24"/>
          <w:lang w:eastAsia="en-GB"/>
        </w:rPr>
        <w:t>netnography</w:t>
      </w:r>
      <w:proofErr w:type="spellEnd"/>
      <w:r w:rsidRPr="006E4BFF">
        <w:rPr>
          <w:rFonts w:ascii="Arial" w:hAnsi="Arial" w:cs="Arial"/>
          <w:color w:val="000000" w:themeColor="text1"/>
          <w:sz w:val="24"/>
          <w:szCs w:val="24"/>
          <w:lang w:eastAsia="en-GB"/>
        </w:rPr>
        <w:t>: combining digital trace data and qualitative insight in hospitality research’, International Journal of Contemporary Hospitality Management, 35(1), pp. 1–21.</w:t>
      </w:r>
    </w:p>
    <w:p w14:paraId="716626A7" w14:textId="77777777"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Guest, G., </w:t>
      </w:r>
      <w:proofErr w:type="spellStart"/>
      <w:r w:rsidRPr="00D30B6E">
        <w:rPr>
          <w:rFonts w:ascii="Arial" w:hAnsi="Arial" w:cs="Arial"/>
          <w:color w:val="000000" w:themeColor="text1"/>
          <w:sz w:val="24"/>
          <w:szCs w:val="24"/>
          <w:lang w:eastAsia="en-GB"/>
        </w:rPr>
        <w:t>Namey</w:t>
      </w:r>
      <w:proofErr w:type="spellEnd"/>
      <w:r w:rsidRPr="00D30B6E">
        <w:rPr>
          <w:rFonts w:ascii="Arial" w:hAnsi="Arial" w:cs="Arial"/>
          <w:color w:val="000000" w:themeColor="text1"/>
          <w:sz w:val="24"/>
          <w:szCs w:val="24"/>
          <w:lang w:eastAsia="en-GB"/>
        </w:rPr>
        <w:t xml:space="preserve">, E. and Mitchell, M. (2019) Collecting Qualitative Data: A Field Manual. 2nd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Thousand Oaks: SAGE.</w:t>
      </w:r>
    </w:p>
    <w:p w14:paraId="5C409E76" w14:textId="76E5B82B"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Harrison, H. et al. (2017) ‘Case study research: foundations and methodological orientations’, Forum: Qualitative Social Research, 18(1), Art. 19.</w:t>
      </w:r>
    </w:p>
    <w:p w14:paraId="76BE576E" w14:textId="77777777"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Haynes, N. and Egan, D., 2020. The perceptions of frontline employees towards hotel overbooking practices: exploring ethical challenges. Journal of Revenue and Pricing Management, 19(5), pp.345–359.</w:t>
      </w:r>
    </w:p>
    <w:p w14:paraId="062D08E2" w14:textId="4C2B73B4" w:rsidR="00A60BE5"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Heinonen</w:t>
      </w:r>
      <w:proofErr w:type="spellEnd"/>
      <w:r w:rsidRPr="00D30B6E">
        <w:rPr>
          <w:rFonts w:ascii="Arial" w:hAnsi="Arial" w:cs="Arial"/>
          <w:color w:val="000000" w:themeColor="text1"/>
          <w:sz w:val="24"/>
          <w:szCs w:val="24"/>
          <w:lang w:eastAsia="en-GB"/>
        </w:rPr>
        <w:t xml:space="preserve">, K. and </w:t>
      </w:r>
      <w:proofErr w:type="spellStart"/>
      <w:r w:rsidRPr="00D30B6E">
        <w:rPr>
          <w:rFonts w:ascii="Arial" w:hAnsi="Arial" w:cs="Arial"/>
          <w:color w:val="000000" w:themeColor="text1"/>
          <w:sz w:val="24"/>
          <w:szCs w:val="24"/>
          <w:lang w:eastAsia="en-GB"/>
        </w:rPr>
        <w:t>Medberg</w:t>
      </w:r>
      <w:proofErr w:type="spellEnd"/>
      <w:r w:rsidRPr="00D30B6E">
        <w:rPr>
          <w:rFonts w:ascii="Arial" w:hAnsi="Arial" w:cs="Arial"/>
          <w:color w:val="000000" w:themeColor="text1"/>
          <w:sz w:val="24"/>
          <w:szCs w:val="24"/>
          <w:lang w:eastAsia="en-GB"/>
        </w:rPr>
        <w:t>, G. (2018) ‘</w:t>
      </w:r>
      <w:proofErr w:type="spellStart"/>
      <w:r w:rsidRPr="00D30B6E">
        <w:rPr>
          <w:rFonts w:ascii="Arial" w:hAnsi="Arial" w:cs="Arial"/>
          <w:color w:val="000000" w:themeColor="text1"/>
          <w:sz w:val="24"/>
          <w:szCs w:val="24"/>
          <w:lang w:eastAsia="en-GB"/>
        </w:rPr>
        <w:t>Netnography</w:t>
      </w:r>
      <w:proofErr w:type="spellEnd"/>
      <w:r w:rsidRPr="00D30B6E">
        <w:rPr>
          <w:rFonts w:ascii="Arial" w:hAnsi="Arial" w:cs="Arial"/>
          <w:color w:val="000000" w:themeColor="text1"/>
          <w:sz w:val="24"/>
          <w:szCs w:val="24"/>
          <w:lang w:eastAsia="en-GB"/>
        </w:rPr>
        <w:t xml:space="preserve"> as a tool for understanding customers: implications for service research and practice’, Journal of Services Marketing, 32(6), pp. 657–679.</w:t>
      </w:r>
    </w:p>
    <w:p w14:paraId="5D52D9FB" w14:textId="1CBAD506" w:rsidR="00BB091C"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Hotel Analyst (2025) ‘Accor UK mid-scale division performance’, Hotel Analyst, 15 May, Issue 912, pp. 14–16.</w:t>
      </w:r>
    </w:p>
    <w:p w14:paraId="651A6978" w14:textId="77777777" w:rsidR="00BD1A6B" w:rsidRPr="00BD1A6B" w:rsidRDefault="00BD1A6B" w:rsidP="00BD1A6B">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Hotel Technology Report (2024) Mobile Key Adoption in European Hotels. London: HTR Research.</w:t>
      </w:r>
    </w:p>
    <w:p w14:paraId="414D1050" w14:textId="77777777" w:rsidR="00BD1A6B" w:rsidRDefault="00BD1A6B" w:rsidP="00BD1A6B">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Information Commissioner’s Office (2025) Biometrics and Surveillance in Hospitality. London: ICO.</w:t>
      </w:r>
    </w:p>
    <w:p w14:paraId="783A61B9" w14:textId="4477A03C" w:rsidR="00BD1A6B" w:rsidRDefault="00BD1A6B" w:rsidP="00BD1A6B">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Low Pay Commission (2025) National Minimum Wage Report 2025. London: LPC.</w:t>
      </w:r>
    </w:p>
    <w:p w14:paraId="1E340D12" w14:textId="158EAF7B" w:rsidR="006E4BFF" w:rsidRDefault="006E4BFF" w:rsidP="00BD1A6B">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Hotel Technology Institute (2025) Real-time OTA price tracking for Wembley market, June 2025 (unpublished dataset supplied to author).</w:t>
      </w:r>
    </w:p>
    <w:p w14:paraId="604CA610" w14:textId="0D6FBFCD"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House of Commons Library (2024) Hospitality Workforce and Immigration. Briefing Paper 09876. London: HMSO.</w:t>
      </w:r>
    </w:p>
    <w:p w14:paraId="3030F9D8" w14:textId="71DDD566" w:rsidR="00D1108D" w:rsidRPr="00D1108D" w:rsidRDefault="00D1108D" w:rsidP="00D1108D">
      <w:pPr>
        <w:pStyle w:val="ListParagraph"/>
        <w:numPr>
          <w:ilvl w:val="0"/>
          <w:numId w:val="2"/>
        </w:numPr>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IBM Institute for Business Value (2023) Enterprise Generative AI: State of the Market. Armonk, NY: IBM Corporation.</w:t>
      </w:r>
    </w:p>
    <w:p w14:paraId="1B17C5CF" w14:textId="7DC2BA9D"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Ivanov, S. and </w:t>
      </w:r>
      <w:proofErr w:type="spellStart"/>
      <w:r w:rsidRPr="00D30B6E">
        <w:rPr>
          <w:rFonts w:ascii="Arial" w:hAnsi="Arial" w:cs="Arial"/>
          <w:color w:val="000000" w:themeColor="text1"/>
          <w:sz w:val="24"/>
          <w:szCs w:val="24"/>
          <w:lang w:eastAsia="en-GB"/>
        </w:rPr>
        <w:t>Zhechev</w:t>
      </w:r>
      <w:proofErr w:type="spellEnd"/>
      <w:r w:rsidRPr="00D30B6E">
        <w:rPr>
          <w:rFonts w:ascii="Arial" w:hAnsi="Arial" w:cs="Arial"/>
          <w:color w:val="000000" w:themeColor="text1"/>
          <w:sz w:val="24"/>
          <w:szCs w:val="24"/>
          <w:lang w:eastAsia="en-GB"/>
        </w:rPr>
        <w:t>, V. (2016) ‘Hotel revenue management: a critical literature review’, Tourism Management Perspectives, 18, pp. 71–83.</w:t>
      </w:r>
    </w:p>
    <w:p w14:paraId="7DFB8DBA" w14:textId="77777777" w:rsidR="00126C05"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Jones, P., 2013. Overbooking strategies in UK urban hotels. Journal of Revenue and Pricing Management, 12(4), pp.324–337.</w:t>
      </w:r>
    </w:p>
    <w:p w14:paraId="6C4F190B" w14:textId="073F3E07"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Kaplan, J., Morton, S., Brady, T. and Shaw, R. (2023) ‘Building service resilience in London hotels: evaluating workshop interventions’, International Journal of Hospitality and Tourism Administration, 24(1), pp. 109–128.</w:t>
      </w:r>
    </w:p>
    <w:p w14:paraId="2A338F90" w14:textId="17176294" w:rsidR="00A60BE5"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Kimes, S.E. and Wirtz, J., 2012. Revenue management: Advanced strategies and tools for hospitality industry. Cornell Hospitality Quarterly, 53(1), pp.10–18.</w:t>
      </w:r>
    </w:p>
    <w:p w14:paraId="0BE65537" w14:textId="115D8152" w:rsidR="0001405F" w:rsidRPr="00D30B6E" w:rsidRDefault="0001405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Knight Frank (2024) UK Hotel Trading Performance 2024. London: Knight Frank.</w:t>
      </w:r>
    </w:p>
    <w:p w14:paraId="1A156F32" w14:textId="6C326181"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Kozinets</w:t>
      </w:r>
      <w:proofErr w:type="spellEnd"/>
      <w:r w:rsidRPr="00D30B6E">
        <w:rPr>
          <w:rFonts w:ascii="Arial" w:hAnsi="Arial" w:cs="Arial"/>
          <w:color w:val="000000" w:themeColor="text1"/>
          <w:sz w:val="24"/>
          <w:szCs w:val="24"/>
          <w:lang w:eastAsia="en-GB"/>
        </w:rPr>
        <w:t xml:space="preserve">, R. V. (2019) </w:t>
      </w:r>
      <w:proofErr w:type="spellStart"/>
      <w:r w:rsidRPr="00D30B6E">
        <w:rPr>
          <w:rFonts w:ascii="Arial" w:hAnsi="Arial" w:cs="Arial"/>
          <w:color w:val="000000" w:themeColor="text1"/>
          <w:sz w:val="24"/>
          <w:szCs w:val="24"/>
          <w:lang w:eastAsia="en-GB"/>
        </w:rPr>
        <w:t>Netnography</w:t>
      </w:r>
      <w:proofErr w:type="spellEnd"/>
      <w:r w:rsidRPr="00D30B6E">
        <w:rPr>
          <w:rFonts w:ascii="Arial" w:hAnsi="Arial" w:cs="Arial"/>
          <w:color w:val="000000" w:themeColor="text1"/>
          <w:sz w:val="24"/>
          <w:szCs w:val="24"/>
          <w:lang w:eastAsia="en-GB"/>
        </w:rPr>
        <w:t xml:space="preserve">: The Essential Guide to Qualitative Social Media Research. 3rd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London: SAGE.</w:t>
      </w:r>
    </w:p>
    <w:p w14:paraId="5FFA2731" w14:textId="77777777"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Law, R., Leung, R. and </w:t>
      </w:r>
      <w:proofErr w:type="spellStart"/>
      <w:r w:rsidRPr="00D30B6E">
        <w:rPr>
          <w:rFonts w:ascii="Arial" w:hAnsi="Arial" w:cs="Arial"/>
          <w:color w:val="000000" w:themeColor="text1"/>
          <w:sz w:val="24"/>
          <w:szCs w:val="24"/>
          <w:lang w:eastAsia="en-GB"/>
        </w:rPr>
        <w:t>Buhalis</w:t>
      </w:r>
      <w:proofErr w:type="spellEnd"/>
      <w:r w:rsidRPr="00D30B6E">
        <w:rPr>
          <w:rFonts w:ascii="Arial" w:hAnsi="Arial" w:cs="Arial"/>
          <w:color w:val="000000" w:themeColor="text1"/>
          <w:sz w:val="24"/>
          <w:szCs w:val="24"/>
          <w:lang w:eastAsia="en-GB"/>
        </w:rPr>
        <w:t>, D., 2014. Information technology applications in hospitality and tourism: A review of publications from 2005 to 2012. International Journal of Contemporary Hospitality Management, 26(5), pp.727–761.</w:t>
      </w:r>
    </w:p>
    <w:p w14:paraId="1ABE61F6" w14:textId="77777777"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Lockyer, T. and Wood, R.C., 2019. Overbooking in city centre hotels: Balancing occupancy and guest satisfaction. Journal of Hospitality and Tourism Management, 38, pp.56–64.</w:t>
      </w:r>
    </w:p>
    <w:p w14:paraId="74DB032F" w14:textId="77777777"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Lugova</w:t>
      </w:r>
      <w:proofErr w:type="spellEnd"/>
      <w:r w:rsidRPr="00D30B6E">
        <w:rPr>
          <w:rFonts w:ascii="Arial" w:hAnsi="Arial" w:cs="Arial"/>
          <w:color w:val="000000" w:themeColor="text1"/>
          <w:sz w:val="24"/>
          <w:szCs w:val="24"/>
          <w:lang w:eastAsia="en-GB"/>
        </w:rPr>
        <w:t xml:space="preserve">, X. and </w:t>
      </w:r>
      <w:proofErr w:type="spellStart"/>
      <w:r w:rsidRPr="00D30B6E">
        <w:rPr>
          <w:rFonts w:ascii="Arial" w:hAnsi="Arial" w:cs="Arial"/>
          <w:color w:val="000000" w:themeColor="text1"/>
          <w:sz w:val="24"/>
          <w:szCs w:val="24"/>
          <w:lang w:eastAsia="en-GB"/>
        </w:rPr>
        <w:t>Samah</w:t>
      </w:r>
      <w:proofErr w:type="spellEnd"/>
      <w:r w:rsidRPr="00D30B6E">
        <w:rPr>
          <w:rFonts w:ascii="Arial" w:hAnsi="Arial" w:cs="Arial"/>
          <w:color w:val="000000" w:themeColor="text1"/>
          <w:sz w:val="24"/>
          <w:szCs w:val="24"/>
          <w:lang w:eastAsia="en-GB"/>
        </w:rPr>
        <w:t>, A. A. (2019) ‘Exploring service failure and recovery perceptions on airline Twitter accounts’, Journal of Air Transport Management, 78, 101676.</w:t>
      </w:r>
    </w:p>
    <w:p w14:paraId="7A1733BA" w14:textId="222EB53B" w:rsidR="00A60BE5"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Mercan</w:t>
      </w:r>
      <w:proofErr w:type="spellEnd"/>
      <w:r w:rsidRPr="00D30B6E">
        <w:rPr>
          <w:rFonts w:ascii="Arial" w:hAnsi="Arial" w:cs="Arial"/>
          <w:color w:val="000000" w:themeColor="text1"/>
          <w:sz w:val="24"/>
          <w:szCs w:val="24"/>
          <w:lang w:eastAsia="en-GB"/>
        </w:rPr>
        <w:t xml:space="preserve">, S., </w:t>
      </w:r>
      <w:proofErr w:type="spellStart"/>
      <w:r w:rsidRPr="00D30B6E">
        <w:rPr>
          <w:rFonts w:ascii="Arial" w:hAnsi="Arial" w:cs="Arial"/>
          <w:color w:val="000000" w:themeColor="text1"/>
          <w:sz w:val="24"/>
          <w:szCs w:val="24"/>
          <w:lang w:eastAsia="en-GB"/>
        </w:rPr>
        <w:t>Akkaya</w:t>
      </w:r>
      <w:proofErr w:type="spellEnd"/>
      <w:r w:rsidRPr="00D30B6E">
        <w:rPr>
          <w:rFonts w:ascii="Arial" w:hAnsi="Arial" w:cs="Arial"/>
          <w:color w:val="000000" w:themeColor="text1"/>
          <w:sz w:val="24"/>
          <w:szCs w:val="24"/>
          <w:lang w:eastAsia="en-GB"/>
        </w:rPr>
        <w:t>, C. and Thomas, O. (2020) ‘Security, privacy and ethical concerns of IoT implementations in the hospitality domain’, Computers in Industry, 123, 103310.</w:t>
      </w:r>
    </w:p>
    <w:p w14:paraId="52F53EB7" w14:textId="2759F377" w:rsidR="006E4BFF" w:rsidRPr="006E4BFF" w:rsidRDefault="006E4BFF" w:rsidP="006E4BFF">
      <w:pPr>
        <w:pStyle w:val="ListParagraph"/>
        <w:numPr>
          <w:ilvl w:val="0"/>
          <w:numId w:val="2"/>
        </w:numPr>
        <w:rPr>
          <w:rFonts w:ascii="Arial" w:hAnsi="Arial" w:cs="Arial"/>
          <w:color w:val="000000" w:themeColor="text1"/>
          <w:sz w:val="24"/>
          <w:szCs w:val="24"/>
          <w:lang w:eastAsia="en-GB"/>
        </w:rPr>
      </w:pPr>
      <w:proofErr w:type="spellStart"/>
      <w:r w:rsidRPr="006E4BFF">
        <w:rPr>
          <w:rFonts w:ascii="Arial" w:hAnsi="Arial" w:cs="Arial"/>
          <w:color w:val="000000" w:themeColor="text1"/>
          <w:sz w:val="24"/>
          <w:szCs w:val="24"/>
          <w:lang w:eastAsia="en-GB"/>
        </w:rPr>
        <w:t>Mkono</w:t>
      </w:r>
      <w:proofErr w:type="spellEnd"/>
      <w:r w:rsidRPr="006E4BFF">
        <w:rPr>
          <w:rFonts w:ascii="Arial" w:hAnsi="Arial" w:cs="Arial"/>
          <w:color w:val="000000" w:themeColor="text1"/>
          <w:sz w:val="24"/>
          <w:szCs w:val="24"/>
          <w:lang w:eastAsia="en-GB"/>
        </w:rPr>
        <w:t xml:space="preserve">, M. and Markwell, K. (2018) ‘The application of </w:t>
      </w:r>
      <w:proofErr w:type="spellStart"/>
      <w:r w:rsidRPr="006E4BFF">
        <w:rPr>
          <w:rFonts w:ascii="Arial" w:hAnsi="Arial" w:cs="Arial"/>
          <w:color w:val="000000" w:themeColor="text1"/>
          <w:sz w:val="24"/>
          <w:szCs w:val="24"/>
          <w:lang w:eastAsia="en-GB"/>
        </w:rPr>
        <w:t>netnography</w:t>
      </w:r>
      <w:proofErr w:type="spellEnd"/>
      <w:r w:rsidRPr="006E4BFF">
        <w:rPr>
          <w:rFonts w:ascii="Arial" w:hAnsi="Arial" w:cs="Arial"/>
          <w:color w:val="000000" w:themeColor="text1"/>
          <w:sz w:val="24"/>
          <w:szCs w:val="24"/>
          <w:lang w:eastAsia="en-GB"/>
        </w:rPr>
        <w:t xml:space="preserve"> in tourism studies’, Annals of Tourism Research, 73, pp. 299–301.</w:t>
      </w:r>
    </w:p>
    <w:p w14:paraId="4E623F83" w14:textId="2CA53F36"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Mohapatra, D., Dubey, R. S. and Mohapatra, D. (2023) ‘Price dispersion across online platforms: evidence from hotel room prices in London (UK)’, Applied Economics Letters, 30(19), pp. 2151–2156.</w:t>
      </w:r>
    </w:p>
    <w:p w14:paraId="567907E8" w14:textId="77777777"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Nikola, A. (2018) Customers’ reactions to capacity management failures in the hospitality industry: a framework of actions. Bachelor’s thesis. Aalto University.</w:t>
      </w:r>
    </w:p>
    <w:p w14:paraId="283C7B6B" w14:textId="7C314451"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Noone, B. M. and Lee, S. (2016) ‘Overbooking compensation dynamics: creating perceived fairness during service failures’, Cornell Hospitality Quarterly, 57(1), pp. 70–80.</w:t>
      </w:r>
    </w:p>
    <w:p w14:paraId="14C0E812" w14:textId="77777777" w:rsidR="00126C05"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O’Neill, J.W. and Mattila, A.S., 2010. Hotel brand strategy. Cornell Hospitality Quarterly, 51(1), pp.27–34.</w:t>
      </w:r>
    </w:p>
    <w:p w14:paraId="4E0DC6B5" w14:textId="294B3E3A" w:rsidR="00BD1A6B" w:rsidRPr="00D30B6E"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Ofcom (2024) 5G Deployment Progress Update. London: Ofcom.</w:t>
      </w:r>
    </w:p>
    <w:p w14:paraId="01FBC320" w14:textId="2542FA77" w:rsidR="00B64EAC"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Office for National Statistics (2021) International Passenger Survey Quality and Methodology Information. Newport: ONS.</w:t>
      </w:r>
    </w:p>
    <w:p w14:paraId="5DD75DA5" w14:textId="6565CE94"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Office for National Statistics (2025) Consumer Price Inflation: London Dataset, April 2025. Newport: ONS.</w:t>
      </w:r>
    </w:p>
    <w:p w14:paraId="249B5613" w14:textId="48F527F9" w:rsidR="00BD1A6B" w:rsidRPr="00D30B6E"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Oxford Economics (2024) Economic Impact of Major Sporting Events on UK Hoteliers. London: Oxford Economics.</w:t>
      </w:r>
    </w:p>
    <w:p w14:paraId="4793BBE0" w14:textId="77777777" w:rsidR="00126C05" w:rsidRPr="00D30B6E" w:rsidRDefault="00126C0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Pantouvakis</w:t>
      </w:r>
      <w:proofErr w:type="spellEnd"/>
      <w:r w:rsidRPr="00D30B6E">
        <w:rPr>
          <w:rFonts w:ascii="Arial" w:hAnsi="Arial" w:cs="Arial"/>
          <w:color w:val="000000" w:themeColor="text1"/>
          <w:sz w:val="24"/>
          <w:szCs w:val="24"/>
          <w:lang w:eastAsia="en-GB"/>
        </w:rPr>
        <w:t xml:space="preserve">, A. and </w:t>
      </w:r>
      <w:proofErr w:type="spellStart"/>
      <w:r w:rsidRPr="00D30B6E">
        <w:rPr>
          <w:rFonts w:ascii="Arial" w:hAnsi="Arial" w:cs="Arial"/>
          <w:color w:val="000000" w:themeColor="text1"/>
          <w:sz w:val="24"/>
          <w:szCs w:val="24"/>
          <w:lang w:eastAsia="en-GB"/>
        </w:rPr>
        <w:t>Bouranta</w:t>
      </w:r>
      <w:proofErr w:type="spellEnd"/>
      <w:r w:rsidRPr="00D30B6E">
        <w:rPr>
          <w:rFonts w:ascii="Arial" w:hAnsi="Arial" w:cs="Arial"/>
          <w:color w:val="000000" w:themeColor="text1"/>
          <w:sz w:val="24"/>
          <w:szCs w:val="24"/>
          <w:lang w:eastAsia="en-GB"/>
        </w:rPr>
        <w:t>, N., 2016. The effect of information technology on hotel operations performance. International Journal of Hospitality Management, 53, pp.121–129.</w:t>
      </w:r>
    </w:p>
    <w:p w14:paraId="3BB600C8" w14:textId="77777777" w:rsidR="00A60BE5"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Pappas, N. (2017) ‘Hotel decision-making during the implementation of innovative technologies’, International Journal of Hospitality Management, 61, pp. 94–103.</w:t>
      </w:r>
    </w:p>
    <w:p w14:paraId="1C80F5DF" w14:textId="7D3D7C37"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Premier Inn (2025) Premier Inn Wembley Park – rates and guest reviews. Accessed 2 June 2025.</w:t>
      </w:r>
    </w:p>
    <w:p w14:paraId="689D46D8" w14:textId="43C15187" w:rsidR="00B64EAC" w:rsidRPr="00D30B6E" w:rsidRDefault="00B64EA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Ridder, H. G. (2017) ‘The theory contribution of case study research designs’, Business Research, 10(2), pp. 281–305.</w:t>
      </w:r>
    </w:p>
    <w:p w14:paraId="10207FDB" w14:textId="763D3F3B" w:rsidR="00A60BE5" w:rsidRPr="00D30B6E"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Sainaghi</w:t>
      </w:r>
      <w:proofErr w:type="spellEnd"/>
      <w:r w:rsidRPr="00D30B6E">
        <w:rPr>
          <w:rFonts w:ascii="Arial" w:hAnsi="Arial" w:cs="Arial"/>
          <w:color w:val="000000" w:themeColor="text1"/>
          <w:sz w:val="24"/>
          <w:szCs w:val="24"/>
          <w:lang w:eastAsia="en-GB"/>
        </w:rPr>
        <w:t>, R., Baggio, R. and Mauri, A. (2018) ‘Big-data studies in tourism and hospitality: a systematic literature review’, International Journal of Contemporary Hospitality Management, 30(10), pp. 3564–3587.</w:t>
      </w:r>
    </w:p>
    <w:p w14:paraId="0599DDE5" w14:textId="77777777" w:rsidR="009A3E6A" w:rsidRPr="00D30B6E" w:rsidRDefault="009A3E6A"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Saunders, M., Lewis, P. and Thornhill, A. (2019) Research Methods for Business Students. 8th </w:t>
      </w:r>
      <w:proofErr w:type="spellStart"/>
      <w:r w:rsidRPr="00D30B6E">
        <w:rPr>
          <w:rFonts w:ascii="Arial" w:hAnsi="Arial" w:cs="Arial"/>
          <w:color w:val="000000" w:themeColor="text1"/>
          <w:sz w:val="24"/>
          <w:szCs w:val="24"/>
          <w:lang w:eastAsia="en-GB"/>
        </w:rPr>
        <w:t>edn</w:t>
      </w:r>
      <w:proofErr w:type="spellEnd"/>
      <w:r w:rsidRPr="00D30B6E">
        <w:rPr>
          <w:rFonts w:ascii="Arial" w:hAnsi="Arial" w:cs="Arial"/>
          <w:color w:val="000000" w:themeColor="text1"/>
          <w:sz w:val="24"/>
          <w:szCs w:val="24"/>
          <w:lang w:eastAsia="en-GB"/>
        </w:rPr>
        <w:t>. Harlow: Pearson.</w:t>
      </w:r>
    </w:p>
    <w:p w14:paraId="0610BE07" w14:textId="33713441" w:rsid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Simpson, P. (2024) ‘UEFA Champions League Final 2024: implications for hotel demand and pricing in London’, Lighthouse Market Insight Report, 27 May.</w:t>
      </w:r>
    </w:p>
    <w:p w14:paraId="1320CBB7" w14:textId="3936684B" w:rsidR="0001405F" w:rsidRPr="00D30B6E" w:rsidRDefault="0001405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01405F">
        <w:rPr>
          <w:rFonts w:ascii="Arial" w:hAnsi="Arial" w:cs="Arial"/>
          <w:color w:val="000000" w:themeColor="text1"/>
          <w:sz w:val="24"/>
          <w:szCs w:val="24"/>
          <w:lang w:eastAsia="en-GB"/>
        </w:rPr>
        <w:t>STR (2024) London Hotel Review 2024. London: STR.</w:t>
      </w:r>
    </w:p>
    <w:p w14:paraId="767363C8" w14:textId="7AE24619" w:rsidR="009A3E6A" w:rsidRDefault="009A3E6A"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30B6E">
        <w:rPr>
          <w:rFonts w:ascii="Arial" w:hAnsi="Arial" w:cs="Arial"/>
          <w:color w:val="000000" w:themeColor="text1"/>
          <w:sz w:val="24"/>
          <w:szCs w:val="24"/>
          <w:lang w:eastAsia="en-GB"/>
        </w:rPr>
        <w:t>Tavakoli</w:t>
      </w:r>
      <w:proofErr w:type="spellEnd"/>
      <w:r w:rsidRPr="00D30B6E">
        <w:rPr>
          <w:rFonts w:ascii="Arial" w:hAnsi="Arial" w:cs="Arial"/>
          <w:color w:val="000000" w:themeColor="text1"/>
          <w:sz w:val="24"/>
          <w:szCs w:val="24"/>
          <w:lang w:eastAsia="en-GB"/>
        </w:rPr>
        <w:t>, R. and Wijesinghe, G. (2020) ‘</w:t>
      </w:r>
      <w:proofErr w:type="spellStart"/>
      <w:r w:rsidRPr="00D30B6E">
        <w:rPr>
          <w:rFonts w:ascii="Arial" w:hAnsi="Arial" w:cs="Arial"/>
          <w:color w:val="000000" w:themeColor="text1"/>
          <w:sz w:val="24"/>
          <w:szCs w:val="24"/>
          <w:lang w:eastAsia="en-GB"/>
        </w:rPr>
        <w:t>Netnography</w:t>
      </w:r>
      <w:proofErr w:type="spellEnd"/>
      <w:r w:rsidRPr="00D30B6E">
        <w:rPr>
          <w:rFonts w:ascii="Arial" w:hAnsi="Arial" w:cs="Arial"/>
          <w:color w:val="000000" w:themeColor="text1"/>
          <w:sz w:val="24"/>
          <w:szCs w:val="24"/>
          <w:lang w:eastAsia="en-GB"/>
        </w:rPr>
        <w:t xml:space="preserve"> in tourism and hospitality: a systematic literature review’, International Journal of Contemporary Hospitality Management, 32(6), pp. 2075–2100.</w:t>
      </w:r>
    </w:p>
    <w:p w14:paraId="32831065" w14:textId="2901E977" w:rsidR="00BB091C"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Transport for London (2025) ‘Wembley Park Underground Station: station usage and connectivity data’. London: TfL.</w:t>
      </w:r>
    </w:p>
    <w:p w14:paraId="3F97D809" w14:textId="3B8A1B09" w:rsidR="00D1108D" w:rsidRDefault="00D1108D"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Transport for London (2024) Elizabeth Line Upgrade Plan: Board Paper, 4 June 2024. London: TfL.</w:t>
      </w:r>
    </w:p>
    <w:p w14:paraId="55EBC92B" w14:textId="5648A0EA" w:rsidR="006E4BFF"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Tripadvisor (2025) Hilton London Wembley – price range and rating history. Accessed 12 June 2025.</w:t>
      </w:r>
    </w:p>
    <w:p w14:paraId="4F8902A0" w14:textId="400513D1"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BD1A6B">
        <w:rPr>
          <w:rFonts w:ascii="Arial" w:hAnsi="Arial" w:cs="Arial"/>
          <w:color w:val="000000" w:themeColor="text1"/>
          <w:sz w:val="24"/>
          <w:szCs w:val="24"/>
          <w:lang w:eastAsia="en-GB"/>
        </w:rPr>
        <w:t>UKHospitality</w:t>
      </w:r>
      <w:proofErr w:type="spellEnd"/>
      <w:r w:rsidRPr="00BD1A6B">
        <w:rPr>
          <w:rFonts w:ascii="Arial" w:hAnsi="Arial" w:cs="Arial"/>
          <w:color w:val="000000" w:themeColor="text1"/>
          <w:sz w:val="24"/>
          <w:szCs w:val="24"/>
          <w:lang w:eastAsia="en-GB"/>
        </w:rPr>
        <w:t xml:space="preserve"> (2024) Labour Market Trends Q4 2024. London: </w:t>
      </w:r>
      <w:proofErr w:type="spellStart"/>
      <w:r w:rsidRPr="00BD1A6B">
        <w:rPr>
          <w:rFonts w:ascii="Arial" w:hAnsi="Arial" w:cs="Arial"/>
          <w:color w:val="000000" w:themeColor="text1"/>
          <w:sz w:val="24"/>
          <w:szCs w:val="24"/>
          <w:lang w:eastAsia="en-GB"/>
        </w:rPr>
        <w:t>UKHospitality</w:t>
      </w:r>
      <w:proofErr w:type="spellEnd"/>
      <w:r w:rsidRPr="00BD1A6B">
        <w:rPr>
          <w:rFonts w:ascii="Arial" w:hAnsi="Arial" w:cs="Arial"/>
          <w:color w:val="000000" w:themeColor="text1"/>
          <w:sz w:val="24"/>
          <w:szCs w:val="24"/>
          <w:lang w:eastAsia="en-GB"/>
        </w:rPr>
        <w:t>.</w:t>
      </w:r>
    </w:p>
    <w:p w14:paraId="655D7B84" w14:textId="3EECB67A" w:rsidR="00D1108D" w:rsidRPr="00D1108D" w:rsidRDefault="00D1108D" w:rsidP="00D1108D">
      <w:pPr>
        <w:pStyle w:val="ListParagraph"/>
        <w:numPr>
          <w:ilvl w:val="0"/>
          <w:numId w:val="2"/>
        </w:numPr>
        <w:spacing w:line="360" w:lineRule="auto"/>
        <w:jc w:val="both"/>
        <w:rPr>
          <w:rFonts w:ascii="Arial" w:hAnsi="Arial" w:cs="Arial"/>
          <w:color w:val="000000" w:themeColor="text1"/>
          <w:sz w:val="24"/>
          <w:szCs w:val="24"/>
          <w:lang w:eastAsia="en-GB"/>
        </w:rPr>
      </w:pPr>
      <w:proofErr w:type="spellStart"/>
      <w:r w:rsidRPr="00D1108D">
        <w:rPr>
          <w:rFonts w:ascii="Arial" w:hAnsi="Arial" w:cs="Arial"/>
          <w:color w:val="000000" w:themeColor="text1"/>
          <w:sz w:val="24"/>
          <w:szCs w:val="24"/>
          <w:lang w:eastAsia="en-GB"/>
        </w:rPr>
        <w:t>UKHospitality</w:t>
      </w:r>
      <w:proofErr w:type="spellEnd"/>
      <w:r w:rsidRPr="00D1108D">
        <w:rPr>
          <w:rFonts w:ascii="Arial" w:hAnsi="Arial" w:cs="Arial"/>
          <w:color w:val="000000" w:themeColor="text1"/>
          <w:sz w:val="24"/>
          <w:szCs w:val="24"/>
          <w:lang w:eastAsia="en-GB"/>
        </w:rPr>
        <w:t xml:space="preserve"> (2024) Workforce Shortages: Industry Briefing. London: </w:t>
      </w:r>
      <w:proofErr w:type="spellStart"/>
      <w:r w:rsidRPr="00D1108D">
        <w:rPr>
          <w:rFonts w:ascii="Arial" w:hAnsi="Arial" w:cs="Arial"/>
          <w:color w:val="000000" w:themeColor="text1"/>
          <w:sz w:val="24"/>
          <w:szCs w:val="24"/>
          <w:lang w:eastAsia="en-GB"/>
        </w:rPr>
        <w:t>UKHospitality</w:t>
      </w:r>
      <w:proofErr w:type="spellEnd"/>
      <w:r w:rsidRPr="00D1108D">
        <w:rPr>
          <w:rFonts w:ascii="Arial" w:hAnsi="Arial" w:cs="Arial"/>
          <w:color w:val="000000" w:themeColor="text1"/>
          <w:sz w:val="24"/>
          <w:szCs w:val="24"/>
          <w:lang w:eastAsia="en-GB"/>
        </w:rPr>
        <w:t>.</w:t>
      </w:r>
    </w:p>
    <w:p w14:paraId="75D3B249" w14:textId="5DC73D29" w:rsidR="00BB091C" w:rsidRPr="00D30B6E" w:rsidRDefault="00BB091C"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B091C">
        <w:rPr>
          <w:rFonts w:ascii="Arial" w:hAnsi="Arial" w:cs="Arial"/>
          <w:color w:val="000000" w:themeColor="text1"/>
          <w:sz w:val="24"/>
          <w:szCs w:val="24"/>
          <w:lang w:eastAsia="en-GB"/>
        </w:rPr>
        <w:t>Urban Land Institute (2021) Wembley Park Case Study. Washington, DC: ULI.</w:t>
      </w:r>
    </w:p>
    <w:p w14:paraId="17B30251" w14:textId="1C562D0D" w:rsidR="00126C05" w:rsidRDefault="00A60BE5"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Vargas-Calderón, V., </w:t>
      </w:r>
      <w:proofErr w:type="spellStart"/>
      <w:r w:rsidRPr="00D30B6E">
        <w:rPr>
          <w:rFonts w:ascii="Arial" w:hAnsi="Arial" w:cs="Arial"/>
          <w:color w:val="000000" w:themeColor="text1"/>
          <w:sz w:val="24"/>
          <w:szCs w:val="24"/>
          <w:lang w:eastAsia="en-GB"/>
        </w:rPr>
        <w:t>Mandujano</w:t>
      </w:r>
      <w:proofErr w:type="spellEnd"/>
      <w:r w:rsidRPr="00D30B6E">
        <w:rPr>
          <w:rFonts w:ascii="Arial" w:hAnsi="Arial" w:cs="Arial"/>
          <w:color w:val="000000" w:themeColor="text1"/>
          <w:sz w:val="24"/>
          <w:szCs w:val="24"/>
          <w:lang w:eastAsia="en-GB"/>
        </w:rPr>
        <w:t>, L. and Moran, C. (2021) ‘Machine learning for assessing quality of service in the hospitality sector based on customer reviews’, Journal of Hospitality and Tourism Technology, 12(1), pp. 83–101.</w:t>
      </w:r>
    </w:p>
    <w:p w14:paraId="3A1629CE" w14:textId="441AEE0A" w:rsidR="00BD1A6B" w:rsidRDefault="00BD1A6B" w:rsidP="00D30B6E">
      <w:pPr>
        <w:pStyle w:val="ListParagraph"/>
        <w:numPr>
          <w:ilvl w:val="0"/>
          <w:numId w:val="2"/>
        </w:numPr>
        <w:spacing w:line="360" w:lineRule="auto"/>
        <w:jc w:val="both"/>
        <w:rPr>
          <w:rFonts w:ascii="Arial" w:hAnsi="Arial" w:cs="Arial"/>
          <w:color w:val="000000" w:themeColor="text1"/>
          <w:sz w:val="24"/>
          <w:szCs w:val="24"/>
          <w:lang w:eastAsia="en-GB"/>
        </w:rPr>
      </w:pPr>
      <w:r w:rsidRPr="00BD1A6B">
        <w:rPr>
          <w:rFonts w:ascii="Arial" w:hAnsi="Arial" w:cs="Arial"/>
          <w:color w:val="000000" w:themeColor="text1"/>
          <w:sz w:val="24"/>
          <w:szCs w:val="24"/>
          <w:lang w:eastAsia="en-GB"/>
        </w:rPr>
        <w:t>VisitBritain (2025) Domestic Leisure Travel Monitor, February 2025. London: VisitBritain.</w:t>
      </w:r>
    </w:p>
    <w:p w14:paraId="0623538A" w14:textId="4BD95404" w:rsidR="00D1108D" w:rsidRDefault="00D1108D"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1108D">
        <w:rPr>
          <w:rFonts w:ascii="Arial" w:hAnsi="Arial" w:cs="Arial"/>
          <w:color w:val="000000" w:themeColor="text1"/>
          <w:sz w:val="24"/>
          <w:szCs w:val="24"/>
          <w:lang w:eastAsia="en-GB"/>
        </w:rPr>
        <w:t>VisitBritain (2025) UK Short-Term Rentals: Monthly Insights, May 2025. London: VisitBritain.</w:t>
      </w:r>
    </w:p>
    <w:p w14:paraId="564BAEEF" w14:textId="2122BC8D"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Wright, C. and Poole, D. (2022) ‘Crisis communication protocols and staff morale in United Kingdom hotels’, Journal of Hospitality Marketing and Management, 31(4), pp. 527–546.</w:t>
      </w:r>
    </w:p>
    <w:p w14:paraId="5AEA5B26" w14:textId="01B458B1" w:rsidR="00D30B6E" w:rsidRDefault="00D30B6E" w:rsidP="00D30B6E">
      <w:pPr>
        <w:pStyle w:val="ListParagraph"/>
        <w:numPr>
          <w:ilvl w:val="0"/>
          <w:numId w:val="2"/>
        </w:numPr>
        <w:spacing w:line="360" w:lineRule="auto"/>
        <w:jc w:val="both"/>
        <w:rPr>
          <w:rFonts w:ascii="Arial" w:hAnsi="Arial" w:cs="Arial"/>
          <w:color w:val="000000" w:themeColor="text1"/>
          <w:sz w:val="24"/>
          <w:szCs w:val="24"/>
          <w:lang w:eastAsia="en-GB"/>
        </w:rPr>
      </w:pPr>
      <w:r w:rsidRPr="00D30B6E">
        <w:rPr>
          <w:rFonts w:ascii="Arial" w:hAnsi="Arial" w:cs="Arial"/>
          <w:color w:val="000000" w:themeColor="text1"/>
          <w:sz w:val="24"/>
          <w:szCs w:val="24"/>
          <w:lang w:eastAsia="en-GB"/>
        </w:rPr>
        <w:t xml:space="preserve">Zhang, J., </w:t>
      </w:r>
      <w:proofErr w:type="spellStart"/>
      <w:r w:rsidRPr="00D30B6E">
        <w:rPr>
          <w:rFonts w:ascii="Arial" w:hAnsi="Arial" w:cs="Arial"/>
          <w:color w:val="000000" w:themeColor="text1"/>
          <w:sz w:val="24"/>
          <w:szCs w:val="24"/>
          <w:lang w:eastAsia="en-GB"/>
        </w:rPr>
        <w:t>Kandampully</w:t>
      </w:r>
      <w:proofErr w:type="spellEnd"/>
      <w:r w:rsidRPr="00D30B6E">
        <w:rPr>
          <w:rFonts w:ascii="Arial" w:hAnsi="Arial" w:cs="Arial"/>
          <w:color w:val="000000" w:themeColor="text1"/>
          <w:sz w:val="24"/>
          <w:szCs w:val="24"/>
          <w:lang w:eastAsia="en-GB"/>
        </w:rPr>
        <w:t xml:space="preserve">, J. and </w:t>
      </w:r>
      <w:proofErr w:type="spellStart"/>
      <w:r w:rsidRPr="00D30B6E">
        <w:rPr>
          <w:rFonts w:ascii="Arial" w:hAnsi="Arial" w:cs="Arial"/>
          <w:color w:val="000000" w:themeColor="text1"/>
          <w:sz w:val="24"/>
          <w:szCs w:val="24"/>
          <w:lang w:eastAsia="en-GB"/>
        </w:rPr>
        <w:t>Solnet</w:t>
      </w:r>
      <w:proofErr w:type="spellEnd"/>
      <w:r w:rsidRPr="00D30B6E">
        <w:rPr>
          <w:rFonts w:ascii="Arial" w:hAnsi="Arial" w:cs="Arial"/>
          <w:color w:val="000000" w:themeColor="text1"/>
          <w:sz w:val="24"/>
          <w:szCs w:val="24"/>
          <w:lang w:eastAsia="en-GB"/>
        </w:rPr>
        <w:t>, D. (2018) ‘Brand experience and customer engagement in mid-scale hotels’, International Journal of Hospitality Management, 73, pp. 64–72.</w:t>
      </w:r>
    </w:p>
    <w:p w14:paraId="6C23005B" w14:textId="351181C8" w:rsidR="006E4BFF" w:rsidRPr="00D30B6E" w:rsidRDefault="006E4BFF" w:rsidP="00D30B6E">
      <w:pPr>
        <w:pStyle w:val="ListParagraph"/>
        <w:numPr>
          <w:ilvl w:val="0"/>
          <w:numId w:val="2"/>
        </w:numPr>
        <w:spacing w:line="360" w:lineRule="auto"/>
        <w:jc w:val="both"/>
        <w:rPr>
          <w:rFonts w:ascii="Arial" w:hAnsi="Arial" w:cs="Arial"/>
          <w:color w:val="000000" w:themeColor="text1"/>
          <w:sz w:val="24"/>
          <w:szCs w:val="24"/>
          <w:lang w:eastAsia="en-GB"/>
        </w:rPr>
      </w:pPr>
      <w:r w:rsidRPr="006E4BFF">
        <w:rPr>
          <w:rFonts w:ascii="Arial" w:hAnsi="Arial" w:cs="Arial"/>
          <w:color w:val="000000" w:themeColor="text1"/>
          <w:sz w:val="24"/>
          <w:szCs w:val="24"/>
          <w:lang w:eastAsia="en-GB"/>
        </w:rPr>
        <w:t>Zhang, Y., Li, X., Alvarez, M. and Qi, C. (2023) ‘Employee resilience as a moderator of service-failure stress in hospitality’, Journal of Services Management, 37(2), pp. 221–240.</w:t>
      </w:r>
    </w:p>
    <w:sectPr w:rsidR="006E4BFF" w:rsidRPr="00D30B6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DD5B9" w14:textId="77777777" w:rsidR="00450285" w:rsidRDefault="00450285" w:rsidP="00126C05">
      <w:pPr>
        <w:spacing w:after="0" w:line="240" w:lineRule="auto"/>
      </w:pPr>
      <w:r>
        <w:separator/>
      </w:r>
    </w:p>
  </w:endnote>
  <w:endnote w:type="continuationSeparator" w:id="0">
    <w:p w14:paraId="17B9F242" w14:textId="77777777" w:rsidR="00450285" w:rsidRDefault="00450285" w:rsidP="00126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818819"/>
      <w:docPartObj>
        <w:docPartGallery w:val="Page Numbers (Bottom of Page)"/>
        <w:docPartUnique/>
      </w:docPartObj>
    </w:sdtPr>
    <w:sdtEndPr>
      <w:rPr>
        <w:noProof/>
      </w:rPr>
    </w:sdtEndPr>
    <w:sdtContent>
      <w:p w14:paraId="7D0A4AC8" w14:textId="56613AE4" w:rsidR="00126C05" w:rsidRDefault="00126C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AAE69" w14:textId="77777777" w:rsidR="00126C05" w:rsidRDefault="00126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CCB15" w14:textId="77777777" w:rsidR="00450285" w:rsidRDefault="00450285" w:rsidP="00126C05">
      <w:pPr>
        <w:spacing w:after="0" w:line="240" w:lineRule="auto"/>
      </w:pPr>
      <w:r>
        <w:separator/>
      </w:r>
    </w:p>
  </w:footnote>
  <w:footnote w:type="continuationSeparator" w:id="0">
    <w:p w14:paraId="5E39FE0A" w14:textId="77777777" w:rsidR="00450285" w:rsidRDefault="00450285" w:rsidP="00126C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E16"/>
    <w:multiLevelType w:val="hybridMultilevel"/>
    <w:tmpl w:val="40F207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FF0A54"/>
    <w:multiLevelType w:val="hybridMultilevel"/>
    <w:tmpl w:val="A33E3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43224"/>
    <w:multiLevelType w:val="hybridMultilevel"/>
    <w:tmpl w:val="A694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83ACE"/>
    <w:multiLevelType w:val="hybridMultilevel"/>
    <w:tmpl w:val="40EE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35423B"/>
    <w:multiLevelType w:val="hybridMultilevel"/>
    <w:tmpl w:val="3728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198203">
    <w:abstractNumId w:val="1"/>
  </w:num>
  <w:num w:numId="2" w16cid:durableId="546769666">
    <w:abstractNumId w:val="0"/>
  </w:num>
  <w:num w:numId="3" w16cid:durableId="215943289">
    <w:abstractNumId w:val="2"/>
  </w:num>
  <w:num w:numId="4" w16cid:durableId="1527712333">
    <w:abstractNumId w:val="4"/>
  </w:num>
  <w:num w:numId="5" w16cid:durableId="1009257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05"/>
    <w:rsid w:val="0001405F"/>
    <w:rsid w:val="00076AB6"/>
    <w:rsid w:val="00126C05"/>
    <w:rsid w:val="00392387"/>
    <w:rsid w:val="00450285"/>
    <w:rsid w:val="00506F0A"/>
    <w:rsid w:val="006E4BFF"/>
    <w:rsid w:val="007B0CC3"/>
    <w:rsid w:val="009A3E6A"/>
    <w:rsid w:val="009E2C87"/>
    <w:rsid w:val="00A13050"/>
    <w:rsid w:val="00A60BE5"/>
    <w:rsid w:val="00AF7E8B"/>
    <w:rsid w:val="00B151A8"/>
    <w:rsid w:val="00B6356E"/>
    <w:rsid w:val="00B64EAC"/>
    <w:rsid w:val="00BB091C"/>
    <w:rsid w:val="00BD1A6B"/>
    <w:rsid w:val="00C32BD2"/>
    <w:rsid w:val="00C82D1F"/>
    <w:rsid w:val="00CE7512"/>
    <w:rsid w:val="00D1108D"/>
    <w:rsid w:val="00D30B6E"/>
    <w:rsid w:val="00D511B5"/>
    <w:rsid w:val="00D73CFE"/>
    <w:rsid w:val="00D771CE"/>
    <w:rsid w:val="00DC62B9"/>
    <w:rsid w:val="00F15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658A4"/>
  <w15:chartTrackingRefBased/>
  <w15:docId w15:val="{6D67D82A-C673-4B4A-A414-0D74037AD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26C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6C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6C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6C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6C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C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C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C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26C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6C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6C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6C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6C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C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C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C05"/>
    <w:rPr>
      <w:rFonts w:eastAsiaTheme="majorEastAsia" w:cstheme="majorBidi"/>
      <w:color w:val="272727" w:themeColor="text1" w:themeTint="D8"/>
    </w:rPr>
  </w:style>
  <w:style w:type="paragraph" w:styleId="Title">
    <w:name w:val="Title"/>
    <w:basedOn w:val="Normal"/>
    <w:next w:val="Normal"/>
    <w:link w:val="TitleChar"/>
    <w:uiPriority w:val="10"/>
    <w:qFormat/>
    <w:rsid w:val="00126C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C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C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C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C05"/>
    <w:pPr>
      <w:spacing w:before="160"/>
      <w:jc w:val="center"/>
    </w:pPr>
    <w:rPr>
      <w:i/>
      <w:iCs/>
      <w:color w:val="404040" w:themeColor="text1" w:themeTint="BF"/>
    </w:rPr>
  </w:style>
  <w:style w:type="character" w:customStyle="1" w:styleId="QuoteChar">
    <w:name w:val="Quote Char"/>
    <w:basedOn w:val="DefaultParagraphFont"/>
    <w:link w:val="Quote"/>
    <w:uiPriority w:val="29"/>
    <w:rsid w:val="00126C05"/>
    <w:rPr>
      <w:i/>
      <w:iCs/>
      <w:color w:val="404040" w:themeColor="text1" w:themeTint="BF"/>
    </w:rPr>
  </w:style>
  <w:style w:type="paragraph" w:styleId="ListParagraph">
    <w:name w:val="List Paragraph"/>
    <w:basedOn w:val="Normal"/>
    <w:uiPriority w:val="34"/>
    <w:qFormat/>
    <w:rsid w:val="00126C05"/>
    <w:pPr>
      <w:ind w:left="720"/>
      <w:contextualSpacing/>
    </w:pPr>
  </w:style>
  <w:style w:type="character" w:styleId="IntenseEmphasis">
    <w:name w:val="Intense Emphasis"/>
    <w:basedOn w:val="DefaultParagraphFont"/>
    <w:uiPriority w:val="21"/>
    <w:qFormat/>
    <w:rsid w:val="00126C05"/>
    <w:rPr>
      <w:i/>
      <w:iCs/>
      <w:color w:val="2F5496" w:themeColor="accent1" w:themeShade="BF"/>
    </w:rPr>
  </w:style>
  <w:style w:type="paragraph" w:styleId="IntenseQuote">
    <w:name w:val="Intense Quote"/>
    <w:basedOn w:val="Normal"/>
    <w:next w:val="Normal"/>
    <w:link w:val="IntenseQuoteChar"/>
    <w:uiPriority w:val="30"/>
    <w:qFormat/>
    <w:rsid w:val="00126C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6C05"/>
    <w:rPr>
      <w:i/>
      <w:iCs/>
      <w:color w:val="2F5496" w:themeColor="accent1" w:themeShade="BF"/>
    </w:rPr>
  </w:style>
  <w:style w:type="character" w:styleId="IntenseReference">
    <w:name w:val="Intense Reference"/>
    <w:basedOn w:val="DefaultParagraphFont"/>
    <w:uiPriority w:val="32"/>
    <w:qFormat/>
    <w:rsid w:val="00126C05"/>
    <w:rPr>
      <w:b/>
      <w:bCs/>
      <w:smallCaps/>
      <w:color w:val="2F5496" w:themeColor="accent1" w:themeShade="BF"/>
      <w:spacing w:val="5"/>
    </w:rPr>
  </w:style>
  <w:style w:type="paragraph" w:styleId="Header">
    <w:name w:val="header"/>
    <w:basedOn w:val="Normal"/>
    <w:link w:val="HeaderChar"/>
    <w:uiPriority w:val="99"/>
    <w:unhideWhenUsed/>
    <w:rsid w:val="00126C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C05"/>
  </w:style>
  <w:style w:type="paragraph" w:styleId="Footer">
    <w:name w:val="footer"/>
    <w:basedOn w:val="Normal"/>
    <w:link w:val="FooterChar"/>
    <w:uiPriority w:val="99"/>
    <w:unhideWhenUsed/>
    <w:rsid w:val="00126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C05"/>
  </w:style>
  <w:style w:type="paragraph" w:styleId="NormalWeb">
    <w:name w:val="Normal (Web)"/>
    <w:basedOn w:val="Normal"/>
    <w:uiPriority w:val="99"/>
    <w:semiHidden/>
    <w:unhideWhenUsed/>
    <w:rsid w:val="00D30B6E"/>
    <w:rPr>
      <w:rFonts w:ascii="Times New Roman" w:hAnsi="Times New Roman" w:cs="Times New Roman"/>
      <w:sz w:val="24"/>
      <w:szCs w:val="24"/>
    </w:rPr>
  </w:style>
  <w:style w:type="table" w:styleId="TableGrid">
    <w:name w:val="Table Grid"/>
    <w:basedOn w:val="TableNormal"/>
    <w:uiPriority w:val="39"/>
    <w:rsid w:val="00BB0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1A6B"/>
    <w:rPr>
      <w:color w:val="0563C1" w:themeColor="hyperlink"/>
      <w:u w:val="single"/>
    </w:rPr>
  </w:style>
  <w:style w:type="character" w:styleId="UnresolvedMention">
    <w:name w:val="Unresolved Mention"/>
    <w:basedOn w:val="DefaultParagraphFont"/>
    <w:uiPriority w:val="99"/>
    <w:semiHidden/>
    <w:unhideWhenUsed/>
    <w:rsid w:val="00BD1A6B"/>
    <w:rPr>
      <w:color w:val="605E5C"/>
      <w:shd w:val="clear" w:color="auto" w:fill="E1DFDD"/>
    </w:rPr>
  </w:style>
  <w:style w:type="paragraph" w:styleId="TOCHeading">
    <w:name w:val="TOC Heading"/>
    <w:basedOn w:val="Heading1"/>
    <w:next w:val="Normal"/>
    <w:uiPriority w:val="39"/>
    <w:unhideWhenUsed/>
    <w:qFormat/>
    <w:rsid w:val="00A13050"/>
    <w:pPr>
      <w:outlineLvl w:val="9"/>
    </w:pPr>
    <w:rPr>
      <w:kern w:val="0"/>
      <w:lang w:val="en-US"/>
      <w14:ligatures w14:val="none"/>
    </w:rPr>
  </w:style>
  <w:style w:type="paragraph" w:styleId="TOC1">
    <w:name w:val="toc 1"/>
    <w:basedOn w:val="Normal"/>
    <w:next w:val="Normal"/>
    <w:autoRedefine/>
    <w:uiPriority w:val="39"/>
    <w:unhideWhenUsed/>
    <w:rsid w:val="00A130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89772">
      <w:bodyDiv w:val="1"/>
      <w:marLeft w:val="0"/>
      <w:marRight w:val="0"/>
      <w:marTop w:val="0"/>
      <w:marBottom w:val="0"/>
      <w:divBdr>
        <w:top w:val="none" w:sz="0" w:space="0" w:color="auto"/>
        <w:left w:val="none" w:sz="0" w:space="0" w:color="auto"/>
        <w:bottom w:val="none" w:sz="0" w:space="0" w:color="auto"/>
        <w:right w:val="none" w:sz="0" w:space="0" w:color="auto"/>
      </w:divBdr>
    </w:div>
    <w:div w:id="1028023205">
      <w:bodyDiv w:val="1"/>
      <w:marLeft w:val="0"/>
      <w:marRight w:val="0"/>
      <w:marTop w:val="0"/>
      <w:marBottom w:val="0"/>
      <w:divBdr>
        <w:top w:val="none" w:sz="0" w:space="0" w:color="auto"/>
        <w:left w:val="none" w:sz="0" w:space="0" w:color="auto"/>
        <w:bottom w:val="none" w:sz="0" w:space="0" w:color="auto"/>
        <w:right w:val="none" w:sz="0" w:space="0" w:color="auto"/>
      </w:divBdr>
    </w:div>
    <w:div w:id="1163858237">
      <w:bodyDiv w:val="1"/>
      <w:marLeft w:val="0"/>
      <w:marRight w:val="0"/>
      <w:marTop w:val="0"/>
      <w:marBottom w:val="0"/>
      <w:divBdr>
        <w:top w:val="none" w:sz="0" w:space="0" w:color="auto"/>
        <w:left w:val="none" w:sz="0" w:space="0" w:color="auto"/>
        <w:bottom w:val="none" w:sz="0" w:space="0" w:color="auto"/>
        <w:right w:val="none" w:sz="0" w:space="0" w:color="auto"/>
      </w:divBdr>
    </w:div>
    <w:div w:id="128916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9389/index.en.s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10744</Words>
  <Characters>61247</Characters>
  <DocSecurity>0</DocSecurity>
  <Lines>510</Lines>
  <Paragraphs>143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vt:lpstr>
      <vt:lpstr>Introduction </vt:lpstr>
      <vt:lpstr>Literature Review</vt:lpstr>
      <vt:lpstr>Methods</vt:lpstr>
      <vt:lpstr>Hotel Overview and Findings</vt:lpstr>
      <vt:lpstr>Discussion</vt:lpstr>
      <vt:lpstr>Conclusion and recommendations</vt:lpstr>
      <vt:lpstr>References</vt:lpstr>
    </vt:vector>
  </TitlesOfParts>
  <Company/>
  <LinksUpToDate>false</LinksUpToDate>
  <CharactersWithSpaces>71848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2025-06-13T21:45:00Z</dcterms:created>
  <dcterms:modified xsi:type="dcterms:W3CDTF">2025-06-14T00:17:00Z</dcterms:modified>
</cp:coreProperties>
</file>