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pPr>
      <w:r>
        <w:rPr>
          <w:rtl w:val="0"/>
        </w:rPr>
        <w:t>Slide 1</w:t>
      </w:r>
    </w:p>
    <w:p>
      <w:pPr>
        <w:pStyle w:val="Body A"/>
        <w:spacing w:line="360" w:lineRule="auto"/>
      </w:pPr>
    </w:p>
    <w:p>
      <w:pPr>
        <w:pStyle w:val="Body A"/>
        <w:spacing w:line="360" w:lineRule="auto"/>
        <w:jc w:val="center"/>
      </w:pPr>
      <w:r>
        <w:drawing>
          <wp:inline distT="0" distB="0" distL="0" distR="0">
            <wp:extent cx="3429000" cy="1927862"/>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Default"/>
        <w:spacing w:after="160" w:line="259" w:lineRule="auto"/>
        <w:rPr>
          <w:i w:val="1"/>
          <w:iCs w:val="1"/>
          <w:outline w:val="0"/>
          <w:color w:val="1d2228"/>
          <w:sz w:val="26"/>
          <w:szCs w:val="26"/>
          <w:u w:color="1d2228"/>
          <w:shd w:val="clear" w:color="auto" w:fill="ffffff"/>
          <w14:textOutline w14:w="12700" w14:cap="flat">
            <w14:noFill/>
            <w14:miter w14:lim="400000"/>
          </w14:textOutline>
          <w14:textFill>
            <w14:solidFill>
              <w14:srgbClr w14:val="1D2228"/>
            </w14:solidFill>
          </w14:textFill>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Student name: Gabriela Coteneanu</w:t>
      </w:r>
    </w:p>
    <w:p>
      <w:pPr>
        <w:pStyle w:val="Default"/>
        <w:spacing w:after="160" w:line="259" w:lineRule="auto"/>
        <w:rPr>
          <w:u w:color="000000"/>
          <w14:textOutline w14:w="12700" w14:cap="flat">
            <w14:noFill/>
            <w14:miter w14:lim="400000"/>
          </w14:textOutline>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Student ID: 2243467</w:t>
      </w:r>
    </w:p>
    <w:p>
      <w:pPr>
        <w:pStyle w:val="Body A"/>
        <w:spacing w:line="360" w:lineRule="auto"/>
      </w:pPr>
    </w:p>
    <w:p>
      <w:pPr>
        <w:pStyle w:val="Body A"/>
      </w:pPr>
      <w:r>
        <w:br w:type="page"/>
      </w:r>
    </w:p>
    <w:p>
      <w:pPr>
        <w:pStyle w:val="Body A"/>
        <w:spacing w:line="360" w:lineRule="auto"/>
      </w:pPr>
      <w:r>
        <w:rPr>
          <w:rtl w:val="0"/>
        </w:rPr>
        <w:t>Slide 2</w:t>
      </w:r>
    </w:p>
    <w:p>
      <w:pPr>
        <w:pStyle w:val="Body A"/>
        <w:spacing w:line="360" w:lineRule="auto"/>
      </w:pPr>
    </w:p>
    <w:p>
      <w:pPr>
        <w:pStyle w:val="Body A"/>
        <w:spacing w:line="360" w:lineRule="auto"/>
        <w:jc w:val="center"/>
      </w:pPr>
      <w:r>
        <w:drawing>
          <wp:inline distT="0" distB="0" distL="0" distR="0">
            <wp:extent cx="3429000" cy="1927862"/>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A significant portion of how technology has evolved and how workers learn and develop in the businesses this presentation includes. By enabling people to learn in a manner that aligns with their requirements, it increases the usefulness and accessibility of training. Modern office training must be centred on technology in order to function in today's rapidly evolving business environment.</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3</w:t>
      </w:r>
    </w:p>
    <w:p>
      <w:pPr>
        <w:pStyle w:val="Body A"/>
        <w:spacing w:line="360" w:lineRule="auto"/>
      </w:pPr>
    </w:p>
    <w:p>
      <w:pPr>
        <w:pStyle w:val="Body A"/>
        <w:spacing w:line="360" w:lineRule="auto"/>
        <w:jc w:val="center"/>
      </w:pPr>
      <w:r>
        <w:drawing>
          <wp:inline distT="0" distB="0" distL="0" distR="0">
            <wp:extent cx="3429000" cy="1927862"/>
            <wp:effectExtent l="0" t="0" r="0" b="0"/>
            <wp:docPr id="1073741827" name="officeArt object" descr="image3.png"/>
            <wp:cNvGraphicFramePr/>
            <a:graphic xmlns:a="http://schemas.openxmlformats.org/drawingml/2006/main">
              <a:graphicData uri="http://schemas.openxmlformats.org/drawingml/2006/picture">
                <pic:pic xmlns:pic="http://schemas.openxmlformats.org/drawingml/2006/picture">
                  <pic:nvPicPr>
                    <pic:cNvPr id="1073741827" name="image3.png" descr="image3.png"/>
                    <pic:cNvPicPr>
                      <a:picLocks noChangeAspect="1"/>
                    </pic:cNvPicPr>
                  </pic:nvPicPr>
                  <pic:blipFill>
                    <a:blip r:embed="rId6">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Technology is crucial for training and development since it makes learning more engaging and enjoyable for students. Facilitating the purchase process so that workers can acquire knowledge at their own time and pace having the capacity to expand quickly to accommodate a dispersed and varied workforce delivering value for money by reducing the infrastructure and travel expenses required for regular training. Businesses may maintain their competitiveness by using technology to efficiently refresh their knowledge and abilities.</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4</w:t>
      </w:r>
    </w:p>
    <w:p>
      <w:pPr>
        <w:pStyle w:val="Body A"/>
        <w:spacing w:line="360" w:lineRule="auto"/>
      </w:pPr>
    </w:p>
    <w:p>
      <w:pPr>
        <w:pStyle w:val="Body A"/>
        <w:spacing w:line="360" w:lineRule="auto"/>
        <w:jc w:val="center"/>
      </w:pPr>
      <w:r>
        <w:drawing>
          <wp:inline distT="0" distB="0" distL="0" distR="0">
            <wp:extent cx="3429000" cy="1927862"/>
            <wp:effectExtent l="0" t="0" r="0" b="0"/>
            <wp:docPr id="1073741828" name="officeArt object" descr="image4.png"/>
            <wp:cNvGraphicFramePr/>
            <a:graphic xmlns:a="http://schemas.openxmlformats.org/drawingml/2006/main">
              <a:graphicData uri="http://schemas.openxmlformats.org/drawingml/2006/picture">
                <pic:pic xmlns:pic="http://schemas.openxmlformats.org/drawingml/2006/picture">
                  <pic:nvPicPr>
                    <pic:cNvPr id="1073741828" name="image4.png" descr="image4.png"/>
                    <pic:cNvPicPr>
                      <a:picLocks noChangeAspect="1"/>
                    </pic:cNvPicPr>
                  </pic:nvPicPr>
                  <pic:blipFill>
                    <a:blip r:embed="rId7">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Technology makes it possible for individualised learning in a number of ways. selecting resources based on each student's unique learning preferences and development. presenting interesting tasks and situations to support the development of practical skills Personalised course recommendations from Coursera and virtual simulations utilised in medical education are two instances of adaptable learning platforms.</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5</w:t>
      </w:r>
    </w:p>
    <w:p>
      <w:pPr>
        <w:pStyle w:val="Body A"/>
        <w:spacing w:line="360" w:lineRule="auto"/>
      </w:pPr>
    </w:p>
    <w:p>
      <w:pPr>
        <w:pStyle w:val="Body A"/>
        <w:spacing w:line="360" w:lineRule="auto"/>
        <w:jc w:val="center"/>
      </w:pPr>
      <w:r>
        <w:drawing>
          <wp:inline distT="0" distB="0" distL="0" distR="0">
            <wp:extent cx="3429000" cy="1927862"/>
            <wp:effectExtent l="0" t="0" r="0" b="0"/>
            <wp:docPr id="1073741829" name="officeArt object" descr="image5.png"/>
            <wp:cNvGraphicFramePr/>
            <a:graphic xmlns:a="http://schemas.openxmlformats.org/drawingml/2006/main">
              <a:graphicData uri="http://schemas.openxmlformats.org/drawingml/2006/picture">
                <pic:pic xmlns:pic="http://schemas.openxmlformats.org/drawingml/2006/picture">
                  <pic:nvPicPr>
                    <pic:cNvPr id="1073741829" name="image5.png" descr="image5.png"/>
                    <pic:cNvPicPr>
                      <a:picLocks noChangeAspect="1"/>
                    </pic:cNvPicPr>
                  </pic:nvPicPr>
                  <pic:blipFill>
                    <a:blip r:embed="rId8">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Employee flexibility and convenience are provided by technology-based training through: enabling anytime, anywhere access to educational resources via an online platform allowing staff-paced instruction to account for varying schedules and learning styles For instance Artificial intelligence is being used by Netflix to tailor learning paths based on employee interests and career goals. This methodology not only amplifies involvement and incentive but also guarantees that education is pertinent and consequential for personal growth requirements.</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6</w:t>
      </w:r>
    </w:p>
    <w:p>
      <w:pPr>
        <w:pStyle w:val="Body A"/>
        <w:spacing w:line="360" w:lineRule="auto"/>
      </w:pPr>
    </w:p>
    <w:p>
      <w:pPr>
        <w:pStyle w:val="Body A"/>
        <w:spacing w:line="360" w:lineRule="auto"/>
        <w:jc w:val="center"/>
      </w:pPr>
      <w:r>
        <w:drawing>
          <wp:inline distT="0" distB="0" distL="0" distR="0">
            <wp:extent cx="3429000" cy="1927862"/>
            <wp:effectExtent l="0" t="0" r="0" b="0"/>
            <wp:docPr id="1073741830" name="officeArt object" descr="image6.png"/>
            <wp:cNvGraphicFramePr/>
            <a:graphic xmlns:a="http://schemas.openxmlformats.org/drawingml/2006/main">
              <a:graphicData uri="http://schemas.openxmlformats.org/drawingml/2006/picture">
                <pic:pic xmlns:pic="http://schemas.openxmlformats.org/drawingml/2006/picture">
                  <pic:nvPicPr>
                    <pic:cNvPr id="1073741830" name="image6.png" descr="image6.png"/>
                    <pic:cNvPicPr>
                      <a:picLocks noChangeAspect="1"/>
                    </pic:cNvPicPr>
                  </pic:nvPicPr>
                  <pic:blipFill>
                    <a:blip r:embed="rId9">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line="360" w:lineRule="auto"/>
      </w:pPr>
    </w:p>
    <w:p>
      <w:pPr>
        <w:pStyle w:val="Body A"/>
      </w:pPr>
      <w:r>
        <w:br w:type="page"/>
      </w:r>
    </w:p>
    <w:p>
      <w:pPr>
        <w:pStyle w:val="Body A"/>
        <w:spacing w:line="360" w:lineRule="auto"/>
      </w:pPr>
      <w:r>
        <w:rPr>
          <w:rtl w:val="0"/>
        </w:rPr>
        <w:t>Slide 7</w:t>
      </w:r>
    </w:p>
    <w:p>
      <w:pPr>
        <w:pStyle w:val="Body A"/>
        <w:spacing w:line="360" w:lineRule="auto"/>
      </w:pPr>
    </w:p>
    <w:p>
      <w:pPr>
        <w:pStyle w:val="Body A"/>
        <w:spacing w:line="360" w:lineRule="auto"/>
        <w:jc w:val="center"/>
      </w:pPr>
      <w:r>
        <w:drawing>
          <wp:inline distT="0" distB="0" distL="0" distR="0">
            <wp:extent cx="3429000" cy="1927862"/>
            <wp:effectExtent l="0" t="0" r="0" b="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0">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Employee retention and increased job engagement can be achieved through technology-based training. It gives workers engaging learning options related to their interests and career objectives. Giving workers the chance to learn more will keep them motivated and engaged in their own development as professionals. For instance, IBM employs AI to forecast skill gaps in their workforce, enabling them to design efficient training initiatives. This approach not only ensured that workers acquired the necessary skills but also helped the organisation prepare for future challenges by fostering long-term loyalty and commitment among the workforce.</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8</w:t>
      </w:r>
    </w:p>
    <w:p>
      <w:pPr>
        <w:pStyle w:val="Body A"/>
        <w:spacing w:line="360" w:lineRule="auto"/>
      </w:pPr>
    </w:p>
    <w:p>
      <w:pPr>
        <w:pStyle w:val="Body A"/>
        <w:spacing w:line="360" w:lineRule="auto"/>
        <w:jc w:val="center"/>
      </w:pPr>
      <w:r>
        <w:drawing>
          <wp:inline distT="0" distB="0" distL="0" distR="0">
            <wp:extent cx="3429000" cy="1927862"/>
            <wp:effectExtent l="0" t="0" r="0" b="0"/>
            <wp:docPr id="1073741832" name="officeArt object" descr="image8.png"/>
            <wp:cNvGraphicFramePr/>
            <a:graphic xmlns:a="http://schemas.openxmlformats.org/drawingml/2006/main">
              <a:graphicData uri="http://schemas.openxmlformats.org/drawingml/2006/picture">
                <pic:pic xmlns:pic="http://schemas.openxmlformats.org/drawingml/2006/picture">
                  <pic:nvPicPr>
                    <pic:cNvPr id="1073741832" name="image8.png" descr="image8.png"/>
                    <pic:cNvPicPr>
                      <a:picLocks noChangeAspect="1"/>
                    </pic:cNvPicPr>
                  </pic:nvPicPr>
                  <pic:blipFill>
                    <a:blip r:embed="rId11">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Cisco upskills its global workforce with an online learning platform. It gives users access to a large selection of educational materials and programmes. Designing learning pathways based on each person's needs for skill development and career factors. Allow employees to learn at their own pace and convenience with flexibility. fostering a culture of lifelong learning and career advancement. This strategy guarantees alignment with Cisco's corporate objectives while also improving employees' skills and talents. The workforce has been ready for incorporating technological trends and commercial demands thanks to this. In the current digital era, Cisco's dedication to online education helps to maintain a competitive workforce.</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9</w:t>
      </w:r>
    </w:p>
    <w:p>
      <w:pPr>
        <w:pStyle w:val="Body A"/>
        <w:spacing w:line="360" w:lineRule="auto"/>
      </w:pPr>
    </w:p>
    <w:p>
      <w:pPr>
        <w:pStyle w:val="Body A"/>
        <w:spacing w:line="360" w:lineRule="auto"/>
        <w:jc w:val="center"/>
      </w:pPr>
      <w:r>
        <w:drawing>
          <wp:inline distT="0" distB="0" distL="0" distR="0">
            <wp:extent cx="3429000" cy="1927862"/>
            <wp:effectExtent l="0" t="0" r="0" b="0"/>
            <wp:docPr id="1073741833" name="officeArt object" descr="image9.png"/>
            <wp:cNvGraphicFramePr/>
            <a:graphic xmlns:a="http://schemas.openxmlformats.org/drawingml/2006/main">
              <a:graphicData uri="http://schemas.openxmlformats.org/drawingml/2006/picture">
                <pic:pic xmlns:pic="http://schemas.openxmlformats.org/drawingml/2006/picture">
                  <pic:nvPicPr>
                    <pic:cNvPr id="1073741833" name="image9.png" descr="image9.png"/>
                    <pic:cNvPicPr>
                      <a:picLocks noChangeAspect="1"/>
                    </pic:cNvPicPr>
                  </pic:nvPicPr>
                  <pic:blipFill>
                    <a:blip r:embed="rId12">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Apple employs mobile learning apps to support lifelong learning through: Creating applications that are easy to use and compatible with a range of devices Giving staff members mobile access to training resources providing interactive learning modules and evaluation to support learning assisting self-directed learning according to needs This programme not only increases employee engagement and retention of knowledge, but it also fosters innovation and a culture of continuous improvement within Apple. Through the creation of professional growth and organisational agility, mobile learning applications allow Apple employees to stay current on industry trends and skills.</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10</w:t>
      </w:r>
    </w:p>
    <w:p>
      <w:pPr>
        <w:pStyle w:val="Body A"/>
        <w:spacing w:line="360" w:lineRule="auto"/>
      </w:pPr>
    </w:p>
    <w:p>
      <w:pPr>
        <w:pStyle w:val="Body A"/>
        <w:spacing w:line="360" w:lineRule="auto"/>
        <w:jc w:val="center"/>
      </w:pPr>
      <w:r>
        <w:drawing>
          <wp:inline distT="0" distB="0" distL="0" distR="0">
            <wp:extent cx="3429000" cy="1927862"/>
            <wp:effectExtent l="0" t="0" r="0" b="0"/>
            <wp:docPr id="1073741834" name="officeArt object" descr="image10.png"/>
            <wp:cNvGraphicFramePr/>
            <a:graphic xmlns:a="http://schemas.openxmlformats.org/drawingml/2006/main">
              <a:graphicData uri="http://schemas.openxmlformats.org/drawingml/2006/picture">
                <pic:pic xmlns:pic="http://schemas.openxmlformats.org/drawingml/2006/picture">
                  <pic:nvPicPr>
                    <pic:cNvPr id="1073741834" name="image10.png" descr="image10.png"/>
                    <pic:cNvPicPr>
                      <a:picLocks noChangeAspect="1"/>
                    </pic:cNvPicPr>
                  </pic:nvPicPr>
                  <pic:blipFill>
                    <a:blip r:embed="rId13">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line="360" w:lineRule="auto"/>
      </w:pPr>
    </w:p>
    <w:p>
      <w:pPr>
        <w:pStyle w:val="Body A"/>
      </w:pPr>
      <w:r>
        <w:br w:type="page"/>
      </w:r>
    </w:p>
    <w:p>
      <w:pPr>
        <w:pStyle w:val="Body A"/>
        <w:spacing w:line="360" w:lineRule="auto"/>
      </w:pPr>
      <w:r>
        <w:rPr>
          <w:rtl w:val="0"/>
        </w:rPr>
        <w:t>Slide 11</w:t>
      </w:r>
    </w:p>
    <w:p>
      <w:pPr>
        <w:pStyle w:val="Body A"/>
        <w:spacing w:line="360" w:lineRule="auto"/>
      </w:pPr>
    </w:p>
    <w:p>
      <w:pPr>
        <w:pStyle w:val="Body A"/>
        <w:spacing w:line="360" w:lineRule="auto"/>
        <w:jc w:val="center"/>
      </w:pPr>
      <w:r>
        <w:drawing>
          <wp:inline distT="0" distB="0" distL="0" distR="0">
            <wp:extent cx="3429000" cy="1927862"/>
            <wp:effectExtent l="0" t="0" r="0" b="0"/>
            <wp:docPr id="1073741835" name="officeArt object" descr="image11.png"/>
            <wp:cNvGraphicFramePr/>
            <a:graphic xmlns:a="http://schemas.openxmlformats.org/drawingml/2006/main">
              <a:graphicData uri="http://schemas.openxmlformats.org/drawingml/2006/picture">
                <pic:pic xmlns:pic="http://schemas.openxmlformats.org/drawingml/2006/picture">
                  <pic:nvPicPr>
                    <pic:cNvPr id="1073741835" name="image11.png" descr="image11.png"/>
                    <pic:cNvPicPr>
                      <a:picLocks noChangeAspect="1"/>
                    </pic:cNvPicPr>
                  </pic:nvPicPr>
                  <pic:blipFill>
                    <a:blip r:embed="rId14">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Tesco benefits from reduced training costs with technology-based programs and the digital training ensures consistent and standardized employee education across stores.However, the Online modules provide flexibility, minimizing disruption to Tesco's operations and tracking progress helps Tesco identify skill gaps and improve productivity.</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12</w:t>
      </w:r>
    </w:p>
    <w:p>
      <w:pPr>
        <w:pStyle w:val="Body A"/>
        <w:spacing w:line="360" w:lineRule="auto"/>
      </w:pPr>
    </w:p>
    <w:p>
      <w:pPr>
        <w:pStyle w:val="Body A"/>
        <w:spacing w:line="360" w:lineRule="auto"/>
        <w:jc w:val="center"/>
      </w:pPr>
      <w:r>
        <w:drawing>
          <wp:inline distT="0" distB="0" distL="0" distR="0">
            <wp:extent cx="3429000" cy="1927862"/>
            <wp:effectExtent l="0" t="0" r="0" b="0"/>
            <wp:docPr id="1073741836" name="officeArt object" descr="image12.png"/>
            <wp:cNvGraphicFramePr/>
            <a:graphic xmlns:a="http://schemas.openxmlformats.org/drawingml/2006/main">
              <a:graphicData uri="http://schemas.openxmlformats.org/drawingml/2006/picture">
                <pic:pic xmlns:pic="http://schemas.openxmlformats.org/drawingml/2006/picture">
                  <pic:nvPicPr>
                    <pic:cNvPr id="1073741836" name="image12.png" descr="image12.png"/>
                    <pic:cNvPicPr>
                      <a:picLocks noChangeAspect="1"/>
                    </pic:cNvPicPr>
                  </pic:nvPicPr>
                  <pic:blipFill>
                    <a:blip r:embed="rId15">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HSBC saves on travel and accommodation costs with virtual training and the Technology-based training ensures global consistency in employee knowledge. Interactive simulations enhance preparedness and performance among HSBC staff and the continuous updates keep HSBC employees adept with evolving financial regulations.</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13</w:t>
      </w:r>
    </w:p>
    <w:p>
      <w:pPr>
        <w:pStyle w:val="Body A"/>
        <w:spacing w:line="360" w:lineRule="auto"/>
      </w:pPr>
    </w:p>
    <w:p>
      <w:pPr>
        <w:pStyle w:val="Body A"/>
        <w:spacing w:line="360" w:lineRule="auto"/>
        <w:jc w:val="center"/>
      </w:pPr>
      <w:r>
        <w:drawing>
          <wp:inline distT="0" distB="0" distL="0" distR="0">
            <wp:extent cx="3429000" cy="1927862"/>
            <wp:effectExtent l="0" t="0" r="0" b="0"/>
            <wp:docPr id="1073741837" name="officeArt object" descr="image13.png"/>
            <wp:cNvGraphicFramePr/>
            <a:graphic xmlns:a="http://schemas.openxmlformats.org/drawingml/2006/main">
              <a:graphicData uri="http://schemas.openxmlformats.org/drawingml/2006/picture">
                <pic:pic xmlns:pic="http://schemas.openxmlformats.org/drawingml/2006/picture">
                  <pic:nvPicPr>
                    <pic:cNvPr id="1073741837" name="image13.png" descr="image13.png"/>
                    <pic:cNvPicPr>
                      <a:picLocks noChangeAspect="1"/>
                    </pic:cNvPicPr>
                  </pic:nvPicPr>
                  <pic:blipFill>
                    <a:blip r:embed="rId16">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British Airways reduces training expenses through e-learning platforms and the digital training ensures consistent education for employees worldwide and however, the Mobile access to training minimizes downtime and enhances learning flexibility and the training analytics provide British Airways with actionable insights to boost performance.</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14</w:t>
      </w:r>
    </w:p>
    <w:p>
      <w:pPr>
        <w:pStyle w:val="Body A"/>
        <w:spacing w:line="360" w:lineRule="auto"/>
      </w:pPr>
    </w:p>
    <w:p>
      <w:pPr>
        <w:pStyle w:val="Body A"/>
        <w:spacing w:line="360" w:lineRule="auto"/>
        <w:jc w:val="center"/>
      </w:pPr>
      <w:r>
        <w:drawing>
          <wp:inline distT="0" distB="0" distL="0" distR="0">
            <wp:extent cx="3429000" cy="1927862"/>
            <wp:effectExtent l="0" t="0" r="0" b="0"/>
            <wp:docPr id="1073741838" name="officeArt object" descr="image14.png"/>
            <wp:cNvGraphicFramePr/>
            <a:graphic xmlns:a="http://schemas.openxmlformats.org/drawingml/2006/main">
              <a:graphicData uri="http://schemas.openxmlformats.org/drawingml/2006/picture">
                <pic:pic xmlns:pic="http://schemas.openxmlformats.org/drawingml/2006/picture">
                  <pic:nvPicPr>
                    <pic:cNvPr id="1073741838" name="image14.png" descr="image14.png"/>
                    <pic:cNvPicPr>
                      <a:picLocks noChangeAspect="1"/>
                    </pic:cNvPicPr>
                  </pic:nvPicPr>
                  <pic:blipFill>
                    <a:blip r:embed="rId17">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Times New Roman" w:cs="Times New Roman" w:hAnsi="Times New Roman" w:eastAsia="Times New Roman"/>
          <w:outline w:val="0"/>
          <w:color w:val="000000"/>
          <w:kern w:val="0"/>
          <w:sz w:val="24"/>
          <w:szCs w:val="24"/>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Unilever cuts costs significantly with online training programs. Digital platforms offer a wide range of training, improving employee skill sets. Flexible schedules help Unilever maintain high productivity levels. Data-driven insights from training help Unilever optimize HR strategies and workforce development.</w:t>
      </w:r>
    </w:p>
    <w:p>
      <w:pPr>
        <w:pStyle w:val="Body A"/>
        <w:spacing w:after="0" w:line="240" w:lineRule="auto"/>
        <w:rPr>
          <w:rFonts w:ascii="Arial" w:cs="Arial" w:hAnsi="Arial" w:eastAsia="Arial"/>
          <w:outline w:val="0"/>
          <w:color w:val="000000"/>
          <w:kern w:val="0"/>
          <w:u w:color="000000"/>
          <w:lang w:val="en-US"/>
          <w14:textFill>
            <w14:solidFill>
              <w14:srgbClr w14:val="000000"/>
            </w14:solidFill>
          </w14:textFill>
        </w:rPr>
      </w:pP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15</w:t>
      </w:r>
    </w:p>
    <w:p>
      <w:pPr>
        <w:pStyle w:val="Body A"/>
        <w:spacing w:line="360" w:lineRule="auto"/>
      </w:pPr>
    </w:p>
    <w:p>
      <w:pPr>
        <w:pStyle w:val="Body A"/>
        <w:spacing w:line="360" w:lineRule="auto"/>
        <w:jc w:val="center"/>
      </w:pPr>
      <w:r>
        <w:drawing>
          <wp:inline distT="0" distB="0" distL="0" distR="0">
            <wp:extent cx="3429000" cy="1927862"/>
            <wp:effectExtent l="0" t="0" r="0" b="0"/>
            <wp:docPr id="1073741839" name="officeArt object" descr="image15.png"/>
            <wp:cNvGraphicFramePr/>
            <a:graphic xmlns:a="http://schemas.openxmlformats.org/drawingml/2006/main">
              <a:graphicData uri="http://schemas.openxmlformats.org/drawingml/2006/picture">
                <pic:pic xmlns:pic="http://schemas.openxmlformats.org/drawingml/2006/picture">
                  <pic:nvPicPr>
                    <pic:cNvPr id="1073741839" name="image15.png" descr="image15.png"/>
                    <pic:cNvPicPr>
                      <a:picLocks noChangeAspect="1"/>
                    </pic:cNvPicPr>
                  </pic:nvPicPr>
                  <pic:blipFill>
                    <a:blip r:embed="rId18">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p>
    <w:p>
      <w:pPr>
        <w:pStyle w:val="Body A"/>
        <w:spacing w:after="0" w:line="240" w:lineRule="auto"/>
        <w:jc w:val="both"/>
        <w:rPr>
          <w:rFonts w:ascii="Arial" w:cs="Arial" w:hAnsi="Arial" w:eastAsia="Arial"/>
          <w:outline w:val="0"/>
          <w:color w:val="000000"/>
          <w:kern w:val="0"/>
          <w:u w:color="000000"/>
          <w14:textFill>
            <w14:solidFill>
              <w14:srgbClr w14:val="000000"/>
            </w14:solidFill>
          </w14:textFill>
        </w:rPr>
      </w:pPr>
      <w:r>
        <w:rPr>
          <w:rFonts w:ascii="Times New Roman" w:hAnsi="Times New Roman"/>
          <w:outline w:val="0"/>
          <w:color w:val="000000"/>
          <w:kern w:val="0"/>
          <w:sz w:val="24"/>
          <w:szCs w:val="24"/>
          <w:u w:color="000000"/>
          <w:rtl w:val="0"/>
          <w:lang w:val="en-US"/>
          <w14:textFill>
            <w14:solidFill>
              <w14:srgbClr w14:val="000000"/>
            </w14:solidFill>
          </w14:textFill>
        </w:rPr>
        <w:t>Employers gain from technology-driven learning since it increases worker skills, lowers training costs, and fosters creativity. Flexible learning opportunities, individualised growth, and increased job satisfaction are advantageous to employees. With the aid of technology, learning may support strategic objectives, increase competitiveness, and guarantee ongoing organisational progress.</w:t>
      </w:r>
    </w:p>
    <w:p>
      <w:pPr>
        <w:pStyle w:val="Body A"/>
        <w:spacing w:after="0" w:line="240" w:lineRule="auto"/>
        <w:rPr>
          <w:rFonts w:ascii="Arial" w:cs="Arial" w:hAnsi="Arial" w:eastAsia="Arial"/>
          <w:kern w:val="0"/>
          <w:sz w:val="24"/>
          <w:szCs w:val="24"/>
          <w:lang w:val="en-US"/>
        </w:rPr>
      </w:pPr>
    </w:p>
    <w:p>
      <w:pPr>
        <w:pStyle w:val="Body A"/>
        <w:spacing w:line="360" w:lineRule="auto"/>
      </w:pPr>
    </w:p>
    <w:p>
      <w:pPr>
        <w:pStyle w:val="Body A"/>
      </w:pPr>
      <w:r>
        <w:br w:type="page"/>
      </w:r>
    </w:p>
    <w:p>
      <w:pPr>
        <w:pStyle w:val="Body A"/>
        <w:spacing w:line="360" w:lineRule="auto"/>
      </w:pPr>
      <w:r>
        <w:rPr>
          <w:rtl w:val="0"/>
        </w:rPr>
        <w:t>Slide 16</w:t>
      </w:r>
    </w:p>
    <w:p>
      <w:pPr>
        <w:pStyle w:val="Body A"/>
        <w:spacing w:line="360" w:lineRule="auto"/>
      </w:pPr>
    </w:p>
    <w:p>
      <w:pPr>
        <w:pStyle w:val="Body A"/>
        <w:spacing w:line="360" w:lineRule="auto"/>
        <w:jc w:val="center"/>
      </w:pPr>
      <w:r>
        <w:drawing>
          <wp:inline distT="0" distB="0" distL="0" distR="0">
            <wp:extent cx="3429000" cy="1927862"/>
            <wp:effectExtent l="0" t="0" r="0" b="0"/>
            <wp:docPr id="1073741840" name="officeArt object" descr="image16.png"/>
            <wp:cNvGraphicFramePr/>
            <a:graphic xmlns:a="http://schemas.openxmlformats.org/drawingml/2006/main">
              <a:graphicData uri="http://schemas.openxmlformats.org/drawingml/2006/picture">
                <pic:pic xmlns:pic="http://schemas.openxmlformats.org/drawingml/2006/picture">
                  <pic:nvPicPr>
                    <pic:cNvPr id="1073741840" name="image16.png" descr="image16.png"/>
                    <pic:cNvPicPr>
                      <a:picLocks noChangeAspect="1"/>
                    </pic:cNvPicPr>
                  </pic:nvPicPr>
                  <pic:blipFill>
                    <a:blip r:embed="rId19">
                      <a:extLst/>
                    </a:blip>
                    <a:stretch>
                      <a:fillRect/>
                    </a:stretch>
                  </pic:blipFill>
                  <pic:spPr>
                    <a:xfrm>
                      <a:off x="0" y="0"/>
                      <a:ext cx="3429000" cy="1927862"/>
                    </a:xfrm>
                    <a:prstGeom prst="rect">
                      <a:avLst/>
                    </a:prstGeom>
                    <a:ln w="12700" cap="flat">
                      <a:noFill/>
                      <a:miter lim="400000"/>
                    </a:ln>
                    <a:effectLst/>
                  </pic:spPr>
                </pic:pic>
              </a:graphicData>
            </a:graphic>
          </wp:inline>
        </w:drawing>
      </w:r>
    </w:p>
    <w:p>
      <w:pPr>
        <w:pStyle w:val="Body A"/>
        <w:spacing w:line="360" w:lineRule="auto"/>
        <w:jc w:val="center"/>
      </w:pPr>
      <w:r/>
    </w:p>
    <w:sectPr>
      <w:headerReference w:type="default" r:id="rId20"/>
      <w:footerReference w:type="default" r:id="rId21"/>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2"/>
      <w:szCs w:val="22"/>
      <w:u w:val="none" w:color="000000"/>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