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59B7C402"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CF32DB">
              <w:rPr>
                <w:rFonts w:ascii="Times New Roman" w:hAnsi="Times New Roman" w:cs="Times New Roman"/>
                <w:b/>
                <w:color w:val="auto"/>
                <w:sz w:val="48"/>
              </w:rPr>
              <w:t>Amanda Thomas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27FF9E54"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CF32DB">
              <w:rPr>
                <w:rFonts w:ascii="Times New Roman" w:hAnsi="Times New Roman" w:cs="Times New Roman"/>
                <w:b/>
                <w:color w:val="auto"/>
                <w:sz w:val="48"/>
              </w:rPr>
              <w:t xml:space="preserve"> Amanda.thomas@denbighshire.gov.uk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39996685" w14:textId="0C9504AA" w:rsidR="00CF32DB" w:rsidRPr="005D3F07" w:rsidRDefault="00CF32DB"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2521439</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037B0">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025CB5FE" w14:textId="61305698" w:rsidR="00E559CE" w:rsidRDefault="00E559CE" w:rsidP="005B3A2D">
      <w:pPr>
        <w:jc w:val="center"/>
        <w:rPr>
          <w:b/>
          <w:sz w:val="24"/>
          <w:szCs w:val="24"/>
        </w:rPr>
      </w:pP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11F293C2"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w:t>
      </w:r>
      <w:r w:rsidR="6D1B720D" w:rsidRPr="00A5656A">
        <w:rPr>
          <w:i/>
          <w:iCs/>
          <w:sz w:val="24"/>
          <w:szCs w:val="24"/>
        </w:rPr>
        <w:t>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75706742" w14:textId="77777777" w:rsidR="001253E9" w:rsidRPr="001253E9" w:rsidRDefault="001253E9" w:rsidP="001253E9">
            <w:pPr>
              <w:spacing w:line="276" w:lineRule="auto"/>
              <w:jc w:val="both"/>
              <w:rPr>
                <w:sz w:val="24"/>
                <w:szCs w:val="24"/>
              </w:rPr>
            </w:pPr>
            <w:r w:rsidRPr="001253E9">
              <w:rPr>
                <w:sz w:val="24"/>
                <w:szCs w:val="24"/>
              </w:rPr>
              <w:t xml:space="preserve">This assignment presents an in-depth case study reflecting on my direct experiences with an adult resident in a supportive residential environment. The case study centres on complex safeguarding issues, including challenges associated with self-neglect, varying degrees of mental capacity, and the potential risks of harm posed by others to the individual. </w:t>
            </w:r>
          </w:p>
          <w:p w14:paraId="74364C7B" w14:textId="77777777" w:rsidR="001253E9" w:rsidRPr="001253E9" w:rsidRDefault="001253E9" w:rsidP="001253E9">
            <w:pPr>
              <w:spacing w:line="276" w:lineRule="auto"/>
              <w:jc w:val="both"/>
              <w:rPr>
                <w:sz w:val="24"/>
                <w:szCs w:val="24"/>
              </w:rPr>
            </w:pPr>
            <w:r w:rsidRPr="001253E9">
              <w:rPr>
                <w:sz w:val="24"/>
                <w:szCs w:val="24"/>
              </w:rPr>
              <w:t>This exploration will provide an in-depth look at the key legislation that has significantly influenced my practice, specifically the Social Services and Well-being (Wales) Act 2014 (SSWBWA 14), the Mental Capacity Act 2005 (MCA, 2005), and the Wales Safeguarding Procedures 2019. These legislative frameworks offer vital guidelines for comprehending and effectively addressing the complexities arising from individual circumstances.</w:t>
            </w:r>
          </w:p>
          <w:p w14:paraId="6220EE1D" w14:textId="77777777" w:rsidR="001253E9" w:rsidRPr="001253E9" w:rsidRDefault="001253E9" w:rsidP="001253E9">
            <w:pPr>
              <w:spacing w:line="276" w:lineRule="auto"/>
              <w:jc w:val="both"/>
              <w:rPr>
                <w:sz w:val="24"/>
                <w:szCs w:val="24"/>
              </w:rPr>
            </w:pPr>
            <w:r w:rsidRPr="001253E9">
              <w:rPr>
                <w:sz w:val="24"/>
                <w:szCs w:val="24"/>
              </w:rPr>
              <w:t>In this analysis, I will examine the importance of collaborative efforts achieved through multi-agency working. I will highlight how various professionals contributed to a deeper understanding of the situation and aided in informed decision-making. Additionally, this examination will integrate key social work theories that provide valuable insights into the complexities of decision-making in challenging, multifaceted scenarios.</w:t>
            </w:r>
          </w:p>
          <w:p w14:paraId="245BA9E0" w14:textId="77777777" w:rsidR="001253E9" w:rsidRPr="001253E9" w:rsidRDefault="001253E9" w:rsidP="001253E9">
            <w:pPr>
              <w:spacing w:line="276" w:lineRule="auto"/>
              <w:jc w:val="both"/>
              <w:rPr>
                <w:sz w:val="24"/>
                <w:szCs w:val="24"/>
              </w:rPr>
            </w:pPr>
            <w:r w:rsidRPr="001253E9">
              <w:rPr>
                <w:sz w:val="24"/>
                <w:szCs w:val="24"/>
              </w:rPr>
              <w:t>Using Gibbs Reflective Cycle as a framework for reflection can enhance understanding of personal experiences and foster ongoing personal and professional development. This structured approach enables critical evaluation of one’s practice, highlights areas for improvement, and uncovers opportunities for future learning within the field of social work.</w:t>
            </w:r>
          </w:p>
          <w:p w14:paraId="6B90B9F5" w14:textId="77777777" w:rsidR="001253E9" w:rsidRPr="001253E9" w:rsidRDefault="001253E9" w:rsidP="001253E9">
            <w:pPr>
              <w:spacing w:line="276" w:lineRule="auto"/>
              <w:jc w:val="both"/>
              <w:rPr>
                <w:b/>
                <w:sz w:val="24"/>
                <w:szCs w:val="24"/>
              </w:rPr>
            </w:pPr>
            <w:r w:rsidRPr="001253E9">
              <w:rPr>
                <w:sz w:val="24"/>
                <w:szCs w:val="24"/>
              </w:rPr>
              <w:t xml:space="preserve">A referral had been made to assess person 2’s care and support needs and to identify any potential risks. Person 2’s mental health had started to deteriorate, and there were concerns </w:t>
            </w:r>
            <w:r w:rsidRPr="001253E9">
              <w:rPr>
                <w:sz w:val="24"/>
                <w:szCs w:val="24"/>
              </w:rPr>
              <w:lastRenderedPageBreak/>
              <w:t xml:space="preserve">that Person 2 was experiencing breakthrough symptoms in their mental health due to the stress of the situation and perceived pressure from the placement and their family.  </w:t>
            </w:r>
          </w:p>
          <w:p w14:paraId="2A3AE610" w14:textId="77777777" w:rsidR="001253E9" w:rsidRPr="001253E9" w:rsidRDefault="001253E9" w:rsidP="001253E9">
            <w:pPr>
              <w:spacing w:line="276" w:lineRule="auto"/>
              <w:jc w:val="both"/>
              <w:rPr>
                <w:sz w:val="24"/>
                <w:szCs w:val="24"/>
              </w:rPr>
            </w:pPr>
            <w:r w:rsidRPr="001253E9">
              <w:rPr>
                <w:sz w:val="24"/>
                <w:szCs w:val="24"/>
              </w:rPr>
              <w:t xml:space="preserve">The placement manager and a family member had raised concerns about individual 2. It was felt that 2 was being taken advantage of by someone 2 considered a friend. Unfortunately, this friend is well known in the area for taking advantage of people who are vulnerable and has a long history of drug use and theft of property. Individual 2 had been giving their friend a substantial amount of money, leaving themselves short of money to pay for their own daily needs. Refusing to take daily medication, not eating or drinking and refusing to interact with staff members and the Community Mental Health Team (CMHT). </w:t>
            </w:r>
          </w:p>
          <w:p w14:paraId="3098C99B" w14:textId="77777777" w:rsidR="001253E9" w:rsidRPr="001253E9" w:rsidRDefault="001253E9" w:rsidP="001253E9">
            <w:pPr>
              <w:spacing w:line="276" w:lineRule="auto"/>
              <w:jc w:val="both"/>
              <w:rPr>
                <w:bCs/>
                <w:sz w:val="24"/>
                <w:szCs w:val="24"/>
              </w:rPr>
            </w:pPr>
            <w:r w:rsidRPr="001253E9">
              <w:rPr>
                <w:sz w:val="24"/>
                <w:szCs w:val="24"/>
              </w:rPr>
              <w:t xml:space="preserve">Individual 2 lives in a semi-rural area with a higher proportion of Welsh speakers. In my initial contact, I asked 2 whether they would prefer the assessment to be carried out in Welsh or another preferred language. It is the right of an individual in Wales to have any interactions in the language of their choice. </w:t>
            </w:r>
            <w:r w:rsidRPr="001253E9">
              <w:rPr>
                <w:bCs/>
                <w:sz w:val="24"/>
                <w:szCs w:val="24"/>
              </w:rPr>
              <w:t xml:space="preserve">The assessment was offered in the Welsh language as per “The Active Offer”, More than Just Words (Welsh Government 2022-2027). Individual 2 thanked me for the offer, but confirmed that they only spoke English. It is essential for an individual to be able to express themselves in their own language, as important nuances in our emotions are expressed in our native language.  </w:t>
            </w:r>
          </w:p>
          <w:p w14:paraId="707B1852" w14:textId="77777777" w:rsidR="001253E9" w:rsidRPr="001253E9" w:rsidRDefault="001253E9" w:rsidP="001253E9">
            <w:pPr>
              <w:spacing w:line="276" w:lineRule="auto"/>
              <w:jc w:val="both"/>
              <w:rPr>
                <w:sz w:val="24"/>
                <w:szCs w:val="24"/>
              </w:rPr>
            </w:pPr>
            <w:r w:rsidRPr="001253E9">
              <w:rPr>
                <w:sz w:val="24"/>
                <w:szCs w:val="24"/>
              </w:rPr>
              <w:t>Individual 2 does not like to speak on the phone for long periods, so I arranged the visit for the following day, stating that we could discuss some concerns raised and that I was there to hear their point of view and see if I could help. During the initial telephone conversation, it's important to recognise that I won't be able to observe the individual's body language. This lack of visual cues could make it harder to foster open communication. Additionally, without non-verbal feedback, the individual may require extra time to formulate their responses (Koprowska, 2010).</w:t>
            </w:r>
          </w:p>
          <w:p w14:paraId="3D60F9E6" w14:textId="77777777" w:rsidR="001253E9" w:rsidRPr="001253E9" w:rsidRDefault="001253E9" w:rsidP="001253E9">
            <w:pPr>
              <w:spacing w:line="276" w:lineRule="auto"/>
              <w:jc w:val="both"/>
              <w:rPr>
                <w:sz w:val="24"/>
                <w:szCs w:val="24"/>
              </w:rPr>
            </w:pPr>
            <w:r w:rsidRPr="001253E9">
              <w:rPr>
                <w:sz w:val="24"/>
                <w:szCs w:val="24"/>
              </w:rPr>
              <w:t xml:space="preserve">I explained about the “What Matters Conversation” and, if needed, an assessment of care and support needs, as advocated in the Social Services and Well-being (Wales) Act 2014 (SSWBWA, 2014). </w:t>
            </w:r>
          </w:p>
          <w:p w14:paraId="4C5FCCFD" w14:textId="77777777" w:rsidR="001253E9" w:rsidRPr="001253E9" w:rsidRDefault="001253E9" w:rsidP="001253E9">
            <w:pPr>
              <w:spacing w:line="276" w:lineRule="auto"/>
              <w:jc w:val="both"/>
              <w:rPr>
                <w:sz w:val="24"/>
                <w:szCs w:val="24"/>
              </w:rPr>
            </w:pPr>
            <w:r w:rsidRPr="001253E9">
              <w:rPr>
                <w:sz w:val="24"/>
                <w:szCs w:val="24"/>
              </w:rPr>
              <w:t xml:space="preserve">On arrival at the visit, I engaged person 2 in small talk and briefly introduced myself and the team I worked with. I asked person 2 to explain their understanding of the situation and how they thought I might be able to help. I tend to favour the narrative approach, which encourages individuals to articulate their experiences, enabling discussion of both positive outcomes and potential alternative actions for similar situations in the future. While some may argue that this methodology is becoming less relevant in the context of social work due to emphasis on form-filling (Maclean, 2015), it remains valuable for obtaining a comprehensive understanding of an individual's circumstances. Trevithick (2012) highlights the significance of individual commitment and collaboration in identifying effective approaches through reflection and evaluation, and this can only be achieved by understanding the individual’s perspective and working together to achieve the identified outcomes. </w:t>
            </w:r>
          </w:p>
          <w:p w14:paraId="1247D6FC" w14:textId="77777777" w:rsidR="001253E9" w:rsidRPr="001253E9" w:rsidRDefault="001253E9" w:rsidP="001253E9">
            <w:pPr>
              <w:spacing w:line="276" w:lineRule="auto"/>
              <w:jc w:val="both"/>
              <w:rPr>
                <w:sz w:val="24"/>
                <w:szCs w:val="24"/>
              </w:rPr>
            </w:pPr>
            <w:r w:rsidRPr="001253E9">
              <w:rPr>
                <w:sz w:val="24"/>
                <w:szCs w:val="24"/>
              </w:rPr>
              <w:t xml:space="preserve">Person 2 stated that they were unhappy in the current placement and that the semi-rural location was too quiet for them. They had not managed to integrate into the community and </w:t>
            </w:r>
            <w:r w:rsidRPr="001253E9">
              <w:rPr>
                <w:sz w:val="24"/>
                <w:szCs w:val="24"/>
              </w:rPr>
              <w:lastRenderedPageBreak/>
              <w:t>wanted to return to the town where they had lived most of their lives. They indicated that this additional stressor was making them feel isolated and concerned about losing contact with former friends. Rural areas encounter distinct challenges that set them apart from urban environments. A significant concern is the blurring of work and personal life, which can increase stress among residents. Moreover, transportation often presents substantial obstacles in accessing essential services, as public transport options may be limited. Additionally, services available in rural regions can be fragmented, resulting in a lack of comprehensive support for individuals in need (Pierson, 2016). Poverty remains a significant challenge in both urban and rural areas across Wales. According to the Welsh Index of Multiple Deprivation (WIMD) from 2019 (Gov. Wales, 2019), specific regions in Wales are consistently identified as some of the most deprived in the country. This index assesses a range of critical factors, including income, health, education, housing, and access to essential services, to determine the minimum requirements necessary for individuals and families to thrive (Miller &amp; Hughes, 2019).</w:t>
            </w:r>
          </w:p>
          <w:p w14:paraId="690F498D" w14:textId="77777777" w:rsidR="001253E9" w:rsidRPr="001253E9" w:rsidRDefault="001253E9" w:rsidP="001253E9">
            <w:pPr>
              <w:spacing w:line="276" w:lineRule="auto"/>
              <w:jc w:val="both"/>
              <w:rPr>
                <w:sz w:val="24"/>
                <w:szCs w:val="24"/>
              </w:rPr>
            </w:pPr>
          </w:p>
          <w:p w14:paraId="0A85956B" w14:textId="77777777" w:rsidR="001253E9" w:rsidRPr="001253E9" w:rsidRDefault="001253E9" w:rsidP="001253E9">
            <w:pPr>
              <w:spacing w:line="276" w:lineRule="auto"/>
              <w:jc w:val="both"/>
              <w:rPr>
                <w:sz w:val="24"/>
                <w:szCs w:val="24"/>
              </w:rPr>
            </w:pPr>
            <w:r w:rsidRPr="001253E9">
              <w:rPr>
                <w:sz w:val="24"/>
                <w:szCs w:val="24"/>
              </w:rPr>
              <w:t>In the discussion about the concerns raised by the placement and family, person 2 became quite agitated and felt that it was no one else's business what they did with their money. I spoke with person 2 at length about their previous history and how it had led them to live in a supported placement. Person 2 showed some insight into their level of independence and agreed at the time that the placement would be good for increasing their skills. However, they were unhappy with the number of restrictions and rules.</w:t>
            </w:r>
          </w:p>
          <w:p w14:paraId="41C1F2A0" w14:textId="77777777" w:rsidR="001253E9" w:rsidRPr="001253E9" w:rsidRDefault="001253E9" w:rsidP="001253E9">
            <w:pPr>
              <w:spacing w:line="276" w:lineRule="auto"/>
              <w:jc w:val="both"/>
              <w:rPr>
                <w:b/>
                <w:bCs/>
                <w:sz w:val="24"/>
                <w:szCs w:val="24"/>
              </w:rPr>
            </w:pPr>
            <w:r w:rsidRPr="001253E9">
              <w:rPr>
                <w:sz w:val="24"/>
                <w:szCs w:val="24"/>
              </w:rPr>
              <w:t xml:space="preserve">It is believed by the family and CMHTs that previous engagement with this friend has led to a deterioration in mental health, self-neglect, and non-compliance with medication, leading to repeated hospital admissions. However, person 2 felt that others' interference led to his deterioration, and that his friendship was genuine. Person 2 was aware that the friend was a sex worker and dependent on substances, and felt that any good friend would help someone out with money if they needed it. </w:t>
            </w:r>
            <w:r w:rsidRPr="001253E9">
              <w:rPr>
                <w:sz w:val="24"/>
                <w:szCs w:val="24"/>
              </w:rPr>
              <w:tab/>
            </w:r>
            <w:r w:rsidRPr="001253E9">
              <w:rPr>
                <w:sz w:val="24"/>
                <w:szCs w:val="24"/>
              </w:rPr>
              <w:tab/>
            </w:r>
            <w:r w:rsidRPr="001253E9">
              <w:rPr>
                <w:sz w:val="24"/>
                <w:szCs w:val="24"/>
              </w:rPr>
              <w:tab/>
            </w:r>
          </w:p>
          <w:p w14:paraId="4885CC46" w14:textId="77777777" w:rsidR="001253E9" w:rsidRPr="001253E9" w:rsidRDefault="001253E9" w:rsidP="001253E9">
            <w:pPr>
              <w:spacing w:line="276" w:lineRule="auto"/>
              <w:jc w:val="both"/>
              <w:rPr>
                <w:sz w:val="24"/>
                <w:szCs w:val="24"/>
              </w:rPr>
            </w:pPr>
            <w:r w:rsidRPr="001253E9">
              <w:rPr>
                <w:sz w:val="24"/>
                <w:szCs w:val="24"/>
              </w:rPr>
              <w:t xml:space="preserve">Person 2 agreed to work with me to create a budget to ensure they had enough money to cover their essential living expenses and to utilise the support available at the placement. We agreed that they would engage with the CMHT to see if any improvements to the medication could alleviate some of the breakthrough symptoms, and for me to make more enquiries regarding his relationship with his friend, so long as I did not take action without their permission. I explained that I would need consent to share information, in line with the Information Commissioner's Office (2021) and the Data Protection Act 2018 (Legislation.gov.uk, 2018). Moreover, I would be speaking with the CMHT to gain a more in-depth insight into person 2’s mental health history and read the measures paperwork, Mental Health (Wales) Measures 2010. </w:t>
            </w:r>
          </w:p>
          <w:p w14:paraId="4FFA85B3" w14:textId="77777777" w:rsidR="001253E9" w:rsidRPr="001253E9" w:rsidRDefault="001253E9" w:rsidP="001253E9">
            <w:pPr>
              <w:spacing w:line="276" w:lineRule="auto"/>
              <w:jc w:val="both"/>
              <w:rPr>
                <w:sz w:val="24"/>
                <w:szCs w:val="24"/>
              </w:rPr>
            </w:pPr>
            <w:r w:rsidRPr="001253E9">
              <w:rPr>
                <w:sz w:val="24"/>
                <w:szCs w:val="24"/>
              </w:rPr>
              <w:t xml:space="preserve">Enhancing critical thinking skills can be achieved through the adoption of a Solution-Focused Approach, as outlined by De Shazer (1985) and further explored by Maclean (2016). This methodology aligns with the principles of SSWBA14, emphasising the individual's unique </w:t>
            </w:r>
            <w:r w:rsidRPr="001253E9">
              <w:rPr>
                <w:sz w:val="24"/>
                <w:szCs w:val="24"/>
              </w:rPr>
              <w:lastRenderedPageBreak/>
              <w:t>expertise regarding their personal circumstances. One practical tool within this approach is GEMS questioning, which facilitates goal setting, identification of past successes, and clarification of desired outcomes (Maynard, 2019). This approach is particularly applicable in Wales, given its diverse linguistic, rural, and cultural landscape. It is important to recognise that interventions effective for one individual may not suit another, especially those facing transportation challenges or social isolation. Thus, employing a critical thinking framework to carefully assess individual needs is essential.</w:t>
            </w:r>
          </w:p>
          <w:p w14:paraId="58E80FEC" w14:textId="77777777" w:rsidR="001253E9" w:rsidRPr="001253E9" w:rsidRDefault="001253E9" w:rsidP="001253E9">
            <w:pPr>
              <w:spacing w:line="276" w:lineRule="auto"/>
              <w:jc w:val="both"/>
              <w:rPr>
                <w:sz w:val="24"/>
                <w:szCs w:val="24"/>
              </w:rPr>
            </w:pPr>
            <w:r w:rsidRPr="001253E9">
              <w:rPr>
                <w:sz w:val="24"/>
                <w:szCs w:val="24"/>
              </w:rPr>
              <w:t>Within supervision, it was agreed that I would take a safeguarding approach to the situation. After speaking with the safeguarding team, it was advised that case management through multidisciplinary team meetings would ensure everyone involved took an active role in managing the risks to person 2. If the case had been escalated to safeguarding, then an adult at risk of abuse or neglect should have a care and support protection plan created by practitioners in a strategy meeting. This plan must adhere to Section 54 of the Social Services and Well-being Act (Wales) 2014 and be reviewed regularly. If an adult protection conference is held, the plan should be reassessed to ensure its effectiveness. The primary goal of the plan is to remove or reduce risk while focusing on protection and risk management to help the individual achieve their personal outcomes.</w:t>
            </w:r>
          </w:p>
          <w:p w14:paraId="59B7C027" w14:textId="77777777" w:rsidR="001253E9" w:rsidRPr="001253E9" w:rsidRDefault="001253E9" w:rsidP="001253E9">
            <w:pPr>
              <w:spacing w:line="276" w:lineRule="auto"/>
              <w:jc w:val="both"/>
              <w:rPr>
                <w:sz w:val="24"/>
                <w:szCs w:val="24"/>
              </w:rPr>
            </w:pPr>
            <w:r w:rsidRPr="001253E9">
              <w:rPr>
                <w:sz w:val="24"/>
                <w:szCs w:val="24"/>
              </w:rPr>
              <w:t>The Logan Mwangi Child Practice Review of 2022 highlights the difficulties social service workers face in fully engaging with multi-agency collaborations. According to Samuel (2022), the working environments of social workers often lack opportunities for case-by-case reflective practice, primarily due to organisational pressure. This lack of reflective practice can undermine professional boundaries in relationships between social workers and the individuals they serve, making it difficult to protect and respect the vulnerable positions of those who need support. Consequently, time and budget constraints tend to become the primary focus (Preston &amp; Samuel, 2021).</w:t>
            </w:r>
          </w:p>
          <w:p w14:paraId="795375D3" w14:textId="77777777" w:rsidR="001253E9" w:rsidRPr="001253E9" w:rsidRDefault="001253E9" w:rsidP="001253E9">
            <w:pPr>
              <w:spacing w:line="276" w:lineRule="auto"/>
              <w:jc w:val="both"/>
              <w:rPr>
                <w:sz w:val="24"/>
                <w:szCs w:val="24"/>
              </w:rPr>
            </w:pPr>
            <w:r w:rsidRPr="001253E9">
              <w:rPr>
                <w:sz w:val="24"/>
                <w:szCs w:val="24"/>
              </w:rPr>
              <w:t>Historically, safeguarding efforts have primarily focused on children and young people. However, a pivotal moment occurred in 2011 when a Panorama undercover investigation unveiled serious cases of abuse and neglect involving adults with learning difficulties at Winterbourne View, a privately operated hospital owned by Castle Beck Care. This revelation prompted significant changes in the approach to safeguarding, particularly in Wales, following the Department of Health's 2012 'Transforming Care' report. This report recommended that safeguarding adults and children be accorded equal importance in Wales (Gov. Wales, 2013).</w:t>
            </w:r>
          </w:p>
          <w:p w14:paraId="11DC21CE" w14:textId="77777777" w:rsidR="001253E9" w:rsidRPr="001253E9" w:rsidRDefault="001253E9" w:rsidP="001253E9">
            <w:pPr>
              <w:spacing w:line="276" w:lineRule="auto"/>
              <w:jc w:val="both"/>
              <w:rPr>
                <w:sz w:val="24"/>
                <w:szCs w:val="24"/>
              </w:rPr>
            </w:pPr>
            <w:r w:rsidRPr="001253E9">
              <w:rPr>
                <w:sz w:val="24"/>
                <w:szCs w:val="24"/>
              </w:rPr>
              <w:t>In contrast to England's approach, which revised its Care Act in 2014 while keeping separate legislation for adult and children's services, the Welsh government charted a different course by enacting the Social Services and Well-being (Wales) Act 2014 (SSWBWA14). This decision stemmed from an awareness of the unsustainable challenges posed by an ageing population, coupled with limited resources available to meet increasing demand (Douglas &amp; Barlow, 2023).</w:t>
            </w:r>
          </w:p>
          <w:p w14:paraId="4509A2F1" w14:textId="77777777" w:rsidR="001253E9" w:rsidRPr="001253E9" w:rsidRDefault="001253E9" w:rsidP="001253E9">
            <w:pPr>
              <w:spacing w:line="276" w:lineRule="auto"/>
              <w:jc w:val="both"/>
              <w:rPr>
                <w:sz w:val="24"/>
                <w:szCs w:val="24"/>
              </w:rPr>
            </w:pPr>
            <w:r w:rsidRPr="001253E9">
              <w:rPr>
                <w:sz w:val="24"/>
                <w:szCs w:val="24"/>
              </w:rPr>
              <w:t xml:space="preserve">This legislative reform represented a significant shift from a welfare-centric to a well-being-focused framework. Wallace (2019) highlights that well-being encompasses a </w:t>
            </w:r>
            <w:r w:rsidRPr="001253E9">
              <w:rPr>
                <w:sz w:val="24"/>
                <w:szCs w:val="24"/>
              </w:rPr>
              <w:lastRenderedPageBreak/>
              <w:t>multidimensional perspective for assessing and understanding social progress, unlike the welfare model, which primarily relies on economic criteria for evaluation (Heins, 2015). Additionally, Webb (2006) notes a transformation in the field of social work, indicating a movement away from foundational welfare values and needs-based responses toward more neoliberal policies that emphasise risk management and encourage more defensive practices.</w:t>
            </w:r>
          </w:p>
          <w:p w14:paraId="32DDF7A8" w14:textId="77777777" w:rsidR="005859BD" w:rsidRPr="005859BD" w:rsidRDefault="001253E9" w:rsidP="005859BD">
            <w:pPr>
              <w:spacing w:line="276" w:lineRule="auto"/>
              <w:jc w:val="both"/>
              <w:rPr>
                <w:sz w:val="24"/>
                <w:szCs w:val="24"/>
              </w:rPr>
            </w:pPr>
            <w:r w:rsidRPr="001253E9">
              <w:rPr>
                <w:sz w:val="24"/>
                <w:szCs w:val="24"/>
              </w:rPr>
              <w:t xml:space="preserve">Part 7 of the </w:t>
            </w:r>
            <w:hyperlink r:id="rId11" w:tgtFrame="_blank" w:history="1">
              <w:r w:rsidRPr="001253E9">
                <w:rPr>
                  <w:sz w:val="24"/>
                  <w:szCs w:val="24"/>
                </w:rPr>
                <w:t>Social Services and Well-being (Wales) Act 2014</w:t>
              </w:r>
            </w:hyperlink>
            <w:r w:rsidRPr="001253E9">
              <w:rPr>
                <w:sz w:val="24"/>
                <w:szCs w:val="24"/>
              </w:rPr>
              <w:t xml:space="preserve"> focuses entirely on safeguarding children and adults from abuse or neglect. It sets clear legal duties for local councils, the NHS, the police, and other groups to protect people who cannot protect themselves. An adult at risk of abuse or neglect should have a care and support protection plan developed by a strategy group. Key points include: The plan must comply with Section 54 of the Social Services and Well-being Act (Wales) 2014. It should be regularly reviewed, especially if an adult protection conference is held. The plan aims to reduce the risk of abuse or neglect and should emphasise protection and risk management to help the individual achieve their personal outcomes. Actions may include ensuring future safety, providing support or therapy, modifying services, ongoing risk management, and support for seeking justice. The plan must be person-centred, outcome-focused, proportionate with the least restrictive actions, and regularly reviewed. </w:t>
            </w:r>
            <w:r w:rsidR="005859BD" w:rsidRPr="005859BD">
              <w:rPr>
                <w:sz w:val="24"/>
                <w:szCs w:val="24"/>
              </w:rPr>
              <w:t xml:space="preserve">In England, adult safeguarding is primarily regulated by the Care Act 2014, which establishes a statutory duty for local authorities to intervene when there is a reasonable suspicion that an adult with care and support needs is at risk of abuse or neglect. This framework explicitly recognises self-neglect as a valid concern that may trigger a statutory inquiry. In contrast, Wales follows the Social Services and Well-being (Wales) Act 2014, and it specifically excludes self-neglect from its core definitions of an "adult at risk." </w:t>
            </w:r>
          </w:p>
          <w:p w14:paraId="0872BE5A" w14:textId="73C8B071" w:rsidR="005859BD" w:rsidRPr="00CF32DB" w:rsidRDefault="005859BD" w:rsidP="005859BD">
            <w:pPr>
              <w:spacing w:line="276" w:lineRule="auto"/>
              <w:jc w:val="both"/>
              <w:rPr>
                <w:sz w:val="32"/>
                <w:szCs w:val="32"/>
              </w:rPr>
            </w:pPr>
            <w:r w:rsidRPr="005859BD">
              <w:rPr>
                <w:sz w:val="24"/>
                <w:szCs w:val="24"/>
              </w:rPr>
              <w:t>Further distinguishing the systems, England has set up Safeguarding Adults Boards (SABs) at the local authority level, while Wales employs regional safeguarding boards that cover multiple local authorities and lack independent chairs, alongside national procedures applicable to all 22 authorities. Under Section 42 of England's Care Act, local authorities are required to make inquiries if an adult with care and support needs is unable to protect themselves due to abuse or neglect. This structured approach underscores the distinct legislative frameworks for safeguarding adults across England, Wales, and Scotland, which rely on the Adult Support and Protection (Scotland) Act 2007.</w:t>
            </w:r>
            <w:r w:rsidR="00CF32DB">
              <w:rPr>
                <w:sz w:val="24"/>
                <w:szCs w:val="24"/>
              </w:rPr>
              <w:t xml:space="preserve"> </w:t>
            </w:r>
            <w:r w:rsidR="00CF32DB" w:rsidRPr="00CF32DB">
              <w:rPr>
                <w:sz w:val="24"/>
                <w:szCs w:val="24"/>
              </w:rPr>
              <w:t>In contrast</w:t>
            </w:r>
            <w:r w:rsidR="00CF32DB" w:rsidRPr="00CF32DB">
              <w:rPr>
                <w:sz w:val="32"/>
                <w:szCs w:val="32"/>
              </w:rPr>
              <w:t xml:space="preserve">, </w:t>
            </w:r>
            <w:r w:rsidR="00CF32DB" w:rsidRPr="00CF32DB">
              <w:rPr>
                <w:sz w:val="24"/>
                <w:szCs w:val="24"/>
              </w:rPr>
              <w:t xml:space="preserve">Egypt's approach to adult safeguarding is distinct from the consolidated frameworks </w:t>
            </w:r>
            <w:r w:rsidR="00CF32DB">
              <w:rPr>
                <w:sz w:val="24"/>
                <w:szCs w:val="24"/>
              </w:rPr>
              <w:t>found in some Western countries, as it lacks a single</w:t>
            </w:r>
            <w:r w:rsidR="00CF32DB" w:rsidRPr="00CF32DB">
              <w:rPr>
                <w:sz w:val="24"/>
                <w:szCs w:val="24"/>
              </w:rPr>
              <w:t xml:space="preserve"> "Safeguarding Adults Act." Instead, the country's protections are based on various national laws aimed at specific vulnerable populations, coupled with legal responsibilities that </w:t>
            </w:r>
            <w:r w:rsidR="00CF32DB">
              <w:rPr>
                <w:sz w:val="24"/>
                <w:szCs w:val="24"/>
              </w:rPr>
              <w:t>emphasise</w:t>
            </w:r>
            <w:r w:rsidR="00CF32DB" w:rsidRPr="00CF32DB">
              <w:rPr>
                <w:sz w:val="24"/>
                <w:szCs w:val="24"/>
              </w:rPr>
              <w:t xml:space="preserve"> family involvement.</w:t>
            </w:r>
          </w:p>
          <w:p w14:paraId="4DB84FE6" w14:textId="77777777" w:rsidR="005859BD" w:rsidRPr="001253E9" w:rsidRDefault="005859BD" w:rsidP="001253E9">
            <w:pPr>
              <w:spacing w:line="276" w:lineRule="auto"/>
              <w:jc w:val="both"/>
              <w:rPr>
                <w:sz w:val="24"/>
                <w:szCs w:val="24"/>
              </w:rPr>
            </w:pPr>
          </w:p>
          <w:p w14:paraId="71E4820A" w14:textId="77777777" w:rsidR="001253E9" w:rsidRPr="001253E9" w:rsidRDefault="001253E9" w:rsidP="001253E9">
            <w:pPr>
              <w:spacing w:line="276" w:lineRule="auto"/>
              <w:jc w:val="both"/>
              <w:rPr>
                <w:sz w:val="24"/>
                <w:szCs w:val="24"/>
              </w:rPr>
            </w:pPr>
            <w:r w:rsidRPr="001253E9">
              <w:rPr>
                <w:sz w:val="24"/>
                <w:szCs w:val="24"/>
              </w:rPr>
              <w:t xml:space="preserve">Within the monthly MDTs, there were clearly conflicting views on the situation, the family and placement believing that person 2 was being exploited and needing safeguarding from the identified friend. Where there is a long history of this friend taking advantage of person 2, along with others, and in turn person 2 then having a deterioration in their mental health. It </w:t>
            </w:r>
            <w:r w:rsidRPr="001253E9">
              <w:rPr>
                <w:sz w:val="24"/>
                <w:szCs w:val="24"/>
              </w:rPr>
              <w:lastRenderedPageBreak/>
              <w:t>was also felt that person 2 lacked the capacity to make financial decisions and to maintain contact with others. The local police spoke with person 2, but person 2 did not want to file a complaint or report an issue. The CMHT agreed to an appointment with the psychiatrist and to monitor person 2’s medication. A referral was made to the occupational therapist to assist in increasing and assessing living skills. It was agreed that I would continue building my relationship with person 2 and working with them to reduce the risks. When person 2’s mental health had become more stable, it was agreed that I would complete a capacity assessment for managing finances. In analysing the dynamics of a multidisciplinary team, it's clear that team members employ various approaches that shape the direction of discussions. Some team members have mental health training, which often steers conversations towards clinical health topics. Conversely, other members focus on the social dimensions of a person's situation. Ideally, a balanced approach is recommended, integrating both clinical and social factors to address the holistic aspects of an individual's circumstances. This comprehensive perspective acknowledges that social influences can create barriers to well-being and emphasises the importance of incorporating both health-related and social considerations in care strategies (Maclean &amp; Harrison, 2015). My responsibility was to maintain focus on individual 2's perspective during the MDT’s discussions while ensuring that professional concerns regarding exploitation and self-neglect were adequately addressed.</w:t>
            </w:r>
          </w:p>
          <w:p w14:paraId="665D9D49" w14:textId="7474073D" w:rsidR="001253E9" w:rsidRPr="001253E9" w:rsidRDefault="001253E9" w:rsidP="001253E9">
            <w:pPr>
              <w:spacing w:line="276" w:lineRule="auto"/>
              <w:jc w:val="both"/>
              <w:rPr>
                <w:sz w:val="24"/>
                <w:szCs w:val="24"/>
              </w:rPr>
            </w:pPr>
            <w:r w:rsidRPr="001253E9">
              <w:rPr>
                <w:sz w:val="24"/>
                <w:szCs w:val="24"/>
              </w:rPr>
              <w:t>When assessing individual needs and outcomes, it’s crucial to consider the associated risks. The Social Care Wales approach to positive risk-taking (2023) advocates a shift in social work from paternalistic protection to empowerment, highlighting key principles</w:t>
            </w:r>
            <w:r w:rsidR="00933F57">
              <w:rPr>
                <w:sz w:val="24"/>
                <w:szCs w:val="24"/>
              </w:rPr>
              <w:t xml:space="preserve"> such as</w:t>
            </w:r>
            <w:r w:rsidRPr="001253E9">
              <w:rPr>
                <w:sz w:val="24"/>
                <w:szCs w:val="24"/>
              </w:rPr>
              <w:t xml:space="preserve"> Autonomy &amp; Empowerment. This principle emphasises the importance of respecting each individual's right to make their own choices and take charge of their lives. Strengths-Based Approach: It focuses on identifying and utilising a person's strengths, resilience, and community resources to foster personal growth and development. Shared Decision-Making: This is a collaborative process in which the individual, along with their family and advocates, discusses and weighs the potential risks and benefits of any decision. Least Restrictive Practice: The goal here is to support individuals in engaging in life-enhancing activities while ensuring safety, minimising unnecessary restrictions whenever possible. Together, these tenets aim to create a more supportive and respectful environment for individuals, promoting their well-being and autonomy.</w:t>
            </w:r>
          </w:p>
          <w:p w14:paraId="3067E9D7" w14:textId="77777777" w:rsidR="001253E9" w:rsidRPr="001253E9" w:rsidRDefault="001253E9" w:rsidP="001253E9">
            <w:pPr>
              <w:spacing w:line="276" w:lineRule="auto"/>
              <w:jc w:val="both"/>
              <w:rPr>
                <w:sz w:val="24"/>
                <w:szCs w:val="24"/>
              </w:rPr>
            </w:pPr>
            <w:r w:rsidRPr="001253E9">
              <w:rPr>
                <w:sz w:val="24"/>
                <w:szCs w:val="24"/>
              </w:rPr>
              <w:t>Eliminating all risks can lead to a compromised quality of life, decreased confidence, and feelings of isolation. On the other hand, approaching risks with a constructive mindset allows individuals to gain valuable insights, enhance self-awareness, and maintain meaningful engagement within their communities. Embracing risk can contribute to personal growth and foster social connections.</w:t>
            </w:r>
          </w:p>
          <w:p w14:paraId="1D829B4C" w14:textId="77777777" w:rsidR="001253E9" w:rsidRPr="001253E9" w:rsidRDefault="001253E9" w:rsidP="001253E9">
            <w:pPr>
              <w:spacing w:line="276" w:lineRule="auto"/>
              <w:jc w:val="both"/>
              <w:rPr>
                <w:color w:val="auto"/>
                <w:sz w:val="24"/>
                <w:szCs w:val="24"/>
              </w:rPr>
            </w:pPr>
            <w:r w:rsidRPr="001253E9">
              <w:rPr>
                <w:sz w:val="24"/>
                <w:szCs w:val="24"/>
              </w:rPr>
              <w:t xml:space="preserve">However, it's important to acknowledge the ethical considerations involved. Social workers face the challenge of balancing their legal duty of care and safeguarding responsibilities with individuals' human rights. This necessitates careful, individualised risk assessments along with thorough documentation to ensure transparency and accountability. The aim is to </w:t>
            </w:r>
            <w:r w:rsidRPr="001253E9">
              <w:rPr>
                <w:sz w:val="24"/>
                <w:szCs w:val="24"/>
              </w:rPr>
              <w:lastRenderedPageBreak/>
              <w:t xml:space="preserve">empower individuals to lead self-directed lives while minimising the likelihood of serious harm. For comprehensive frameworks and guidance on this topic, practitioners are encouraged to consult resources such as the </w:t>
            </w:r>
            <w:r w:rsidRPr="001253E9">
              <w:rPr>
                <w:color w:val="auto"/>
                <w:sz w:val="24"/>
                <w:szCs w:val="24"/>
              </w:rPr>
              <w:t>Social Care Wales Positive Risk Guidance (2023).</w:t>
            </w:r>
          </w:p>
          <w:p w14:paraId="368C834F" w14:textId="77777777" w:rsidR="001253E9" w:rsidRPr="001253E9" w:rsidRDefault="001253E9" w:rsidP="001253E9">
            <w:pPr>
              <w:spacing w:line="276" w:lineRule="auto"/>
              <w:jc w:val="both"/>
              <w:rPr>
                <w:color w:val="auto"/>
                <w:sz w:val="24"/>
                <w:szCs w:val="24"/>
              </w:rPr>
            </w:pPr>
            <w:r w:rsidRPr="001253E9">
              <w:rPr>
                <w:sz w:val="24"/>
                <w:szCs w:val="24"/>
              </w:rPr>
              <w:t>My analysis of financial vulnerability, indicators of mental health relapse, and social isolation informed the decision to implement a proportionate risk-management plan instead of immediate safeguarding escalation. In accordance with the recommendations of the Mental Capacity Act (MCA) 2005, if person 2 is determined to lack the capacity to make decisions regarding their finances, the MCA will apply.</w:t>
            </w:r>
          </w:p>
          <w:p w14:paraId="4796393A" w14:textId="77777777" w:rsidR="001253E9" w:rsidRPr="001253E9" w:rsidRDefault="001253E9" w:rsidP="001253E9">
            <w:pPr>
              <w:spacing w:line="276" w:lineRule="auto"/>
              <w:jc w:val="both"/>
              <w:rPr>
                <w:sz w:val="24"/>
                <w:szCs w:val="24"/>
              </w:rPr>
            </w:pPr>
            <w:r w:rsidRPr="001253E9">
              <w:rPr>
                <w:sz w:val="24"/>
                <w:szCs w:val="24"/>
              </w:rPr>
              <w:t xml:space="preserve">I built a relationship over time, assisted person 2 in understanding how much money was being withdrawn from their bank account, and encouraged them to use the placement's support to help keep track of their finances. Person 2 has also been giving money to others and has been receiving text messages from their friend's associates asking for money. Once person 2 and I had a conversation around this, they deleted these phone numbers and stopped further contact, but were adamant that they would still give money to their friend within the limitations of their budget. </w:t>
            </w:r>
          </w:p>
          <w:p w14:paraId="691E4381" w14:textId="77777777" w:rsidR="001253E9" w:rsidRPr="001253E9" w:rsidRDefault="001253E9" w:rsidP="001253E9">
            <w:pPr>
              <w:spacing w:line="276" w:lineRule="auto"/>
              <w:jc w:val="both"/>
              <w:rPr>
                <w:sz w:val="24"/>
                <w:szCs w:val="24"/>
              </w:rPr>
            </w:pPr>
            <w:r w:rsidRPr="001253E9">
              <w:rPr>
                <w:sz w:val="24"/>
                <w:szCs w:val="24"/>
              </w:rPr>
              <w:t xml:space="preserve">Person 2 asserted their right to make personal choices regarding friendships and the amount of financial assistance they provided to others. This situation highlighted a significant tension between honouring individual autonomy and prioritising safety. This conflict is especially relevant in light of the Human Rights Act 1998 (HRA), particularly Article 8, which emphasises the right to respect for private life. Article 8 is specifically applicable to the member states of the Council of Europe. However, countries with authoritarian regimes, such as North Korea and Afghanistan, tend to broadly disregard established international human rights standards. Everyone in Wales is currently entitled to the rights under the European Convention on Human Rights (ECHR), the HRA, and EU law. Certain Welsh laws are interconnected with international human rights standards. The Government of Wales Act 2006 and the Wales Act 2017 establish that the Welsh Assembly is prohibited from enacting decisions or laws that conflict with human rights legislation. As a result, Welsh legislation has been crafted with adherence to these important human rights considerations in mind (Beven Foundation, ND). The ECHR has 46 member states with 16 articles. </w:t>
            </w:r>
          </w:p>
          <w:p w14:paraId="4910991C" w14:textId="77777777" w:rsidR="001253E9" w:rsidRPr="001253E9" w:rsidRDefault="001253E9" w:rsidP="001253E9">
            <w:pPr>
              <w:spacing w:line="276" w:lineRule="auto"/>
              <w:jc w:val="both"/>
              <w:rPr>
                <w:sz w:val="24"/>
                <w:szCs w:val="24"/>
              </w:rPr>
            </w:pPr>
            <w:r w:rsidRPr="001253E9">
              <w:rPr>
                <w:sz w:val="24"/>
                <w:szCs w:val="24"/>
              </w:rPr>
              <w:t>There are several important factors to consider when assessing person 2's situation. First, it is crucial to determine if person 2 is experiencing a mental health relapse and to understand what this typically manifests as for them. Additionally, one must investigate whether person 2's executive functioning skills have been affected by their circumstances. Another vital aspect is considering whether person 2 is making decisions that may appear unwise yet are consistent with their capacity for self-determination.</w:t>
            </w:r>
          </w:p>
          <w:p w14:paraId="1CCE9A92" w14:textId="77777777" w:rsidR="001253E9" w:rsidRPr="001253E9" w:rsidRDefault="001253E9" w:rsidP="001253E9">
            <w:pPr>
              <w:spacing w:line="276" w:lineRule="auto"/>
              <w:jc w:val="both"/>
              <w:rPr>
                <w:sz w:val="24"/>
                <w:szCs w:val="24"/>
              </w:rPr>
            </w:pPr>
            <w:r w:rsidRPr="001253E9">
              <w:rPr>
                <w:sz w:val="24"/>
                <w:szCs w:val="24"/>
              </w:rPr>
              <w:t xml:space="preserve">The principle of self-determination is fundamental in the field of social work, highlighting ethical concerns related to voluntary participation and the respect for individuals' rights to make their own choices. This principle is rooted in Kantian philosophy, which underscores the inherent equality of all individuals. As emphasised by Banks (2012), self-determination </w:t>
            </w:r>
            <w:r w:rsidRPr="001253E9">
              <w:rPr>
                <w:sz w:val="24"/>
                <w:szCs w:val="24"/>
              </w:rPr>
              <w:lastRenderedPageBreak/>
              <w:t>remains a central tenet of social work because it acknowledges and respects individuals' autonomy in decision-making.</w:t>
            </w:r>
          </w:p>
          <w:p w14:paraId="3D0C8CE2" w14:textId="77777777" w:rsidR="001253E9" w:rsidRPr="001253E9" w:rsidRDefault="001253E9" w:rsidP="001253E9">
            <w:pPr>
              <w:spacing w:line="276" w:lineRule="auto"/>
              <w:jc w:val="both"/>
              <w:rPr>
                <w:sz w:val="24"/>
                <w:szCs w:val="24"/>
              </w:rPr>
            </w:pPr>
            <w:r w:rsidRPr="001253E9">
              <w:rPr>
                <w:sz w:val="24"/>
                <w:szCs w:val="24"/>
              </w:rPr>
              <w:t>However, Doel (2016) presents a compelling viewpoint, arguing that systemic inequalities can limit the choices available to individuals. This raises a critical question about whether such limitations can genuinely be considered self-determination. Additionally, Thompson (2020) underscores the significance of authenticity for those receiving services, emphasising the need to take responsibility for one's actions and decisions.</w:t>
            </w:r>
          </w:p>
          <w:p w14:paraId="25859CA2" w14:textId="77777777" w:rsidR="001253E9" w:rsidRPr="001253E9" w:rsidRDefault="001253E9" w:rsidP="001253E9">
            <w:pPr>
              <w:spacing w:line="276" w:lineRule="auto"/>
              <w:jc w:val="both"/>
              <w:rPr>
                <w:sz w:val="24"/>
                <w:szCs w:val="24"/>
              </w:rPr>
            </w:pPr>
            <w:r w:rsidRPr="001253E9">
              <w:rPr>
                <w:sz w:val="24"/>
                <w:szCs w:val="24"/>
              </w:rPr>
              <w:t xml:space="preserve">It is essential to note that cultural differences and systemic inequality should not act as barriers to the decision-making process. The absence of a decision can be as impactful as making potentially harmful choices. In practice, social work decisions often revolve around the dual objectives of minimising harm and maximising benefits for individuals, which can at times be perceived as a power imbalance. Professional status in social work entails considerable responsibility and various ethical considerations. Professionalism is often associated with a position of authority, in which the social worker is expected to maintain expertise in their field (Banks, 2012). This dynamic can create a power imbalance that may conflict with core social work values, especially since the SSW BA14 directive emphasises that individuals are the true experts of their own lives. </w:t>
            </w:r>
          </w:p>
          <w:p w14:paraId="11D6C739" w14:textId="77777777" w:rsidR="001253E9" w:rsidRPr="001253E9" w:rsidRDefault="001253E9" w:rsidP="001253E9">
            <w:pPr>
              <w:spacing w:line="276" w:lineRule="auto"/>
              <w:jc w:val="both"/>
              <w:rPr>
                <w:sz w:val="24"/>
                <w:szCs w:val="24"/>
              </w:rPr>
            </w:pPr>
            <w:r w:rsidRPr="001253E9">
              <w:rPr>
                <w:sz w:val="24"/>
                <w:szCs w:val="24"/>
              </w:rPr>
              <w:t>However, the authority held by social workers can lead to beneficial outcomes when directed towards the populations they support and protect. It is important to recognise that the ethical responsibilities of professional social work can sometimes lead to conflicts and dilemmas for practitioners. Social workers frequently find themselves balancing the diverse needs of multiple individuals while serving as gatekeepers to limited resources, thereby creating additional power imbalances (Dole, 2016).</w:t>
            </w:r>
          </w:p>
          <w:p w14:paraId="77A59D69" w14:textId="77777777" w:rsidR="001253E9" w:rsidRPr="001253E9" w:rsidRDefault="001253E9" w:rsidP="001253E9">
            <w:pPr>
              <w:spacing w:line="276" w:lineRule="auto"/>
              <w:jc w:val="both"/>
              <w:rPr>
                <w:color w:val="auto"/>
                <w:sz w:val="24"/>
                <w:szCs w:val="24"/>
              </w:rPr>
            </w:pPr>
            <w:r w:rsidRPr="001253E9">
              <w:rPr>
                <w:color w:val="auto"/>
                <w:sz w:val="24"/>
                <w:szCs w:val="24"/>
              </w:rPr>
              <w:t>The development of supportive relationships is essential in social work and relies heavily on the effective use of self. Social workers must cultivate these relationships by employing various skills, such as empathy, active listening, open-ended questions, and a well-rounded communication style (Thompson, 2003). The concept of "using self" in social work is similar to the tools used by professionals in other fields and can serve as a powerful therapeutic resource when applied effectively.</w:t>
            </w:r>
          </w:p>
          <w:p w14:paraId="2794BED4" w14:textId="77777777" w:rsidR="001253E9" w:rsidRPr="001253E9" w:rsidRDefault="001253E9" w:rsidP="001253E9">
            <w:pPr>
              <w:spacing w:line="276" w:lineRule="auto"/>
              <w:jc w:val="both"/>
              <w:rPr>
                <w:color w:val="auto"/>
                <w:sz w:val="24"/>
                <w:szCs w:val="24"/>
              </w:rPr>
            </w:pPr>
            <w:r w:rsidRPr="001253E9">
              <w:rPr>
                <w:color w:val="auto"/>
                <w:sz w:val="24"/>
                <w:szCs w:val="24"/>
              </w:rPr>
              <w:t>Kaushik (2017) suggests that a person's authentic self is shaped by their socialisation and belief systems. This journal posits that recognising one’s own strengths and limitations is essential; only then can individuals recognise these qualities in others. Mindfulness, reflective practice, and ongoing review of plans and actions can help individuals further develop these skills. However, it’s important to acknowledge that self-development has its limitations, as not everyone can offer unconditional positive regard because of past beliefs and unconscious biases.</w:t>
            </w:r>
          </w:p>
          <w:p w14:paraId="1069A442" w14:textId="77777777" w:rsidR="001253E9" w:rsidRPr="001253E9" w:rsidRDefault="001253E9" w:rsidP="001253E9">
            <w:pPr>
              <w:spacing w:line="276" w:lineRule="auto"/>
              <w:jc w:val="both"/>
              <w:rPr>
                <w:sz w:val="24"/>
                <w:szCs w:val="24"/>
              </w:rPr>
            </w:pPr>
            <w:r w:rsidRPr="001253E9">
              <w:rPr>
                <w:sz w:val="24"/>
                <w:szCs w:val="24"/>
              </w:rPr>
              <w:t xml:space="preserve">When engaging with other professionals and family members, a significant concern that emerged was the relationship of person 2 with a friend who works as a sex worker and struggles with substance dependence. It is important to acknowledge that individuals may hold unconscious biases towards unfamiliar situations. Nevertheless, it is crucial to challenge </w:t>
            </w:r>
            <w:r w:rsidRPr="001253E9">
              <w:rPr>
                <w:sz w:val="24"/>
                <w:szCs w:val="24"/>
              </w:rPr>
              <w:lastRenderedPageBreak/>
              <w:t>these preconceived notions and adopt a person-centred approach. This involves offering unconditional positive regard (Teater, 2014), which fosters an environment where individuals feel respected and empowered to gain a clearer understanding of their circumstances.</w:t>
            </w:r>
          </w:p>
          <w:p w14:paraId="3FCF3844" w14:textId="77777777" w:rsidR="001253E9" w:rsidRPr="001253E9" w:rsidRDefault="001253E9" w:rsidP="001253E9">
            <w:pPr>
              <w:spacing w:line="276" w:lineRule="auto"/>
              <w:jc w:val="both"/>
              <w:rPr>
                <w:sz w:val="24"/>
                <w:szCs w:val="24"/>
              </w:rPr>
            </w:pPr>
            <w:r w:rsidRPr="001253E9">
              <w:rPr>
                <w:sz w:val="24"/>
                <w:szCs w:val="24"/>
              </w:rPr>
              <w:t>Recognising that individuals are the experts of their own lives is vital; they often possess the insights necessary to address the challenges they face. The role of the social worker, therefore, is to assist individuals in recognising their expertise and to provide them with the appropriate tools to enhance their well-being (Smale et al., 2000).</w:t>
            </w:r>
          </w:p>
          <w:p w14:paraId="0BAE5CB4" w14:textId="77777777" w:rsidR="001253E9" w:rsidRPr="001253E9" w:rsidRDefault="001253E9" w:rsidP="001253E9">
            <w:pPr>
              <w:spacing w:line="276" w:lineRule="auto"/>
              <w:jc w:val="both"/>
              <w:rPr>
                <w:sz w:val="24"/>
                <w:szCs w:val="24"/>
              </w:rPr>
            </w:pPr>
            <w:r w:rsidRPr="001253E9">
              <w:rPr>
                <w:sz w:val="24"/>
                <w:szCs w:val="24"/>
              </w:rPr>
              <w:t xml:space="preserve">On reflection, I found this case challenging; my experience with Safeguarding is limited; however, I was able to utilise supervision and peer support. I found that working with this individual increased my understanding of positive risk-taking and self-determination while balancing the need to protect a vulnerable adult at risk of exploitation. </w:t>
            </w:r>
          </w:p>
          <w:p w14:paraId="3B270A42" w14:textId="77777777" w:rsidR="001253E9" w:rsidRPr="001253E9" w:rsidRDefault="001253E9" w:rsidP="001253E9">
            <w:pPr>
              <w:spacing w:after="160" w:line="276" w:lineRule="auto"/>
              <w:jc w:val="both"/>
              <w:rPr>
                <w:sz w:val="24"/>
                <w:szCs w:val="24"/>
              </w:rPr>
            </w:pPr>
            <w:r w:rsidRPr="001253E9">
              <w:rPr>
                <w:sz w:val="24"/>
                <w:szCs w:val="24"/>
              </w:rPr>
              <w:t>Working with the family presented challenges due to their protective perspective. The importance of adhering to the legislation was communicated, specifically the Mental Capacity Act 2005. This act is based on five core principles that guide decision-making for individuals who may lack capacity: Presumption of capacity: It is assumed that individuals can make their own decisions unless proven otherwise. Support before treating as lacking capacity: Individuals should receive all practical assistance to enable them to make their own decisions before any determination of lack of capacity is made. Right to make unwise decisions: Individuals should not be considered as lacking capacity solely based on choices that others may deem unwise. Best interests: Any action or decision made on behalf of someone lacking capacity must align with their best interests. Less restrictive option: Prior to making a decision, it is essential to explore if there is an alternative that limits the person's freedom to a lesser extent.</w:t>
            </w:r>
          </w:p>
          <w:p w14:paraId="63C14789" w14:textId="77777777" w:rsidR="001253E9" w:rsidRPr="001253E9" w:rsidRDefault="001253E9" w:rsidP="001253E9">
            <w:pPr>
              <w:spacing w:line="276" w:lineRule="auto"/>
              <w:jc w:val="both"/>
              <w:rPr>
                <w:sz w:val="24"/>
                <w:szCs w:val="24"/>
              </w:rPr>
            </w:pPr>
            <w:r w:rsidRPr="001253E9">
              <w:rPr>
                <w:sz w:val="24"/>
                <w:szCs w:val="24"/>
              </w:rPr>
              <w:t xml:space="preserve"> I also explained that the Safeguarding procedures would not be implemented unless person 2 agreed to the process or lacked the capacity to do so. I advised that working with person 2 to make better decisions would lead to better outcomes for this person, rather than going against their wishes and views. </w:t>
            </w:r>
          </w:p>
          <w:p w14:paraId="08E25081" w14:textId="77777777" w:rsidR="001253E9" w:rsidRPr="001253E9" w:rsidRDefault="001253E9" w:rsidP="001253E9">
            <w:pPr>
              <w:spacing w:line="276" w:lineRule="auto"/>
              <w:jc w:val="both"/>
              <w:rPr>
                <w:sz w:val="24"/>
                <w:szCs w:val="24"/>
              </w:rPr>
            </w:pPr>
            <w:r w:rsidRPr="001253E9">
              <w:rPr>
                <w:sz w:val="24"/>
                <w:szCs w:val="24"/>
              </w:rPr>
              <w:t xml:space="preserve">In a similar situation, I would perhaps start with the legislation when discussing future outcomes, so the family and the citizen know the criteria and limitations of the actions that can be taken. This may mitigate the misunderstanding that a social worker can restrict a person's actions without a legal framework. </w:t>
            </w:r>
          </w:p>
          <w:p w14:paraId="6D371065" w14:textId="77777777" w:rsidR="001253E9" w:rsidRPr="001253E9" w:rsidRDefault="001253E9" w:rsidP="001253E9">
            <w:pPr>
              <w:spacing w:line="276" w:lineRule="auto"/>
              <w:jc w:val="both"/>
              <w:rPr>
                <w:color w:val="C00000"/>
                <w:sz w:val="24"/>
                <w:szCs w:val="24"/>
              </w:rPr>
            </w:pPr>
          </w:p>
          <w:p w14:paraId="747CE0FC" w14:textId="4E3297BE" w:rsidR="001253E9" w:rsidRPr="001253E9" w:rsidRDefault="00933F57" w:rsidP="001253E9">
            <w:pPr>
              <w:spacing w:line="276" w:lineRule="auto"/>
              <w:jc w:val="both"/>
              <w:rPr>
                <w:color w:val="auto"/>
                <w:sz w:val="24"/>
                <w:szCs w:val="24"/>
              </w:rPr>
            </w:pPr>
            <w:r>
              <w:rPr>
                <w:color w:val="auto"/>
                <w:sz w:val="24"/>
                <w:szCs w:val="24"/>
              </w:rPr>
              <w:t>4133</w:t>
            </w: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7F4433FA" w14:textId="247A8309" w:rsidR="00CC135E" w:rsidRPr="003B29BC" w:rsidRDefault="00CC135E" w:rsidP="003B29BC">
      <w:pPr>
        <w:rPr>
          <w:color w:val="auto"/>
          <w:sz w:val="24"/>
          <w:szCs w:val="24"/>
        </w:rPr>
      </w:pPr>
    </w:p>
    <w:sectPr w:rsidR="00CC135E" w:rsidRPr="003B29BC"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91E563" w14:textId="77777777" w:rsidR="002A61DC" w:rsidRDefault="002A61DC">
      <w:r>
        <w:separator/>
      </w:r>
    </w:p>
  </w:endnote>
  <w:endnote w:type="continuationSeparator" w:id="0">
    <w:p w14:paraId="29479456" w14:textId="77777777" w:rsidR="002A61DC" w:rsidRDefault="002A61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2A34D1" w14:textId="77777777" w:rsidR="002A61DC" w:rsidRDefault="002A61DC">
      <w:r>
        <w:separator/>
      </w:r>
    </w:p>
  </w:footnote>
  <w:footnote w:type="continuationSeparator" w:id="0">
    <w:p w14:paraId="57D644A7" w14:textId="77777777" w:rsidR="002A61DC" w:rsidRDefault="002A61D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253E9"/>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3E71"/>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67B9F"/>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A61DC"/>
    <w:rsid w:val="002B1701"/>
    <w:rsid w:val="002B23C3"/>
    <w:rsid w:val="002B443A"/>
    <w:rsid w:val="002B5B35"/>
    <w:rsid w:val="002B7AEE"/>
    <w:rsid w:val="002C2536"/>
    <w:rsid w:val="002C256A"/>
    <w:rsid w:val="002C3031"/>
    <w:rsid w:val="002C4233"/>
    <w:rsid w:val="002C496D"/>
    <w:rsid w:val="002D05EB"/>
    <w:rsid w:val="002D0A9D"/>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07586"/>
    <w:rsid w:val="00411EF7"/>
    <w:rsid w:val="00412677"/>
    <w:rsid w:val="00425160"/>
    <w:rsid w:val="0042595C"/>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59BD"/>
    <w:rsid w:val="00586D89"/>
    <w:rsid w:val="005877C8"/>
    <w:rsid w:val="00587923"/>
    <w:rsid w:val="00594F9F"/>
    <w:rsid w:val="005A1B4C"/>
    <w:rsid w:val="005A545C"/>
    <w:rsid w:val="005B271A"/>
    <w:rsid w:val="005B3A2D"/>
    <w:rsid w:val="005C1567"/>
    <w:rsid w:val="005C28D3"/>
    <w:rsid w:val="005C6CE5"/>
    <w:rsid w:val="005D19A0"/>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47FA3"/>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94E"/>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33F57"/>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37B0"/>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4B23"/>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2DB"/>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0B4A"/>
    <w:rsid w:val="00DB1709"/>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431"/>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75231"/>
    <w:rsid w:val="00F81FEC"/>
    <w:rsid w:val="00F927A1"/>
    <w:rsid w:val="00F92E4D"/>
    <w:rsid w:val="00F95D08"/>
    <w:rsid w:val="00FA23BD"/>
    <w:rsid w:val="00FA3764"/>
    <w:rsid w:val="00FA41C7"/>
    <w:rsid w:val="00FA4A79"/>
    <w:rsid w:val="00FA56ED"/>
    <w:rsid w:val="00FB002C"/>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5FE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2AB60A26-37B6-491F-A255-05824859A5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legislation.gov.uk/anaw/2014/4/part/7"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185</TotalTime>
  <Pages>10</Pages>
  <Words>4187</Words>
  <Characters>25418</Characters>
  <Application>Microsoft Office Word</Application>
  <DocSecurity>0</DocSecurity>
  <Lines>488</Lines>
  <Paragraphs>97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29508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Amanda Thomas</cp:lastModifiedBy>
  <cp:revision>4</cp:revision>
  <cp:lastPrinted>2020-02-11T19:20:00Z</cp:lastPrinted>
  <dcterms:created xsi:type="dcterms:W3CDTF">2022-09-29T11:34:00Z</dcterms:created>
  <dcterms:modified xsi:type="dcterms:W3CDTF">2026-10-02T13:08:00Z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GrammarlyDocumentId">
    <vt:lpwstr>1924aa8a-59d4-48fc-8e9d-3d0c1e398146</vt:lpwstr>
  </property>
</Properties>
</file>