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852CC8" w14:textId="77777777" w:rsidR="006F3620" w:rsidRPr="006F3620" w:rsidRDefault="006F3620" w:rsidP="006F3620">
      <w:pPr>
        <w:spacing w:line="360" w:lineRule="auto"/>
        <w:jc w:val="both"/>
        <w:rPr>
          <w:rFonts w:ascii="Arial" w:eastAsia="Calibri" w:hAnsi="Arial" w:cs="Arial"/>
          <w:b/>
          <w:bCs/>
          <w:sz w:val="24"/>
          <w:szCs w:val="24"/>
        </w:rPr>
      </w:pPr>
      <w:r w:rsidRPr="006F3620">
        <w:rPr>
          <w:rFonts w:ascii="Arial" w:eastAsia="Calibri" w:hAnsi="Arial" w:cs="Arial"/>
          <w:b/>
          <w:bCs/>
          <w:sz w:val="24"/>
          <w:szCs w:val="24"/>
        </w:rPr>
        <w:t>Introduction</w:t>
      </w:r>
    </w:p>
    <w:p w14:paraId="1313DFA8"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Successful time management is essential for student accomplishment at university. As students enter a higher education setting, they face more intense tasks, complications in academic responsibilities, and a further requirement to balance their education with social and personal commitments. This report explores the key elements of time management that further academic success and personal confidence, supported by current research in the topic.</w:t>
      </w:r>
    </w:p>
    <w:p w14:paraId="7C77F231" w14:textId="77777777" w:rsidR="006F3620" w:rsidRPr="006F3620" w:rsidRDefault="006F3620" w:rsidP="006F3620">
      <w:pPr>
        <w:spacing w:line="360" w:lineRule="auto"/>
        <w:jc w:val="both"/>
        <w:rPr>
          <w:rFonts w:ascii="Arial" w:eastAsia="Calibri" w:hAnsi="Arial" w:cs="Arial"/>
          <w:b/>
          <w:bCs/>
          <w:sz w:val="24"/>
          <w:szCs w:val="24"/>
        </w:rPr>
      </w:pPr>
      <w:r w:rsidRPr="006F3620">
        <w:rPr>
          <w:rFonts w:ascii="Arial" w:eastAsia="Calibri" w:hAnsi="Arial" w:cs="Arial"/>
          <w:b/>
          <w:bCs/>
          <w:sz w:val="24"/>
          <w:szCs w:val="24"/>
        </w:rPr>
        <w:t>Significance of Time Management</w:t>
      </w:r>
    </w:p>
    <w:p w14:paraId="20932A8E"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Time management is the practise of scheduling and implementing control over the extent of time used on particular tasks. It allows students to prioritise tasks, assign time efficiently, and accomplish academic objectives (Burroughs, 2019). Successful time management ensures better academic achievement, less worry, and more time to participate in extra-curricular activities (McMillan, 2021).</w:t>
      </w:r>
    </w:p>
    <w:p w14:paraId="48D43AAA"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Cottrell (2023) states good time management permits students to generate an action plan for their aims, encouraging them to recognise what is important and what tasks require prompt action. By creating an organised method on time planning, students can steer their academic responsibilities more successfully, while taking care of personal development and flexibility.</w:t>
      </w:r>
    </w:p>
    <w:p w14:paraId="10DB64A0" w14:textId="77777777" w:rsidR="006F3620" w:rsidRPr="006F3620" w:rsidRDefault="006F3620" w:rsidP="006F3620">
      <w:pPr>
        <w:spacing w:line="360" w:lineRule="auto"/>
        <w:jc w:val="both"/>
        <w:rPr>
          <w:rFonts w:ascii="Arial" w:eastAsia="Calibri" w:hAnsi="Arial" w:cs="Arial"/>
          <w:b/>
          <w:bCs/>
          <w:sz w:val="24"/>
          <w:szCs w:val="24"/>
        </w:rPr>
      </w:pPr>
      <w:r w:rsidRPr="006F3620">
        <w:rPr>
          <w:rFonts w:ascii="Arial" w:eastAsia="Calibri" w:hAnsi="Arial" w:cs="Arial"/>
          <w:b/>
          <w:bCs/>
          <w:sz w:val="24"/>
          <w:szCs w:val="24"/>
        </w:rPr>
        <w:t>Challenges Students Face</w:t>
      </w:r>
    </w:p>
    <w:p w14:paraId="4BB011EF"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Lots of students struggle with time management, causes such as procrastination, loss of motivation, and inadequate organisational skills deter their capability to successfully dedicate time for assignments and studying (Cottrell, 2021). The transition to university usually comes with a new-found feeling of independence, resulting in mismanagement of time, if students are not organised in their techniques.</w:t>
      </w:r>
    </w:p>
    <w:p w14:paraId="3CACE66D"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Van Emden &amp; Becker (2022) found common time-management obstacles, i.e. taking too lightly the time needed for assignments, and dedicating too much time to extra-curricular events, which can cause academic underachievement. Identifying these challenges is the initial phase in creating valuable techniques for time management.</w:t>
      </w:r>
    </w:p>
    <w:p w14:paraId="5010ACF4" w14:textId="77777777" w:rsidR="006F3620" w:rsidRPr="006F3620" w:rsidRDefault="006F3620" w:rsidP="006F3620">
      <w:pPr>
        <w:spacing w:line="360" w:lineRule="auto"/>
        <w:jc w:val="both"/>
        <w:rPr>
          <w:rFonts w:ascii="Arial" w:eastAsia="Calibri" w:hAnsi="Arial" w:cs="Arial"/>
          <w:sz w:val="24"/>
          <w:szCs w:val="24"/>
        </w:rPr>
      </w:pPr>
    </w:p>
    <w:p w14:paraId="2AC7DFD0" w14:textId="77777777" w:rsidR="006F3620" w:rsidRPr="006F3620" w:rsidRDefault="006F3620" w:rsidP="006F3620">
      <w:pPr>
        <w:spacing w:line="360" w:lineRule="auto"/>
        <w:jc w:val="both"/>
        <w:rPr>
          <w:rFonts w:ascii="Arial" w:eastAsia="Calibri" w:hAnsi="Arial" w:cs="Arial"/>
          <w:b/>
          <w:bCs/>
          <w:sz w:val="24"/>
          <w:szCs w:val="24"/>
        </w:rPr>
      </w:pPr>
    </w:p>
    <w:p w14:paraId="50E1F9DD" w14:textId="77777777" w:rsidR="006F3620" w:rsidRPr="006F3620" w:rsidRDefault="006F3620" w:rsidP="006F3620">
      <w:pPr>
        <w:spacing w:line="360" w:lineRule="auto"/>
        <w:jc w:val="both"/>
        <w:rPr>
          <w:rFonts w:ascii="Arial" w:eastAsia="Calibri" w:hAnsi="Arial" w:cs="Arial"/>
          <w:b/>
          <w:bCs/>
          <w:sz w:val="24"/>
          <w:szCs w:val="24"/>
        </w:rPr>
      </w:pPr>
      <w:r w:rsidRPr="006F3620">
        <w:rPr>
          <w:rFonts w:ascii="Arial" w:eastAsia="Calibri" w:hAnsi="Arial" w:cs="Arial"/>
          <w:b/>
          <w:bCs/>
          <w:sz w:val="24"/>
          <w:szCs w:val="24"/>
        </w:rPr>
        <w:lastRenderedPageBreak/>
        <w:t>Approaches for Efficient Time Management</w:t>
      </w:r>
    </w:p>
    <w:p w14:paraId="083B822F"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Goal Setting</w:t>
      </w:r>
    </w:p>
    <w:p w14:paraId="6DFDF1F4"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Creating well-defined, realistic targets is important to efficient time management. Cottrell (2019) highlights the value of SMART goals—Specific, Measurable, Achievable, Relevant, and Time-bound. By establishing these goals, students can concentrate their energies on tasks that are actually significant.</w:t>
      </w:r>
    </w:p>
    <w:p w14:paraId="42381646"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Prioritisation</w:t>
      </w:r>
    </w:p>
    <w:p w14:paraId="7CBB6659"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Not all tasks are designed the same. Students need to learn to evaluate the urgency and significance of individual tasks (Bedford &amp; Wilson, 2020). Using tools such as the Eisenhower Matrix can help in deciding between what is important and what is urgent, enabling students to prioritise efficiently.</w:t>
      </w:r>
    </w:p>
    <w:p w14:paraId="3C526C41"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Composing a Schedule</w:t>
      </w:r>
    </w:p>
    <w:p w14:paraId="410FC045"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Creating a weekly or monthly diary can assist students to view their commitments and cut-off dates. Cottrell (2023) advises that students assign particular time blocks for studying, attend lectures, and participate in extra-curricular activities. This organised method eases stress and lessens the possibility of cramming assignments in last-minute.</w:t>
      </w:r>
    </w:p>
    <w:p w14:paraId="144FFBEC" w14:textId="77777777" w:rsidR="006F3620" w:rsidRPr="006F3620" w:rsidRDefault="006F3620" w:rsidP="006F3620">
      <w:pPr>
        <w:spacing w:line="360" w:lineRule="auto"/>
        <w:ind w:left="720"/>
        <w:contextualSpacing/>
        <w:jc w:val="both"/>
        <w:rPr>
          <w:rFonts w:ascii="Arial" w:eastAsia="Calibri" w:hAnsi="Arial" w:cs="Arial"/>
          <w:sz w:val="24"/>
          <w:szCs w:val="24"/>
        </w:rPr>
      </w:pPr>
      <w:r w:rsidRPr="006F3620">
        <w:rPr>
          <w:rFonts w:ascii="Arial" w:eastAsia="Calibri" w:hAnsi="Arial" w:cs="Arial"/>
          <w:b/>
          <w:bCs/>
          <w:sz w:val="24"/>
          <w:szCs w:val="24"/>
        </w:rPr>
        <w:t>The Role of Technology</w:t>
      </w:r>
    </w:p>
    <w:p w14:paraId="5B8052F1"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In today’s higher education environment, technology plays an important function in supporting time management. Numerous applications can help in managing schedules, enabling reminders, and tracking deadlines. Tools such as Calendly, Google Calendar, Trello and Apple reminders offer adaptable choices for managing tasks and ensure that students up-to-date with their responsibilities.</w:t>
      </w:r>
    </w:p>
    <w:p w14:paraId="64FAC8F5"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Time Blocking</w:t>
      </w:r>
    </w:p>
    <w:p w14:paraId="03FC3DF1"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 xml:space="preserve">This technique involves dedicating specific time periods to particular tasks, which can be very beneficial for complicated assignments or studying (McMillan, 2021). By blocking out time on a calendar, students can reduce distractions and keep focus, leading to more productive study sessions. </w:t>
      </w:r>
      <w:r w:rsidRPr="006F3620">
        <w:rPr>
          <w:rFonts w:ascii="Arial" w:eastAsia="Calibri" w:hAnsi="Arial" w:cs="Arial"/>
          <w:sz w:val="24"/>
          <w:szCs w:val="24"/>
        </w:rPr>
        <w:lastRenderedPageBreak/>
        <w:t>Procrastination is a major obstacle to efficiency. The Pomodoro Technique which is a twenty-five-minute study time slot with short breaks, can improve focus (Burroughs, 2019).</w:t>
      </w:r>
    </w:p>
    <w:p w14:paraId="7EE0FF58"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Using Resources</w:t>
      </w:r>
    </w:p>
    <w:p w14:paraId="18B0C709"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Several Universities offer ways to support students with time management, i.e. tutoring workshops and counselling services. Accessing with these channels can give constructive knowledge and encouragement (Burroughs, 2019).</w:t>
      </w:r>
    </w:p>
    <w:p w14:paraId="50D065AE"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b/>
          <w:bCs/>
          <w:sz w:val="24"/>
          <w:szCs w:val="24"/>
        </w:rPr>
        <w:t>Evaluation and Change</w:t>
      </w:r>
    </w:p>
    <w:p w14:paraId="65D9B401" w14:textId="77777777" w:rsidR="006F3620" w:rsidRPr="006F3620" w:rsidRDefault="006F3620" w:rsidP="006F3620">
      <w:pPr>
        <w:spacing w:line="360" w:lineRule="auto"/>
        <w:ind w:left="720"/>
        <w:jc w:val="both"/>
        <w:rPr>
          <w:rFonts w:ascii="Arial" w:eastAsia="Calibri" w:hAnsi="Arial" w:cs="Arial"/>
          <w:sz w:val="24"/>
          <w:szCs w:val="24"/>
        </w:rPr>
      </w:pPr>
      <w:r w:rsidRPr="006F3620">
        <w:rPr>
          <w:rFonts w:ascii="Arial" w:eastAsia="Calibri" w:hAnsi="Arial" w:cs="Arial"/>
          <w:sz w:val="24"/>
          <w:szCs w:val="24"/>
        </w:rPr>
        <w:t>Frequently reviewing time management methods is vital for continuous progress. Cottrell (2021) motivates students to weigh up what is successful and what is not, allowing for essential modifications to their methods. This self-reflection can accelerate personal development and academic success.</w:t>
      </w:r>
    </w:p>
    <w:p w14:paraId="6BDB6480" w14:textId="77777777" w:rsidR="006F3620" w:rsidRPr="006F3620" w:rsidRDefault="006F3620" w:rsidP="006F3620">
      <w:pPr>
        <w:spacing w:line="360" w:lineRule="auto"/>
        <w:ind w:left="720"/>
        <w:jc w:val="both"/>
        <w:rPr>
          <w:rFonts w:ascii="Arial" w:eastAsia="Calibri" w:hAnsi="Arial" w:cs="Arial"/>
          <w:sz w:val="24"/>
          <w:szCs w:val="24"/>
        </w:rPr>
      </w:pPr>
    </w:p>
    <w:p w14:paraId="5AAB700B"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b/>
          <w:bCs/>
          <w:sz w:val="24"/>
          <w:szCs w:val="24"/>
        </w:rPr>
        <w:t>Conclusion</w:t>
      </w:r>
    </w:p>
    <w:p w14:paraId="7DF64569" w14:textId="77777777" w:rsidR="006F3620" w:rsidRPr="006F3620" w:rsidRDefault="006F3620" w:rsidP="006F3620">
      <w:pPr>
        <w:spacing w:line="360" w:lineRule="auto"/>
        <w:jc w:val="both"/>
        <w:rPr>
          <w:rFonts w:ascii="Arial" w:eastAsia="Calibri" w:hAnsi="Arial" w:cs="Arial"/>
          <w:sz w:val="24"/>
          <w:szCs w:val="24"/>
        </w:rPr>
      </w:pPr>
      <w:r w:rsidRPr="006F3620">
        <w:rPr>
          <w:rFonts w:ascii="Arial" w:eastAsia="Calibri" w:hAnsi="Arial" w:cs="Arial"/>
          <w:sz w:val="24"/>
          <w:szCs w:val="24"/>
        </w:rPr>
        <w:t>Successful time management is a fundamental skill that considerably influences student success at university. Employing the correct strategies i.e. target setting, prioritisation, and comprehensive planning, students can handle tasks more competently and accomplish a balanced personal and academic life.  Cottrell (2023) and other authors demonstrate, acquiring robust time management skills, not only improves academic attainment, but also encourages greater commitment in the educational experience. With their university’s help, students can improve these skills via resources and practical seminars, eventually allowing them to do well in their studies and professional careers.</w:t>
      </w:r>
    </w:p>
    <w:p w14:paraId="6BD1D12A" w14:textId="77777777" w:rsidR="006F3620" w:rsidRPr="006F3620" w:rsidRDefault="006F3620" w:rsidP="006F3620">
      <w:pPr>
        <w:spacing w:line="360" w:lineRule="auto"/>
        <w:jc w:val="both"/>
        <w:rPr>
          <w:rFonts w:ascii="Arial" w:eastAsia="Calibri" w:hAnsi="Arial" w:cs="Arial"/>
          <w:sz w:val="24"/>
          <w:szCs w:val="24"/>
        </w:rPr>
      </w:pPr>
    </w:p>
    <w:p w14:paraId="6B523A8E" w14:textId="77777777" w:rsidR="006F3620" w:rsidRPr="006F3620" w:rsidRDefault="006F3620" w:rsidP="006F3620">
      <w:pPr>
        <w:spacing w:line="360" w:lineRule="auto"/>
        <w:jc w:val="both"/>
        <w:rPr>
          <w:rFonts w:ascii="Arial" w:eastAsia="Calibri" w:hAnsi="Arial" w:cs="Arial"/>
          <w:sz w:val="24"/>
          <w:szCs w:val="24"/>
        </w:rPr>
      </w:pPr>
    </w:p>
    <w:p w14:paraId="4C9D54FE" w14:textId="77777777" w:rsidR="006F3620" w:rsidRPr="006F3620" w:rsidRDefault="006F3620" w:rsidP="006F3620">
      <w:pPr>
        <w:spacing w:line="360" w:lineRule="auto"/>
        <w:jc w:val="both"/>
        <w:rPr>
          <w:rFonts w:ascii="Arial" w:eastAsia="Calibri" w:hAnsi="Arial" w:cs="Arial"/>
          <w:sz w:val="24"/>
          <w:szCs w:val="24"/>
        </w:rPr>
      </w:pPr>
    </w:p>
    <w:p w14:paraId="4AD27468" w14:textId="77777777" w:rsidR="006F3620" w:rsidRPr="006F3620" w:rsidRDefault="006F3620" w:rsidP="006F3620">
      <w:pPr>
        <w:spacing w:line="360" w:lineRule="auto"/>
        <w:jc w:val="both"/>
        <w:rPr>
          <w:rFonts w:ascii="Arial" w:eastAsia="Calibri" w:hAnsi="Arial" w:cs="Arial"/>
          <w:sz w:val="24"/>
          <w:szCs w:val="24"/>
        </w:rPr>
      </w:pPr>
    </w:p>
    <w:p w14:paraId="06C89559" w14:textId="77777777" w:rsidR="006F3620" w:rsidRPr="006F3620" w:rsidRDefault="006F3620" w:rsidP="006F3620">
      <w:pPr>
        <w:spacing w:line="360" w:lineRule="auto"/>
        <w:jc w:val="both"/>
        <w:rPr>
          <w:rFonts w:ascii="Arial" w:eastAsia="Calibri" w:hAnsi="Arial" w:cs="Arial"/>
          <w:sz w:val="24"/>
          <w:szCs w:val="24"/>
          <w:u w:val="single"/>
        </w:rPr>
      </w:pPr>
    </w:p>
    <w:p w14:paraId="58162975" w14:textId="77777777" w:rsidR="006F3620" w:rsidRPr="006F3620" w:rsidRDefault="006F3620" w:rsidP="006F3620">
      <w:pPr>
        <w:spacing w:line="360" w:lineRule="auto"/>
        <w:jc w:val="both"/>
        <w:rPr>
          <w:rFonts w:ascii="Arial" w:eastAsia="Calibri" w:hAnsi="Arial" w:cs="Arial"/>
          <w:sz w:val="24"/>
          <w:szCs w:val="24"/>
          <w:u w:val="single"/>
        </w:rPr>
      </w:pPr>
    </w:p>
    <w:p w14:paraId="65415B32" w14:textId="77777777" w:rsidR="006F3620" w:rsidRPr="006F3620" w:rsidRDefault="006F3620" w:rsidP="006F3620">
      <w:pPr>
        <w:spacing w:line="360" w:lineRule="auto"/>
        <w:rPr>
          <w:rFonts w:ascii="Arial" w:eastAsia="Calibri" w:hAnsi="Arial" w:cs="Arial"/>
          <w:b/>
          <w:bCs/>
          <w:sz w:val="24"/>
          <w:szCs w:val="24"/>
        </w:rPr>
      </w:pPr>
      <w:r w:rsidRPr="006F3620">
        <w:rPr>
          <w:rFonts w:ascii="Arial" w:eastAsia="Calibri" w:hAnsi="Arial" w:cs="Arial"/>
          <w:b/>
          <w:bCs/>
          <w:sz w:val="24"/>
          <w:szCs w:val="24"/>
        </w:rPr>
        <w:lastRenderedPageBreak/>
        <w:t>References</w:t>
      </w:r>
    </w:p>
    <w:p w14:paraId="17548A5F"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Bedford, D., &amp; Wilson, E. (2020). </w:t>
      </w:r>
      <w:r w:rsidRPr="006F3620">
        <w:rPr>
          <w:rFonts w:ascii="Arial" w:eastAsia="Calibri" w:hAnsi="Arial" w:cs="Arial"/>
          <w:i/>
          <w:iCs/>
          <w:sz w:val="24"/>
          <w:szCs w:val="24"/>
        </w:rPr>
        <w:t>Study skills for Foundation Degrees</w:t>
      </w:r>
      <w:r w:rsidRPr="006F3620">
        <w:rPr>
          <w:rFonts w:ascii="Arial" w:eastAsia="Calibri" w:hAnsi="Arial" w:cs="Arial"/>
          <w:sz w:val="24"/>
          <w:szCs w:val="24"/>
        </w:rPr>
        <w:t> (3th ed.). Routledge.</w:t>
      </w:r>
    </w:p>
    <w:p w14:paraId="214D25FF"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Burroughs, C. (2019). </w:t>
      </w:r>
      <w:r w:rsidRPr="006F3620">
        <w:rPr>
          <w:rFonts w:ascii="Arial" w:eastAsia="Calibri" w:hAnsi="Arial" w:cs="Arial"/>
          <w:i/>
          <w:iCs/>
          <w:sz w:val="24"/>
          <w:szCs w:val="24"/>
        </w:rPr>
        <w:t>The Return to Study Handbook: Study Skills for Mature, Distance, and Workplace Learners</w:t>
      </w:r>
      <w:r w:rsidRPr="006F3620">
        <w:rPr>
          <w:rFonts w:ascii="Arial" w:eastAsia="Calibri" w:hAnsi="Arial" w:cs="Arial"/>
          <w:sz w:val="24"/>
          <w:szCs w:val="24"/>
        </w:rPr>
        <w:t>. Kogan Page Ltd.</w:t>
      </w:r>
    </w:p>
    <w:p w14:paraId="27B7660E"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Cottrell, S. (2019). </w:t>
      </w:r>
      <w:r w:rsidRPr="006F3620">
        <w:rPr>
          <w:rFonts w:ascii="Arial" w:eastAsia="Calibri" w:hAnsi="Arial" w:cs="Arial"/>
          <w:i/>
          <w:iCs/>
          <w:sz w:val="24"/>
          <w:szCs w:val="24"/>
        </w:rPr>
        <w:t>The Study Skills Handbook</w:t>
      </w:r>
      <w:r w:rsidRPr="006F3620">
        <w:rPr>
          <w:rFonts w:ascii="Arial" w:eastAsia="Calibri" w:hAnsi="Arial" w:cs="Arial"/>
          <w:sz w:val="24"/>
          <w:szCs w:val="24"/>
        </w:rPr>
        <w:t> (5th ed.). Macmillan Education UK.</w:t>
      </w:r>
    </w:p>
    <w:p w14:paraId="41D2E653"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Cottrell, S. (2021). </w:t>
      </w:r>
      <w:r w:rsidRPr="006F3620">
        <w:rPr>
          <w:rFonts w:ascii="Arial" w:eastAsia="Calibri" w:hAnsi="Arial" w:cs="Arial"/>
          <w:i/>
          <w:iCs/>
          <w:sz w:val="24"/>
          <w:szCs w:val="24"/>
        </w:rPr>
        <w:t xml:space="preserve">Skills for Success: The Personal Development Planning Handbook. </w:t>
      </w:r>
      <w:r w:rsidRPr="006F3620">
        <w:rPr>
          <w:rFonts w:ascii="Arial" w:eastAsia="Calibri" w:hAnsi="Arial" w:cs="Arial"/>
          <w:sz w:val="24"/>
          <w:szCs w:val="24"/>
        </w:rPr>
        <w:t> (4th ed.). Palgrave Macmillan.</w:t>
      </w:r>
    </w:p>
    <w:p w14:paraId="52DAE3AE"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Cottrell, S. (2023). </w:t>
      </w:r>
      <w:r w:rsidRPr="006F3620">
        <w:rPr>
          <w:rFonts w:ascii="Arial" w:eastAsia="Calibri" w:hAnsi="Arial" w:cs="Arial"/>
          <w:i/>
          <w:iCs/>
          <w:sz w:val="24"/>
          <w:szCs w:val="24"/>
        </w:rPr>
        <w:t>Critical Thinking Skills: Effective Analysis, Argument and Reflection</w:t>
      </w:r>
      <w:r w:rsidRPr="006F3620">
        <w:rPr>
          <w:rFonts w:ascii="Arial" w:eastAsia="Calibri" w:hAnsi="Arial" w:cs="Arial"/>
          <w:sz w:val="24"/>
          <w:szCs w:val="24"/>
        </w:rPr>
        <w:t> (4th ed.). Bloomsbury Academic.</w:t>
      </w:r>
    </w:p>
    <w:p w14:paraId="325D68C6"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McMillan, K. (2021). </w:t>
      </w:r>
      <w:r w:rsidRPr="006F3620">
        <w:rPr>
          <w:rFonts w:ascii="Arial" w:eastAsia="Calibri" w:hAnsi="Arial" w:cs="Arial"/>
          <w:i/>
          <w:iCs/>
          <w:sz w:val="24"/>
          <w:szCs w:val="24"/>
        </w:rPr>
        <w:t>The Study Skills Book: Your Essential Guide to University Success</w:t>
      </w:r>
      <w:r w:rsidRPr="006F3620">
        <w:rPr>
          <w:rFonts w:ascii="Arial" w:eastAsia="Calibri" w:hAnsi="Arial" w:cs="Arial"/>
          <w:sz w:val="24"/>
          <w:szCs w:val="24"/>
        </w:rPr>
        <w:t xml:space="preserve"> (4th ed.). Pearson.</w:t>
      </w:r>
    </w:p>
    <w:p w14:paraId="4489303F" w14:textId="77777777" w:rsidR="006F3620" w:rsidRPr="006F3620" w:rsidRDefault="006F3620" w:rsidP="006F3620">
      <w:pPr>
        <w:numPr>
          <w:ilvl w:val="0"/>
          <w:numId w:val="1"/>
        </w:numPr>
        <w:spacing w:line="360" w:lineRule="auto"/>
        <w:rPr>
          <w:rFonts w:ascii="Arial" w:eastAsia="Calibri" w:hAnsi="Arial" w:cs="Arial"/>
          <w:sz w:val="24"/>
          <w:szCs w:val="24"/>
        </w:rPr>
      </w:pPr>
      <w:r w:rsidRPr="006F3620">
        <w:rPr>
          <w:rFonts w:ascii="Arial" w:eastAsia="Calibri" w:hAnsi="Arial" w:cs="Arial"/>
          <w:sz w:val="24"/>
          <w:szCs w:val="24"/>
        </w:rPr>
        <w:t>Van Emden, J., &amp; Becker, L. (2022). </w:t>
      </w:r>
      <w:r w:rsidRPr="006F3620">
        <w:rPr>
          <w:rFonts w:ascii="Arial" w:eastAsia="Calibri" w:hAnsi="Arial" w:cs="Arial"/>
          <w:i/>
          <w:iCs/>
          <w:sz w:val="24"/>
          <w:szCs w:val="24"/>
        </w:rPr>
        <w:t>Presentation Skills for Students</w:t>
      </w:r>
      <w:r w:rsidRPr="006F3620">
        <w:rPr>
          <w:rFonts w:ascii="Arial" w:eastAsia="Calibri" w:hAnsi="Arial" w:cs="Arial"/>
          <w:sz w:val="24"/>
          <w:szCs w:val="24"/>
        </w:rPr>
        <w:t> (3rd ed.). Bloomsbury Academic.</w:t>
      </w:r>
    </w:p>
    <w:p w14:paraId="5E0CC331" w14:textId="77777777" w:rsidR="006F3620" w:rsidRPr="006F3620" w:rsidRDefault="006F3620" w:rsidP="006F3620">
      <w:pPr>
        <w:spacing w:line="360" w:lineRule="auto"/>
        <w:jc w:val="both"/>
        <w:rPr>
          <w:rFonts w:ascii="Arial" w:eastAsia="Calibri" w:hAnsi="Arial" w:cs="Arial"/>
          <w:sz w:val="24"/>
          <w:szCs w:val="24"/>
          <w:u w:val="single"/>
        </w:rPr>
      </w:pPr>
    </w:p>
    <w:p w14:paraId="2AA914A1" w14:textId="77777777" w:rsidR="006F3620" w:rsidRPr="006F3620" w:rsidRDefault="006F3620" w:rsidP="006F3620">
      <w:pPr>
        <w:spacing w:line="360" w:lineRule="auto"/>
        <w:jc w:val="both"/>
        <w:rPr>
          <w:rFonts w:ascii="Arial" w:eastAsia="Calibri" w:hAnsi="Arial" w:cs="Arial"/>
          <w:b/>
          <w:bCs/>
          <w:sz w:val="24"/>
          <w:szCs w:val="24"/>
          <w:u w:val="single"/>
        </w:rPr>
      </w:pPr>
    </w:p>
    <w:p w14:paraId="3389388F" w14:textId="77777777" w:rsidR="006F3620" w:rsidRPr="006F3620" w:rsidRDefault="006F3620" w:rsidP="006F3620">
      <w:pPr>
        <w:spacing w:line="360" w:lineRule="auto"/>
        <w:jc w:val="both"/>
        <w:rPr>
          <w:rFonts w:ascii="Arial" w:eastAsia="Calibri" w:hAnsi="Arial" w:cs="Arial"/>
          <w:b/>
          <w:bCs/>
          <w:sz w:val="24"/>
          <w:szCs w:val="24"/>
          <w:u w:val="single"/>
        </w:rPr>
      </w:pPr>
    </w:p>
    <w:p w14:paraId="1EDE9EAF" w14:textId="77777777" w:rsidR="003B072C" w:rsidRDefault="003B072C"/>
    <w:sectPr w:rsidR="003B07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F7F8C"/>
    <w:multiLevelType w:val="multilevel"/>
    <w:tmpl w:val="DDFEF2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9290013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620"/>
    <w:rsid w:val="003B072C"/>
    <w:rsid w:val="0067280E"/>
    <w:rsid w:val="006F3620"/>
    <w:rsid w:val="00EF1F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0FD46"/>
  <w15:chartTrackingRefBased/>
  <w15:docId w15:val="{7B47BD55-70ED-4055-834F-7013D4EDE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62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F362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F362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F362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F362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36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6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6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6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62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F362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F362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F362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F362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F36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6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6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620"/>
    <w:rPr>
      <w:rFonts w:eastAsiaTheme="majorEastAsia" w:cstheme="majorBidi"/>
      <w:color w:val="272727" w:themeColor="text1" w:themeTint="D8"/>
    </w:rPr>
  </w:style>
  <w:style w:type="paragraph" w:styleId="Title">
    <w:name w:val="Title"/>
    <w:basedOn w:val="Normal"/>
    <w:next w:val="Normal"/>
    <w:link w:val="TitleChar"/>
    <w:uiPriority w:val="10"/>
    <w:qFormat/>
    <w:rsid w:val="006F36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6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6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6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620"/>
    <w:pPr>
      <w:spacing w:before="160"/>
      <w:jc w:val="center"/>
    </w:pPr>
    <w:rPr>
      <w:i/>
      <w:iCs/>
      <w:color w:val="404040" w:themeColor="text1" w:themeTint="BF"/>
    </w:rPr>
  </w:style>
  <w:style w:type="character" w:customStyle="1" w:styleId="QuoteChar">
    <w:name w:val="Quote Char"/>
    <w:basedOn w:val="DefaultParagraphFont"/>
    <w:link w:val="Quote"/>
    <w:uiPriority w:val="29"/>
    <w:rsid w:val="006F3620"/>
    <w:rPr>
      <w:i/>
      <w:iCs/>
      <w:color w:val="404040" w:themeColor="text1" w:themeTint="BF"/>
    </w:rPr>
  </w:style>
  <w:style w:type="paragraph" w:styleId="ListParagraph">
    <w:name w:val="List Paragraph"/>
    <w:basedOn w:val="Normal"/>
    <w:uiPriority w:val="34"/>
    <w:qFormat/>
    <w:rsid w:val="006F3620"/>
    <w:pPr>
      <w:ind w:left="720"/>
      <w:contextualSpacing/>
    </w:pPr>
  </w:style>
  <w:style w:type="character" w:styleId="IntenseEmphasis">
    <w:name w:val="Intense Emphasis"/>
    <w:basedOn w:val="DefaultParagraphFont"/>
    <w:uiPriority w:val="21"/>
    <w:qFormat/>
    <w:rsid w:val="006F3620"/>
    <w:rPr>
      <w:i/>
      <w:iCs/>
      <w:color w:val="2F5496" w:themeColor="accent1" w:themeShade="BF"/>
    </w:rPr>
  </w:style>
  <w:style w:type="paragraph" w:styleId="IntenseQuote">
    <w:name w:val="Intense Quote"/>
    <w:basedOn w:val="Normal"/>
    <w:next w:val="Normal"/>
    <w:link w:val="IntenseQuoteChar"/>
    <w:uiPriority w:val="30"/>
    <w:qFormat/>
    <w:rsid w:val="006F362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F3620"/>
    <w:rPr>
      <w:i/>
      <w:iCs/>
      <w:color w:val="2F5496" w:themeColor="accent1" w:themeShade="BF"/>
    </w:rPr>
  </w:style>
  <w:style w:type="character" w:styleId="IntenseReference">
    <w:name w:val="Intense Reference"/>
    <w:basedOn w:val="DefaultParagraphFont"/>
    <w:uiPriority w:val="32"/>
    <w:qFormat/>
    <w:rsid w:val="006F3620"/>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657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892</Words>
  <Characters>5087</Characters>
  <Application>Microsoft Office Word</Application>
  <DocSecurity>0</DocSecurity>
  <Lines>42</Lines>
  <Paragraphs>11</Paragraphs>
  <ScaleCrop>false</ScaleCrop>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Ozma Nasir</dc:creator>
  <cp:keywords/>
  <dc:description/>
  <cp:lastModifiedBy>Ozma Nasir</cp:lastModifiedBy>
  <cp:revision>1</cp:revision>
  <dcterms:created xsi:type="dcterms:W3CDTF">2025-06-01T21:25:00Z</dcterms:created>
  <dcterms:modified xsi:type="dcterms:W3CDTF">2025-06-01T21:25:00Z</dcterms:modified>
</cp:coreProperties>
</file>