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08CB" w:rsidRPr="00761648" w:rsidRDefault="00761648">
      <w:pPr>
        <w:spacing w:line="360" w:lineRule="auto"/>
        <w:jc w:val="center"/>
        <w:rPr>
          <w:rFonts w:eastAsia="Times New Roman"/>
          <w:b/>
          <w:bCs/>
          <w:sz w:val="40"/>
          <w:szCs w:val="40"/>
        </w:rPr>
      </w:pPr>
      <w:r w:rsidRPr="00761648">
        <w:rPr>
          <w:b/>
          <w:bCs/>
          <w:sz w:val="40"/>
          <w:szCs w:val="40"/>
        </w:rPr>
        <w:t>BMIH5004</w:t>
      </w:r>
    </w:p>
    <w:p w:rsidR="00AD08CB" w:rsidRPr="00761648" w:rsidRDefault="00AD08CB">
      <w:pPr>
        <w:spacing w:line="360" w:lineRule="auto"/>
        <w:jc w:val="center"/>
        <w:rPr>
          <w:rFonts w:eastAsia="Times New Roman"/>
          <w:b/>
          <w:bCs/>
          <w:sz w:val="40"/>
          <w:szCs w:val="40"/>
        </w:rPr>
      </w:pPr>
    </w:p>
    <w:p w:rsidR="00AD08CB" w:rsidRPr="00761648" w:rsidRDefault="00AD08CB">
      <w:pPr>
        <w:spacing w:line="360" w:lineRule="auto"/>
        <w:jc w:val="center"/>
        <w:rPr>
          <w:rFonts w:eastAsia="Times New Roman"/>
          <w:b/>
          <w:bCs/>
          <w:sz w:val="40"/>
          <w:szCs w:val="40"/>
        </w:rPr>
      </w:pPr>
    </w:p>
    <w:p w:rsidR="00AD08CB" w:rsidRPr="00761648" w:rsidRDefault="00AD08CB">
      <w:pPr>
        <w:spacing w:line="360" w:lineRule="auto"/>
        <w:jc w:val="center"/>
        <w:rPr>
          <w:rFonts w:eastAsia="Times New Roman"/>
          <w:b/>
          <w:bCs/>
          <w:sz w:val="40"/>
          <w:szCs w:val="40"/>
        </w:rPr>
      </w:pPr>
    </w:p>
    <w:p w:rsidR="00AD08CB" w:rsidRPr="00761648" w:rsidRDefault="001C42C7">
      <w:pPr>
        <w:spacing w:line="360" w:lineRule="auto"/>
        <w:jc w:val="center"/>
        <w:rPr>
          <w:rFonts w:eastAsia="Times New Roman"/>
          <w:b/>
          <w:bCs/>
          <w:sz w:val="40"/>
          <w:szCs w:val="40"/>
        </w:rPr>
      </w:pPr>
      <w:r w:rsidRPr="00761648">
        <w:rPr>
          <w:rFonts w:eastAsia="Times New Roman"/>
          <w:b/>
          <w:bCs/>
          <w:sz w:val="40"/>
          <w:szCs w:val="40"/>
        </w:rPr>
        <w:t xml:space="preserve">Management and Organisational Behaviour </w:t>
      </w:r>
    </w:p>
    <w:p w:rsidR="00AD08CB" w:rsidRPr="00761648" w:rsidRDefault="00AD08CB">
      <w:pPr>
        <w:spacing w:line="360" w:lineRule="auto"/>
        <w:jc w:val="center"/>
        <w:rPr>
          <w:rFonts w:eastAsia="Times New Roman"/>
          <w:b/>
          <w:bCs/>
          <w:sz w:val="40"/>
          <w:szCs w:val="40"/>
        </w:rPr>
      </w:pPr>
    </w:p>
    <w:p w:rsidR="00AD08CB" w:rsidRPr="00761648" w:rsidRDefault="00AD08CB">
      <w:pPr>
        <w:spacing w:line="360" w:lineRule="auto"/>
        <w:jc w:val="center"/>
        <w:rPr>
          <w:rFonts w:eastAsia="Times New Roman"/>
          <w:b/>
          <w:bCs/>
          <w:sz w:val="40"/>
          <w:szCs w:val="40"/>
        </w:rPr>
      </w:pPr>
    </w:p>
    <w:p w:rsidR="00AD08CB" w:rsidRPr="00761648" w:rsidRDefault="001C42C7" w:rsidP="00761648">
      <w:pPr>
        <w:spacing w:line="360" w:lineRule="auto"/>
        <w:jc w:val="center"/>
        <w:rPr>
          <w:rFonts w:eastAsia="Times New Roman"/>
          <w:b/>
          <w:bCs/>
          <w:iCs/>
          <w:sz w:val="40"/>
          <w:szCs w:val="40"/>
        </w:rPr>
      </w:pPr>
      <w:r w:rsidRPr="00761648">
        <w:rPr>
          <w:rFonts w:eastAsia="Times New Roman"/>
          <w:b/>
          <w:bCs/>
          <w:i/>
          <w:sz w:val="40"/>
          <w:szCs w:val="40"/>
        </w:rPr>
        <w:t>Student Name:</w:t>
      </w:r>
      <w:r w:rsidR="00761648">
        <w:rPr>
          <w:rFonts w:eastAsia="Times New Roman"/>
          <w:b/>
          <w:bCs/>
          <w:iCs/>
          <w:sz w:val="40"/>
          <w:szCs w:val="40"/>
        </w:rPr>
        <w:t xml:space="preserve"> </w:t>
      </w:r>
      <w:r w:rsidR="00761648" w:rsidRPr="00761648">
        <w:rPr>
          <w:rFonts w:eastAsia="Times New Roman"/>
          <w:b/>
          <w:bCs/>
          <w:iCs/>
          <w:sz w:val="40"/>
          <w:szCs w:val="40"/>
        </w:rPr>
        <w:t>Digbijoy Roy (2117381)</w:t>
      </w:r>
      <w:bookmarkStart w:id="0" w:name="_psx2wfy8vvz" w:colFirst="0" w:colLast="0"/>
      <w:bookmarkEnd w:id="0"/>
    </w:p>
    <w:p w:rsidR="00AD08CB" w:rsidRDefault="001C42C7">
      <w:pPr>
        <w:pStyle w:val="Heading1"/>
      </w:pPr>
      <w:bookmarkStart w:id="1" w:name="_ncuv113bgezc" w:colFirst="0" w:colLast="0"/>
      <w:bookmarkEnd w:id="1"/>
      <w:r>
        <w:br w:type="page"/>
      </w:r>
    </w:p>
    <w:bookmarkStart w:id="2" w:name="_m1b8m0jv18f" w:colFirst="0" w:colLast="0" w:displacedByCustomXml="next"/>
    <w:bookmarkEnd w:id="2" w:displacedByCustomXml="next"/>
    <w:sdt>
      <w:sdtPr>
        <w:rPr>
          <w:rFonts w:ascii="Arial" w:eastAsia="Arial" w:hAnsi="Arial" w:cs="Arial"/>
          <w:b w:val="0"/>
          <w:bCs w:val="0"/>
          <w:color w:val="auto"/>
          <w:sz w:val="24"/>
          <w:szCs w:val="24"/>
          <w:lang w:val="en-IN" w:eastAsia="en-IN"/>
        </w:rPr>
        <w:id w:val="1127195901"/>
        <w:docPartObj>
          <w:docPartGallery w:val="Table of Contents"/>
          <w:docPartUnique/>
        </w:docPartObj>
      </w:sdtPr>
      <w:sdtEndPr>
        <w:rPr>
          <w:noProof/>
        </w:rPr>
      </w:sdtEndPr>
      <w:sdtContent>
        <w:p w:rsidR="009722FF" w:rsidRPr="000B5477" w:rsidRDefault="009722FF" w:rsidP="00761648">
          <w:pPr>
            <w:pStyle w:val="TOCHeading"/>
            <w:spacing w:line="360" w:lineRule="auto"/>
            <w:jc w:val="both"/>
            <w:rPr>
              <w:rFonts w:ascii="Arial" w:hAnsi="Arial" w:cs="Arial"/>
              <w:color w:val="000000" w:themeColor="text1"/>
              <w:sz w:val="24"/>
              <w:szCs w:val="24"/>
            </w:rPr>
          </w:pPr>
          <w:r w:rsidRPr="000B5477">
            <w:rPr>
              <w:rFonts w:ascii="Arial" w:hAnsi="Arial" w:cs="Arial"/>
              <w:color w:val="000000" w:themeColor="text1"/>
              <w:sz w:val="24"/>
              <w:szCs w:val="24"/>
            </w:rPr>
            <w:t>Table of Contents</w:t>
          </w:r>
        </w:p>
        <w:p w:rsidR="000B5477" w:rsidRPr="000B5477" w:rsidRDefault="009722FF">
          <w:pPr>
            <w:pStyle w:val="TOC1"/>
            <w:tabs>
              <w:tab w:val="right" w:leader="dot" w:pos="9019"/>
            </w:tabs>
            <w:rPr>
              <w:rFonts w:asciiTheme="minorHAnsi" w:eastAsiaTheme="minorEastAsia" w:hAnsiTheme="minorHAnsi" w:cstheme="minorBidi"/>
              <w:noProof/>
              <w:kern w:val="2"/>
              <w:sz w:val="24"/>
              <w:szCs w:val="24"/>
              <w:lang w:val="en-GB" w:eastAsia="zh-CN"/>
              <w14:ligatures w14:val="standardContextual"/>
            </w:rPr>
          </w:pPr>
          <w:r w:rsidRPr="000B5477">
            <w:rPr>
              <w:sz w:val="24"/>
              <w:szCs w:val="24"/>
            </w:rPr>
            <w:fldChar w:fldCharType="begin"/>
          </w:r>
          <w:r w:rsidRPr="000B5477">
            <w:rPr>
              <w:sz w:val="24"/>
              <w:szCs w:val="24"/>
            </w:rPr>
            <w:instrText xml:space="preserve"> TOC \o "1-3" \h \z \u </w:instrText>
          </w:r>
          <w:r w:rsidRPr="000B5477">
            <w:rPr>
              <w:sz w:val="24"/>
              <w:szCs w:val="24"/>
            </w:rPr>
            <w:fldChar w:fldCharType="separate"/>
          </w:r>
          <w:hyperlink w:anchor="_Toc148044004" w:history="1">
            <w:r w:rsidR="000B5477" w:rsidRPr="000B5477">
              <w:rPr>
                <w:rStyle w:val="Hyperlink"/>
                <w:noProof/>
                <w:sz w:val="24"/>
                <w:szCs w:val="24"/>
              </w:rPr>
              <w:t>Introduction:</w:t>
            </w:r>
            <w:r w:rsidR="000B5477" w:rsidRPr="000B5477">
              <w:rPr>
                <w:noProof/>
                <w:webHidden/>
                <w:sz w:val="24"/>
                <w:szCs w:val="24"/>
              </w:rPr>
              <w:tab/>
            </w:r>
            <w:r w:rsidR="000B5477" w:rsidRPr="000B5477">
              <w:rPr>
                <w:noProof/>
                <w:webHidden/>
                <w:sz w:val="24"/>
                <w:szCs w:val="24"/>
              </w:rPr>
              <w:fldChar w:fldCharType="begin"/>
            </w:r>
            <w:r w:rsidR="000B5477" w:rsidRPr="000B5477">
              <w:rPr>
                <w:noProof/>
                <w:webHidden/>
                <w:sz w:val="24"/>
                <w:szCs w:val="24"/>
              </w:rPr>
              <w:instrText xml:space="preserve"> PAGEREF _Toc148044004 \h </w:instrText>
            </w:r>
            <w:r w:rsidR="000B5477" w:rsidRPr="000B5477">
              <w:rPr>
                <w:noProof/>
                <w:webHidden/>
                <w:sz w:val="24"/>
                <w:szCs w:val="24"/>
              </w:rPr>
            </w:r>
            <w:r w:rsidR="000B5477" w:rsidRPr="000B5477">
              <w:rPr>
                <w:noProof/>
                <w:webHidden/>
                <w:sz w:val="24"/>
                <w:szCs w:val="24"/>
              </w:rPr>
              <w:fldChar w:fldCharType="separate"/>
            </w:r>
            <w:r w:rsidR="000B5477" w:rsidRPr="000B5477">
              <w:rPr>
                <w:noProof/>
                <w:webHidden/>
                <w:sz w:val="24"/>
                <w:szCs w:val="24"/>
              </w:rPr>
              <w:t>3</w:t>
            </w:r>
            <w:r w:rsidR="000B5477" w:rsidRPr="000B5477">
              <w:rPr>
                <w:noProof/>
                <w:webHidden/>
                <w:sz w:val="24"/>
                <w:szCs w:val="24"/>
              </w:rPr>
              <w:fldChar w:fldCharType="end"/>
            </w:r>
          </w:hyperlink>
        </w:p>
        <w:p w:rsidR="000B5477" w:rsidRPr="000B5477" w:rsidRDefault="000B5477">
          <w:pPr>
            <w:pStyle w:val="TOC1"/>
            <w:tabs>
              <w:tab w:val="right" w:leader="dot" w:pos="9019"/>
            </w:tabs>
            <w:rPr>
              <w:rFonts w:asciiTheme="minorHAnsi" w:eastAsiaTheme="minorEastAsia" w:hAnsiTheme="minorHAnsi" w:cstheme="minorBidi"/>
              <w:noProof/>
              <w:kern w:val="2"/>
              <w:sz w:val="24"/>
              <w:szCs w:val="24"/>
              <w:lang w:val="en-GB" w:eastAsia="zh-CN"/>
              <w14:ligatures w14:val="standardContextual"/>
            </w:rPr>
          </w:pPr>
          <w:hyperlink w:anchor="_Toc148044005" w:history="1">
            <w:r w:rsidRPr="000B5477">
              <w:rPr>
                <w:rStyle w:val="Hyperlink"/>
                <w:noProof/>
                <w:sz w:val="24"/>
                <w:szCs w:val="24"/>
              </w:rPr>
              <w:t>1. Blake and Mouton Managerial Grid, construct a critical evaluation of General Manager Craig Poole</w:t>
            </w:r>
            <w:r w:rsidRPr="000B5477">
              <w:rPr>
                <w:noProof/>
                <w:webHidden/>
                <w:sz w:val="24"/>
                <w:szCs w:val="24"/>
              </w:rPr>
              <w:tab/>
            </w:r>
            <w:r w:rsidRPr="000B5477">
              <w:rPr>
                <w:noProof/>
                <w:webHidden/>
                <w:sz w:val="24"/>
                <w:szCs w:val="24"/>
              </w:rPr>
              <w:fldChar w:fldCharType="begin"/>
            </w:r>
            <w:r w:rsidRPr="000B5477">
              <w:rPr>
                <w:noProof/>
                <w:webHidden/>
                <w:sz w:val="24"/>
                <w:szCs w:val="24"/>
              </w:rPr>
              <w:instrText xml:space="preserve"> PAGEREF _Toc148044005 \h </w:instrText>
            </w:r>
            <w:r w:rsidRPr="000B5477">
              <w:rPr>
                <w:noProof/>
                <w:webHidden/>
                <w:sz w:val="24"/>
                <w:szCs w:val="24"/>
              </w:rPr>
            </w:r>
            <w:r w:rsidRPr="000B5477">
              <w:rPr>
                <w:noProof/>
                <w:webHidden/>
                <w:sz w:val="24"/>
                <w:szCs w:val="24"/>
              </w:rPr>
              <w:fldChar w:fldCharType="separate"/>
            </w:r>
            <w:r w:rsidRPr="000B5477">
              <w:rPr>
                <w:noProof/>
                <w:webHidden/>
                <w:sz w:val="24"/>
                <w:szCs w:val="24"/>
              </w:rPr>
              <w:t>3</w:t>
            </w:r>
            <w:r w:rsidRPr="000B5477">
              <w:rPr>
                <w:noProof/>
                <w:webHidden/>
                <w:sz w:val="24"/>
                <w:szCs w:val="24"/>
              </w:rPr>
              <w:fldChar w:fldCharType="end"/>
            </w:r>
          </w:hyperlink>
        </w:p>
        <w:p w:rsidR="000B5477" w:rsidRPr="000B5477" w:rsidRDefault="000B5477">
          <w:pPr>
            <w:pStyle w:val="TOC1"/>
            <w:tabs>
              <w:tab w:val="right" w:leader="dot" w:pos="9019"/>
            </w:tabs>
            <w:rPr>
              <w:rFonts w:asciiTheme="minorHAnsi" w:eastAsiaTheme="minorEastAsia" w:hAnsiTheme="minorHAnsi" w:cstheme="minorBidi"/>
              <w:noProof/>
              <w:kern w:val="2"/>
              <w:sz w:val="24"/>
              <w:szCs w:val="24"/>
              <w:lang w:val="en-GB" w:eastAsia="zh-CN"/>
              <w14:ligatures w14:val="standardContextual"/>
            </w:rPr>
          </w:pPr>
          <w:hyperlink w:anchor="_Toc148044006" w:history="1">
            <w:r w:rsidRPr="000B5477">
              <w:rPr>
                <w:rStyle w:val="Hyperlink"/>
                <w:noProof/>
                <w:sz w:val="24"/>
                <w:szCs w:val="24"/>
              </w:rPr>
              <w:t>2. Adair’s model of Action Centred Leadership (ACL), within each of the three key functions of managerial leadership.</w:t>
            </w:r>
            <w:r w:rsidRPr="000B5477">
              <w:rPr>
                <w:noProof/>
                <w:webHidden/>
                <w:sz w:val="24"/>
                <w:szCs w:val="24"/>
              </w:rPr>
              <w:tab/>
            </w:r>
            <w:r w:rsidRPr="000B5477">
              <w:rPr>
                <w:noProof/>
                <w:webHidden/>
                <w:sz w:val="24"/>
                <w:szCs w:val="24"/>
              </w:rPr>
              <w:fldChar w:fldCharType="begin"/>
            </w:r>
            <w:r w:rsidRPr="000B5477">
              <w:rPr>
                <w:noProof/>
                <w:webHidden/>
                <w:sz w:val="24"/>
                <w:szCs w:val="24"/>
              </w:rPr>
              <w:instrText xml:space="preserve"> PAGEREF _Toc148044006 \h </w:instrText>
            </w:r>
            <w:r w:rsidRPr="000B5477">
              <w:rPr>
                <w:noProof/>
                <w:webHidden/>
                <w:sz w:val="24"/>
                <w:szCs w:val="24"/>
              </w:rPr>
            </w:r>
            <w:r w:rsidRPr="000B5477">
              <w:rPr>
                <w:noProof/>
                <w:webHidden/>
                <w:sz w:val="24"/>
                <w:szCs w:val="24"/>
              </w:rPr>
              <w:fldChar w:fldCharType="separate"/>
            </w:r>
            <w:r w:rsidRPr="000B5477">
              <w:rPr>
                <w:noProof/>
                <w:webHidden/>
                <w:sz w:val="24"/>
                <w:szCs w:val="24"/>
              </w:rPr>
              <w:t>7</w:t>
            </w:r>
            <w:r w:rsidRPr="000B5477">
              <w:rPr>
                <w:noProof/>
                <w:webHidden/>
                <w:sz w:val="24"/>
                <w:szCs w:val="24"/>
              </w:rPr>
              <w:fldChar w:fldCharType="end"/>
            </w:r>
          </w:hyperlink>
        </w:p>
        <w:p w:rsidR="000B5477" w:rsidRPr="000B5477" w:rsidRDefault="000B5477">
          <w:pPr>
            <w:pStyle w:val="TOC1"/>
            <w:tabs>
              <w:tab w:val="right" w:leader="dot" w:pos="9019"/>
            </w:tabs>
            <w:rPr>
              <w:rFonts w:asciiTheme="minorHAnsi" w:eastAsiaTheme="minorEastAsia" w:hAnsiTheme="minorHAnsi" w:cstheme="minorBidi"/>
              <w:noProof/>
              <w:kern w:val="2"/>
              <w:sz w:val="24"/>
              <w:szCs w:val="24"/>
              <w:lang w:val="en-GB" w:eastAsia="zh-CN"/>
              <w14:ligatures w14:val="standardContextual"/>
            </w:rPr>
          </w:pPr>
          <w:hyperlink w:anchor="_Toc148044007" w:history="1">
            <w:r w:rsidRPr="000B5477">
              <w:rPr>
                <w:rStyle w:val="Hyperlink"/>
                <w:noProof/>
                <w:sz w:val="24"/>
                <w:szCs w:val="24"/>
              </w:rPr>
              <w:t>Conclusion</w:t>
            </w:r>
            <w:r w:rsidRPr="000B5477">
              <w:rPr>
                <w:noProof/>
                <w:webHidden/>
                <w:sz w:val="24"/>
                <w:szCs w:val="24"/>
              </w:rPr>
              <w:tab/>
            </w:r>
            <w:r w:rsidRPr="000B5477">
              <w:rPr>
                <w:noProof/>
                <w:webHidden/>
                <w:sz w:val="24"/>
                <w:szCs w:val="24"/>
              </w:rPr>
              <w:fldChar w:fldCharType="begin"/>
            </w:r>
            <w:r w:rsidRPr="000B5477">
              <w:rPr>
                <w:noProof/>
                <w:webHidden/>
                <w:sz w:val="24"/>
                <w:szCs w:val="24"/>
              </w:rPr>
              <w:instrText xml:space="preserve"> PAGEREF _Toc148044007 \h </w:instrText>
            </w:r>
            <w:r w:rsidRPr="000B5477">
              <w:rPr>
                <w:noProof/>
                <w:webHidden/>
                <w:sz w:val="24"/>
                <w:szCs w:val="24"/>
              </w:rPr>
            </w:r>
            <w:r w:rsidRPr="000B5477">
              <w:rPr>
                <w:noProof/>
                <w:webHidden/>
                <w:sz w:val="24"/>
                <w:szCs w:val="24"/>
              </w:rPr>
              <w:fldChar w:fldCharType="separate"/>
            </w:r>
            <w:r w:rsidRPr="000B5477">
              <w:rPr>
                <w:noProof/>
                <w:webHidden/>
                <w:sz w:val="24"/>
                <w:szCs w:val="24"/>
              </w:rPr>
              <w:t>9</w:t>
            </w:r>
            <w:r w:rsidRPr="000B5477">
              <w:rPr>
                <w:noProof/>
                <w:webHidden/>
                <w:sz w:val="24"/>
                <w:szCs w:val="24"/>
              </w:rPr>
              <w:fldChar w:fldCharType="end"/>
            </w:r>
          </w:hyperlink>
        </w:p>
        <w:p w:rsidR="000B5477" w:rsidRPr="000B5477" w:rsidRDefault="000B5477">
          <w:pPr>
            <w:pStyle w:val="TOC1"/>
            <w:tabs>
              <w:tab w:val="right" w:leader="dot" w:pos="9019"/>
            </w:tabs>
            <w:rPr>
              <w:rFonts w:asciiTheme="minorHAnsi" w:eastAsiaTheme="minorEastAsia" w:hAnsiTheme="minorHAnsi" w:cstheme="minorBidi"/>
              <w:noProof/>
              <w:kern w:val="2"/>
              <w:sz w:val="24"/>
              <w:szCs w:val="24"/>
              <w:lang w:val="en-GB" w:eastAsia="zh-CN"/>
              <w14:ligatures w14:val="standardContextual"/>
            </w:rPr>
          </w:pPr>
          <w:hyperlink w:anchor="_Toc148044008" w:history="1">
            <w:r w:rsidRPr="000B5477">
              <w:rPr>
                <w:rStyle w:val="Hyperlink"/>
                <w:noProof/>
                <w:sz w:val="24"/>
                <w:szCs w:val="24"/>
              </w:rPr>
              <w:t>Reference</w:t>
            </w:r>
            <w:r w:rsidRPr="000B5477">
              <w:rPr>
                <w:noProof/>
                <w:webHidden/>
                <w:sz w:val="24"/>
                <w:szCs w:val="24"/>
              </w:rPr>
              <w:tab/>
            </w:r>
            <w:r w:rsidRPr="000B5477">
              <w:rPr>
                <w:noProof/>
                <w:webHidden/>
                <w:sz w:val="24"/>
                <w:szCs w:val="24"/>
              </w:rPr>
              <w:fldChar w:fldCharType="begin"/>
            </w:r>
            <w:r w:rsidRPr="000B5477">
              <w:rPr>
                <w:noProof/>
                <w:webHidden/>
                <w:sz w:val="24"/>
                <w:szCs w:val="24"/>
              </w:rPr>
              <w:instrText xml:space="preserve"> PAGEREF _Toc148044008 \h </w:instrText>
            </w:r>
            <w:r w:rsidRPr="000B5477">
              <w:rPr>
                <w:noProof/>
                <w:webHidden/>
                <w:sz w:val="24"/>
                <w:szCs w:val="24"/>
              </w:rPr>
            </w:r>
            <w:r w:rsidRPr="000B5477">
              <w:rPr>
                <w:noProof/>
                <w:webHidden/>
                <w:sz w:val="24"/>
                <w:szCs w:val="24"/>
              </w:rPr>
              <w:fldChar w:fldCharType="separate"/>
            </w:r>
            <w:r w:rsidRPr="000B5477">
              <w:rPr>
                <w:noProof/>
                <w:webHidden/>
                <w:sz w:val="24"/>
                <w:szCs w:val="24"/>
              </w:rPr>
              <w:t>11</w:t>
            </w:r>
            <w:r w:rsidRPr="000B5477">
              <w:rPr>
                <w:noProof/>
                <w:webHidden/>
                <w:sz w:val="24"/>
                <w:szCs w:val="24"/>
              </w:rPr>
              <w:fldChar w:fldCharType="end"/>
            </w:r>
          </w:hyperlink>
        </w:p>
        <w:p w:rsidR="009722FF" w:rsidRPr="000B5477" w:rsidRDefault="009722FF" w:rsidP="00761648">
          <w:pPr>
            <w:spacing w:line="360" w:lineRule="auto"/>
            <w:jc w:val="both"/>
            <w:rPr>
              <w:sz w:val="24"/>
              <w:szCs w:val="24"/>
            </w:rPr>
          </w:pPr>
          <w:r w:rsidRPr="000B5477">
            <w:rPr>
              <w:b/>
              <w:bCs/>
              <w:noProof/>
              <w:sz w:val="24"/>
              <w:szCs w:val="24"/>
            </w:rPr>
            <w:fldChar w:fldCharType="end"/>
          </w:r>
        </w:p>
      </w:sdtContent>
    </w:sdt>
    <w:p w:rsidR="009722FF" w:rsidRPr="000B5477" w:rsidRDefault="009722FF" w:rsidP="00761648">
      <w:pPr>
        <w:spacing w:line="360" w:lineRule="auto"/>
        <w:jc w:val="both"/>
        <w:rPr>
          <w:rFonts w:eastAsia="Times New Roman"/>
          <w:b/>
          <w:sz w:val="24"/>
          <w:szCs w:val="24"/>
        </w:rPr>
      </w:pPr>
      <w:r w:rsidRPr="000B5477">
        <w:rPr>
          <w:sz w:val="24"/>
          <w:szCs w:val="24"/>
        </w:rPr>
        <w:br w:type="page"/>
      </w:r>
    </w:p>
    <w:p w:rsidR="00AD08CB" w:rsidRPr="00761648" w:rsidRDefault="001C42C7" w:rsidP="00761648">
      <w:pPr>
        <w:pStyle w:val="Heading1"/>
        <w:rPr>
          <w:rFonts w:ascii="Arial" w:hAnsi="Arial" w:cs="Arial"/>
          <w:sz w:val="24"/>
          <w:szCs w:val="24"/>
        </w:rPr>
      </w:pPr>
      <w:bookmarkStart w:id="3" w:name="_Toc148044004"/>
      <w:r w:rsidRPr="00761648">
        <w:rPr>
          <w:rFonts w:ascii="Arial" w:hAnsi="Arial" w:cs="Arial"/>
          <w:sz w:val="24"/>
          <w:szCs w:val="24"/>
        </w:rPr>
        <w:lastRenderedPageBreak/>
        <w:t>Introduction:</w:t>
      </w:r>
      <w:bookmarkEnd w:id="3"/>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Effective leadership is a cornerstone of success in any organisation, and the leadership style of a person may have a huge effect on their team and the outcomes achieved (</w:t>
      </w:r>
      <w:r w:rsidRPr="00761648">
        <w:rPr>
          <w:rFonts w:eastAsia="Times New Roman"/>
          <w:color w:val="222222"/>
          <w:sz w:val="24"/>
          <w:szCs w:val="24"/>
          <w:highlight w:val="white"/>
        </w:rPr>
        <w:t>Sibiya and Subban, 2023)</w:t>
      </w:r>
      <w:r w:rsidRPr="00761648">
        <w:rPr>
          <w:rFonts w:eastAsia="Times New Roman"/>
          <w:sz w:val="24"/>
          <w:szCs w:val="24"/>
        </w:rPr>
        <w:t>. In this critical evaluation, we will study the leadership style of General Manager Craig Poole, who oversees the Doubletree by Hilton in Reading, Pennsylvania, utilising two main leadership models Blake and Mouton Managerial Grid and Adair's model of Action Centred Leadership (ACL).</w:t>
      </w:r>
    </w:p>
    <w:p w:rsidR="00AD08CB" w:rsidRPr="00761648" w:rsidRDefault="00AD08CB" w:rsidP="00761648">
      <w:pPr>
        <w:pStyle w:val="Heading1"/>
        <w:rPr>
          <w:rFonts w:ascii="Arial" w:hAnsi="Arial" w:cs="Arial"/>
          <w:sz w:val="24"/>
          <w:szCs w:val="24"/>
        </w:rPr>
      </w:pPr>
      <w:bookmarkStart w:id="4" w:name="_yhtigvilo8m0" w:colFirst="0" w:colLast="0"/>
      <w:bookmarkEnd w:id="4"/>
    </w:p>
    <w:p w:rsidR="00AD08CB" w:rsidRPr="00761648" w:rsidRDefault="001C42C7" w:rsidP="00761648">
      <w:pPr>
        <w:pStyle w:val="Heading1"/>
        <w:rPr>
          <w:rFonts w:ascii="Arial" w:hAnsi="Arial" w:cs="Arial"/>
          <w:sz w:val="24"/>
          <w:szCs w:val="24"/>
        </w:rPr>
      </w:pPr>
      <w:bookmarkStart w:id="5" w:name="_8j7o107hkznh" w:colFirst="0" w:colLast="0"/>
      <w:bookmarkStart w:id="6" w:name="_Toc148044005"/>
      <w:bookmarkEnd w:id="5"/>
      <w:r w:rsidRPr="00761648">
        <w:rPr>
          <w:rFonts w:ascii="Arial" w:hAnsi="Arial" w:cs="Arial"/>
          <w:sz w:val="24"/>
          <w:szCs w:val="24"/>
        </w:rPr>
        <w:t>1. Blake and Mouton Managerial Grid, construct a critical evaluation of General Manager Craig Poole</w:t>
      </w:r>
      <w:bookmarkEnd w:id="6"/>
    </w:p>
    <w:p w:rsidR="00AD08CB" w:rsidRPr="00761648" w:rsidRDefault="00761648" w:rsidP="00761648">
      <w:pPr>
        <w:spacing w:line="360" w:lineRule="auto"/>
        <w:jc w:val="both"/>
        <w:rPr>
          <w:rFonts w:eastAsia="Times New Roman"/>
          <w:b/>
          <w:sz w:val="24"/>
          <w:szCs w:val="24"/>
        </w:rPr>
      </w:pPr>
      <w:r w:rsidRPr="00761648">
        <w:rPr>
          <w:rFonts w:eastAsia="Times New Roman"/>
          <w:b/>
          <w:sz w:val="24"/>
          <w:szCs w:val="24"/>
        </w:rPr>
        <w:t>Analysing</w:t>
      </w:r>
      <w:r w:rsidR="001C42C7" w:rsidRPr="00761648">
        <w:rPr>
          <w:rFonts w:eastAsia="Times New Roman"/>
          <w:b/>
          <w:sz w:val="24"/>
          <w:szCs w:val="24"/>
        </w:rPr>
        <w:t xml:space="preserve"> Craig Poole's Leadership Style</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Craig Poole's leadership style is described as "Team Management" on the Blake and Mouton Managerial </w:t>
      </w:r>
      <w:r w:rsidR="00761648" w:rsidRPr="00761648">
        <w:rPr>
          <w:rFonts w:eastAsia="Times New Roman"/>
          <w:sz w:val="24"/>
          <w:szCs w:val="24"/>
        </w:rPr>
        <w:t>Grid;</w:t>
      </w:r>
      <w:r w:rsidRPr="00761648">
        <w:rPr>
          <w:rFonts w:eastAsia="Times New Roman"/>
          <w:sz w:val="24"/>
          <w:szCs w:val="24"/>
        </w:rPr>
        <w:t xml:space="preserve"> </w:t>
      </w:r>
      <w:r w:rsidR="00761648" w:rsidRPr="00761648">
        <w:rPr>
          <w:rFonts w:eastAsia="Times New Roman"/>
          <w:sz w:val="24"/>
          <w:szCs w:val="24"/>
        </w:rPr>
        <w:t>therefore,</w:t>
      </w:r>
      <w:r w:rsidRPr="00761648">
        <w:rPr>
          <w:rFonts w:eastAsia="Times New Roman"/>
          <w:sz w:val="24"/>
          <w:szCs w:val="24"/>
        </w:rPr>
        <w:t xml:space="preserve"> we can now examine the efficacy of his strategy using reliable literature and peer-reviewed sources.</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numPr>
          <w:ilvl w:val="0"/>
          <w:numId w:val="2"/>
        </w:numPr>
        <w:spacing w:line="360" w:lineRule="auto"/>
        <w:jc w:val="both"/>
        <w:rPr>
          <w:rFonts w:eastAsia="Times New Roman"/>
          <w:sz w:val="24"/>
          <w:szCs w:val="24"/>
        </w:rPr>
      </w:pPr>
      <w:r w:rsidRPr="00761648">
        <w:rPr>
          <w:rFonts w:eastAsia="Times New Roman"/>
          <w:b/>
          <w:i/>
          <w:sz w:val="24"/>
          <w:szCs w:val="24"/>
        </w:rPr>
        <w:t xml:space="preserve">Employee Engagement and Motivation: </w:t>
      </w:r>
      <w:r w:rsidRPr="00761648">
        <w:rPr>
          <w:rFonts w:eastAsia="Times New Roman"/>
          <w:sz w:val="24"/>
          <w:szCs w:val="24"/>
        </w:rPr>
        <w:t>Craig Poole's focus is on hiring people who have a passion for hospitality and giving them the chance to positively impact their community jives with the concepts of employee engagement and motivation (</w:t>
      </w:r>
      <w:r w:rsidRPr="00761648">
        <w:rPr>
          <w:rFonts w:eastAsia="Times New Roman"/>
          <w:color w:val="222222"/>
          <w:sz w:val="24"/>
          <w:szCs w:val="24"/>
          <w:highlight w:val="white"/>
        </w:rPr>
        <w:t>Hidary</w:t>
      </w:r>
      <w:r w:rsidRPr="00761648">
        <w:rPr>
          <w:rFonts w:eastAsia="Times New Roman"/>
          <w:i/>
          <w:color w:val="222222"/>
          <w:sz w:val="24"/>
          <w:szCs w:val="24"/>
          <w:highlight w:val="white"/>
        </w:rPr>
        <w:t xml:space="preserve"> et al. </w:t>
      </w:r>
      <w:r w:rsidRPr="00761648">
        <w:rPr>
          <w:rFonts w:eastAsia="Times New Roman"/>
          <w:color w:val="222222"/>
          <w:sz w:val="24"/>
          <w:szCs w:val="24"/>
          <w:highlight w:val="white"/>
        </w:rPr>
        <w:t>2023)</w:t>
      </w:r>
      <w:r w:rsidRPr="00761648">
        <w:rPr>
          <w:rFonts w:eastAsia="Times New Roman"/>
          <w:sz w:val="24"/>
          <w:szCs w:val="24"/>
        </w:rPr>
        <w:t>. According to studies, managers who put their workers' needs first and provide chances for both personal and professional development may encourage better levels of motivation, engagement, and engagement.</w:t>
      </w:r>
    </w:p>
    <w:p w:rsidR="00AD08CB" w:rsidRPr="00761648" w:rsidRDefault="001C42C7" w:rsidP="00761648">
      <w:pPr>
        <w:numPr>
          <w:ilvl w:val="0"/>
          <w:numId w:val="2"/>
        </w:numPr>
        <w:spacing w:line="360" w:lineRule="auto"/>
        <w:jc w:val="both"/>
        <w:rPr>
          <w:rFonts w:eastAsia="Times New Roman"/>
          <w:sz w:val="24"/>
          <w:szCs w:val="24"/>
        </w:rPr>
      </w:pPr>
      <w:r w:rsidRPr="00761648">
        <w:rPr>
          <w:rFonts w:eastAsia="Times New Roman"/>
          <w:b/>
          <w:i/>
          <w:sz w:val="24"/>
          <w:szCs w:val="24"/>
        </w:rPr>
        <w:t>Organisational Performance:</w:t>
      </w:r>
      <w:r w:rsidRPr="00761648">
        <w:rPr>
          <w:rFonts w:eastAsia="Times New Roman"/>
          <w:sz w:val="24"/>
          <w:szCs w:val="24"/>
        </w:rPr>
        <w:t xml:space="preserve"> Craig Poole's leadership of the Doubletree by Hilton in Reading, Pennsylvania, has seen extraordinary success, as seen by its excellent ratings and affordable prices. This success is proof that his approach has a positive effect on organisational performance (</w:t>
      </w:r>
      <w:r w:rsidRPr="00761648">
        <w:rPr>
          <w:rFonts w:eastAsia="Times New Roman"/>
          <w:color w:val="222222"/>
          <w:sz w:val="24"/>
          <w:szCs w:val="24"/>
          <w:highlight w:val="white"/>
        </w:rPr>
        <w:t>Dadich and Farr-Wharton, 2020)</w:t>
      </w:r>
      <w:r w:rsidRPr="00761648">
        <w:rPr>
          <w:rFonts w:eastAsia="Times New Roman"/>
          <w:sz w:val="24"/>
          <w:szCs w:val="24"/>
        </w:rPr>
        <w:t xml:space="preserve"> According to research, leadership philosophies that prioritise people, as well as output, are associated with greater levels of organisational success. Particularly the Team Management style is praised for its capacity to drive outcomes while keeping a positive workplace culture.</w:t>
      </w:r>
    </w:p>
    <w:p w:rsidR="00AD08CB" w:rsidRPr="00761648" w:rsidRDefault="001C42C7" w:rsidP="00761648">
      <w:pPr>
        <w:numPr>
          <w:ilvl w:val="0"/>
          <w:numId w:val="2"/>
        </w:numPr>
        <w:spacing w:line="360" w:lineRule="auto"/>
        <w:jc w:val="both"/>
        <w:rPr>
          <w:rFonts w:eastAsia="Times New Roman"/>
          <w:sz w:val="24"/>
          <w:szCs w:val="24"/>
        </w:rPr>
      </w:pPr>
      <w:r w:rsidRPr="00761648">
        <w:rPr>
          <w:rFonts w:eastAsia="Times New Roman"/>
          <w:b/>
          <w:i/>
          <w:sz w:val="24"/>
          <w:szCs w:val="24"/>
        </w:rPr>
        <w:t xml:space="preserve">Team development and retention: </w:t>
      </w:r>
      <w:r w:rsidRPr="00761648">
        <w:rPr>
          <w:rFonts w:eastAsia="Times New Roman"/>
          <w:sz w:val="24"/>
          <w:szCs w:val="24"/>
        </w:rPr>
        <w:t>Craig Poole's willingness to provide chances to workers with little experience or a troubled history demonstrates a commitment to staff development and retention (</w:t>
      </w:r>
      <w:r w:rsidR="00761648" w:rsidRPr="00761648">
        <w:rPr>
          <w:rFonts w:eastAsia="Times New Roman"/>
          <w:color w:val="222222"/>
          <w:sz w:val="24"/>
          <w:szCs w:val="24"/>
          <w:highlight w:val="white"/>
        </w:rPr>
        <w:t>Haricharan, 2023</w:t>
      </w:r>
      <w:r w:rsidRPr="00761648">
        <w:rPr>
          <w:rFonts w:eastAsia="Times New Roman"/>
          <w:color w:val="222222"/>
          <w:sz w:val="24"/>
          <w:szCs w:val="24"/>
          <w:highlight w:val="white"/>
        </w:rPr>
        <w:t>)</w:t>
      </w:r>
      <w:r w:rsidRPr="00761648">
        <w:rPr>
          <w:rFonts w:eastAsia="Times New Roman"/>
          <w:sz w:val="24"/>
          <w:szCs w:val="24"/>
        </w:rPr>
        <w:t xml:space="preserve">. </w:t>
      </w:r>
      <w:r w:rsidR="00761648" w:rsidRPr="00761648">
        <w:rPr>
          <w:rFonts w:eastAsia="Times New Roman"/>
          <w:sz w:val="24"/>
          <w:szCs w:val="24"/>
        </w:rPr>
        <w:t>To</w:t>
      </w:r>
      <w:r w:rsidRPr="00761648">
        <w:rPr>
          <w:rFonts w:eastAsia="Times New Roman"/>
          <w:sz w:val="24"/>
          <w:szCs w:val="24"/>
        </w:rPr>
        <w:t xml:space="preserve"> reduce </w:t>
      </w:r>
      <w:r w:rsidRPr="00761648">
        <w:rPr>
          <w:rFonts w:eastAsia="Times New Roman"/>
          <w:sz w:val="24"/>
          <w:szCs w:val="24"/>
        </w:rPr>
        <w:lastRenderedPageBreak/>
        <w:t>turnover and develop a devoted and devoted staff, research has highlighted the need to provide development opportunities and second chances.</w:t>
      </w:r>
    </w:p>
    <w:p w:rsidR="00AD08CB" w:rsidRPr="00761648" w:rsidRDefault="001C42C7" w:rsidP="00761648">
      <w:pPr>
        <w:numPr>
          <w:ilvl w:val="0"/>
          <w:numId w:val="2"/>
        </w:numPr>
        <w:spacing w:line="360" w:lineRule="auto"/>
        <w:jc w:val="both"/>
        <w:rPr>
          <w:rFonts w:eastAsia="Times New Roman"/>
          <w:sz w:val="24"/>
          <w:szCs w:val="24"/>
        </w:rPr>
      </w:pPr>
      <w:r w:rsidRPr="00761648">
        <w:rPr>
          <w:rFonts w:eastAsia="Times New Roman"/>
          <w:b/>
          <w:i/>
          <w:sz w:val="24"/>
          <w:szCs w:val="24"/>
        </w:rPr>
        <w:t>Community Impact:</w:t>
      </w:r>
      <w:r w:rsidRPr="00761648">
        <w:rPr>
          <w:rFonts w:eastAsia="Times New Roman"/>
          <w:sz w:val="24"/>
          <w:szCs w:val="24"/>
        </w:rPr>
        <w:t xml:space="preserve"> Craig Poole's method has a good influence on the community in addition to the organisation. Poole demonstrates a socially aware leadership style by emphasising hiring locals and helping to restore the neighbourhood (</w:t>
      </w:r>
      <w:r w:rsidRPr="00761648">
        <w:rPr>
          <w:rFonts w:eastAsia="Times New Roman"/>
          <w:color w:val="222222"/>
          <w:sz w:val="24"/>
          <w:szCs w:val="24"/>
          <w:highlight w:val="white"/>
        </w:rPr>
        <w:t xml:space="preserve">Rees and </w:t>
      </w:r>
      <w:r w:rsidR="00761648" w:rsidRPr="00761648">
        <w:rPr>
          <w:rFonts w:eastAsia="Times New Roman"/>
          <w:color w:val="222222"/>
          <w:sz w:val="24"/>
          <w:szCs w:val="24"/>
          <w:highlight w:val="white"/>
        </w:rPr>
        <w:t>Mullins, 2023</w:t>
      </w:r>
      <w:r w:rsidRPr="00761648">
        <w:rPr>
          <w:rFonts w:eastAsia="Times New Roman"/>
          <w:color w:val="222222"/>
          <w:sz w:val="24"/>
          <w:szCs w:val="24"/>
          <w:highlight w:val="white"/>
        </w:rPr>
        <w:t>)</w:t>
      </w:r>
      <w:r w:rsidRPr="00761648">
        <w:rPr>
          <w:rFonts w:eastAsia="Times New Roman"/>
          <w:sz w:val="24"/>
          <w:szCs w:val="24"/>
        </w:rPr>
        <w:t>. Such community involvement may improve the organization's image and foster positive connections with regional stakeholders.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Craig Poole, the general manager of the Doubletree by Hilton in Reading, Pennsylvania, has garnered recognition for his remarkable managerial skills and his capacity to turn around a struggling hotel into a widely valued facility. We must study Craig Poole's leadership style by </w:t>
      </w:r>
      <w:r w:rsidR="00761648" w:rsidRPr="00761648">
        <w:rPr>
          <w:rFonts w:eastAsia="Times New Roman"/>
          <w:sz w:val="24"/>
          <w:szCs w:val="24"/>
        </w:rPr>
        <w:t>considering</w:t>
      </w:r>
      <w:r w:rsidRPr="00761648">
        <w:rPr>
          <w:rFonts w:eastAsia="Times New Roman"/>
          <w:sz w:val="24"/>
          <w:szCs w:val="24"/>
        </w:rPr>
        <w:t xml:space="preserve"> numerous components of his management style </w:t>
      </w:r>
      <w:r w:rsidR="00761648" w:rsidRPr="00761648">
        <w:rPr>
          <w:rFonts w:eastAsia="Times New Roman"/>
          <w:sz w:val="24"/>
          <w:szCs w:val="24"/>
        </w:rPr>
        <w:t>to</w:t>
      </w:r>
      <w:r w:rsidRPr="00761648">
        <w:rPr>
          <w:rFonts w:eastAsia="Times New Roman"/>
          <w:sz w:val="24"/>
          <w:szCs w:val="24"/>
        </w:rPr>
        <w:t xml:space="preserve"> ascertain his chosen management style based on the Blake and Mouton Managerial Grid (</w:t>
      </w:r>
      <w:r w:rsidR="00761648" w:rsidRPr="00761648">
        <w:rPr>
          <w:rFonts w:eastAsia="Times New Roman"/>
          <w:color w:val="222222"/>
          <w:sz w:val="24"/>
          <w:szCs w:val="24"/>
          <w:highlight w:val="white"/>
        </w:rPr>
        <w:t>Pathak, 2020</w:t>
      </w:r>
      <w:r w:rsidRPr="00761648">
        <w:rPr>
          <w:rFonts w:eastAsia="Times New Roman"/>
          <w:color w:val="222222"/>
          <w:sz w:val="24"/>
          <w:szCs w:val="24"/>
          <w:highlight w:val="white"/>
        </w:rPr>
        <w:t>)</w:t>
      </w:r>
      <w:r w:rsidRPr="00761648">
        <w:rPr>
          <w:rFonts w:eastAsia="Times New Roman"/>
          <w:sz w:val="24"/>
          <w:szCs w:val="24"/>
        </w:rPr>
        <w:t>. Five varied leadership styles are presented by the Blake and Mouton Managerial Grid: Impoverished Management, Produce-or-Perish Management, Middle-of-the-Road Management, Country Club Management, and Team Management. We may learn more about Craig Poole's management philosophy and how it influences the hotel's performance by looking at how his leadership relates to different leadership styles.</w:t>
      </w:r>
    </w:p>
    <w:p w:rsidR="00AD08CB" w:rsidRPr="00761648" w:rsidRDefault="001C42C7" w:rsidP="00761648">
      <w:pPr>
        <w:spacing w:line="360" w:lineRule="auto"/>
        <w:jc w:val="both"/>
        <w:rPr>
          <w:rFonts w:eastAsia="Times New Roman"/>
          <w:sz w:val="24"/>
          <w:szCs w:val="24"/>
        </w:rPr>
      </w:pPr>
      <w:r w:rsidRPr="00761648">
        <w:rPr>
          <w:rFonts w:eastAsia="Times New Roman"/>
          <w:noProof/>
          <w:sz w:val="24"/>
          <w:szCs w:val="24"/>
        </w:rPr>
        <w:drawing>
          <wp:inline distT="114300" distB="114300" distL="114300" distR="114300">
            <wp:extent cx="4038600" cy="30339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38600" cy="3033936"/>
                    </a:xfrm>
                    <a:prstGeom prst="rect">
                      <a:avLst/>
                    </a:prstGeom>
                    <a:ln/>
                  </pic:spPr>
                </pic:pic>
              </a:graphicData>
            </a:graphic>
          </wp:inline>
        </w:drawing>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Impoverished Management – Low Results/Low People:</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lastRenderedPageBreak/>
        <w:t>Impoverished Management is marked by a lack of caring for both the people and the outcomes. This form of management is typified by a lack of interest in building effective processes for achieving tasks and a disdain for the demands of their people. Discord, discontent, and disorganisation come from this.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It is evident that Craig Poole does not like this look. The Doubletree by Hilton in Reading went from being a struggling hotel to becoming the best-rated Doubletree in the whole globe, exhibiting a strong emphasis on outcomes and customer happiness (</w:t>
      </w:r>
      <w:r w:rsidRPr="00761648">
        <w:rPr>
          <w:rFonts w:eastAsia="Times New Roman"/>
          <w:color w:val="222222"/>
          <w:sz w:val="24"/>
          <w:szCs w:val="24"/>
          <w:highlight w:val="white"/>
        </w:rPr>
        <w:t>Chinyamurindi, Mathibe and Marange, 2023)</w:t>
      </w:r>
      <w:r w:rsidRPr="00761648">
        <w:rPr>
          <w:rFonts w:eastAsia="Times New Roman"/>
          <w:sz w:val="24"/>
          <w:szCs w:val="24"/>
        </w:rPr>
        <w:t>. He made a concentrated effort to recruit employees who had the "joy of hospitality in their hearts," exhibiting a dedication to creating a motivated and content team.</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Produce-or-Perish Management – High Results/Low People:</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The produce-or-perish management concept prioritises great performance above the desires of the employees. This management style, which may be dictatorial and rely primarily on punishment and rigid regulations as incentives, may result in strong early productivity but poor team morale and motivation.</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Although the stunning makeover of the hotel is proof of Craig Poole's attention on outcomes, his method is significantly different from this style (</w:t>
      </w:r>
      <w:r w:rsidRPr="00761648">
        <w:rPr>
          <w:rFonts w:eastAsia="Times New Roman"/>
          <w:color w:val="222222"/>
          <w:sz w:val="24"/>
          <w:szCs w:val="24"/>
          <w:highlight w:val="white"/>
        </w:rPr>
        <w:t>Nani and Safitri, 2021)</w:t>
      </w:r>
      <w:r w:rsidRPr="00761648">
        <w:rPr>
          <w:rFonts w:eastAsia="Times New Roman"/>
          <w:sz w:val="24"/>
          <w:szCs w:val="24"/>
        </w:rPr>
        <w:t xml:space="preserve">. He sought out people who shared his optimism for the city and provided them with the opportunity to work together to create something </w:t>
      </w:r>
      <w:r w:rsidR="00761648" w:rsidRPr="00761648">
        <w:rPr>
          <w:rFonts w:eastAsia="Times New Roman"/>
          <w:sz w:val="24"/>
          <w:szCs w:val="24"/>
        </w:rPr>
        <w:t>amazing</w:t>
      </w:r>
      <w:r w:rsidRPr="00761648">
        <w:rPr>
          <w:rFonts w:eastAsia="Times New Roman"/>
          <w:sz w:val="24"/>
          <w:szCs w:val="24"/>
        </w:rPr>
        <w:t>, which shows a more inclusive and exciting leadership style. His leadership approach makes no mention of punishment or severe control.</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Mid-Road Management - Medium People/Medium Results:</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Middle-of-the-road management seeks to create a balance between people and outcomes, but it typically falls short of encouraging high performance or appropriately addressing people's needs. The team may perform only passably </w:t>
      </w:r>
      <w:r w:rsidR="00761648" w:rsidRPr="00761648">
        <w:rPr>
          <w:rFonts w:eastAsia="Times New Roman"/>
          <w:sz w:val="24"/>
          <w:szCs w:val="24"/>
        </w:rPr>
        <w:t>because of</w:t>
      </w:r>
      <w:r w:rsidRPr="00761648">
        <w:rPr>
          <w:rFonts w:eastAsia="Times New Roman"/>
          <w:sz w:val="24"/>
          <w:szCs w:val="24"/>
        </w:rPr>
        <w:t xml:space="preserve"> this (</w:t>
      </w:r>
      <w:r w:rsidRPr="00761648">
        <w:rPr>
          <w:rFonts w:eastAsia="Times New Roman"/>
          <w:color w:val="222222"/>
          <w:sz w:val="24"/>
          <w:szCs w:val="24"/>
          <w:highlight w:val="white"/>
        </w:rPr>
        <w:t>Coffin and Tang, 2023.)</w:t>
      </w:r>
      <w:r w:rsidRPr="00761648">
        <w:rPr>
          <w:rFonts w:eastAsia="Times New Roman"/>
          <w:sz w:val="24"/>
          <w:szCs w:val="24"/>
        </w:rPr>
        <w:t>.</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Middle-of-the-road management is different from Craig Poole's strategy as well. Even while he attempted to establish a strong team via the pleasure of hospitality, his emphasis on getting great outcomes alludes to a </w:t>
      </w:r>
      <w:r w:rsidR="00761648" w:rsidRPr="00761648">
        <w:rPr>
          <w:rFonts w:eastAsia="Times New Roman"/>
          <w:sz w:val="24"/>
          <w:szCs w:val="24"/>
        </w:rPr>
        <w:t>livelier</w:t>
      </w:r>
      <w:r w:rsidRPr="00761648">
        <w:rPr>
          <w:rFonts w:eastAsia="Times New Roman"/>
          <w:sz w:val="24"/>
          <w:szCs w:val="24"/>
        </w:rPr>
        <w:t xml:space="preserve"> and performance-oriented style.</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sz w:val="24"/>
          <w:szCs w:val="24"/>
        </w:rPr>
      </w:pPr>
      <w:r w:rsidRPr="00761648">
        <w:rPr>
          <w:rFonts w:eastAsia="Times New Roman"/>
          <w:b/>
          <w:sz w:val="24"/>
          <w:szCs w:val="24"/>
        </w:rPr>
        <w:lastRenderedPageBreak/>
        <w:t>Country Club Management – High People/Low Results: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The needs and sentiments of team members are given precedence by the country club administration at the cost of outcomes. Although it may provide a laid-back and comfortable work culture, it can lack direction and control, which would hinder productivity (</w:t>
      </w:r>
      <w:r w:rsidRPr="00761648">
        <w:rPr>
          <w:rFonts w:eastAsia="Times New Roman"/>
          <w:color w:val="222222"/>
          <w:sz w:val="24"/>
          <w:szCs w:val="24"/>
          <w:highlight w:val="white"/>
        </w:rPr>
        <w:t>Mansaray, 2019)</w:t>
      </w:r>
      <w:r w:rsidRPr="00761648">
        <w:rPr>
          <w:rFonts w:eastAsia="Times New Roman"/>
          <w:sz w:val="24"/>
          <w:szCs w:val="24"/>
        </w:rPr>
        <w:t>.</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Craig Poole's strategy is analogous to country club management in that he aggressively sought for people who prioritised the pleasure of hospitality in their hearts while also expressing optimism for the city. It is crucial to recall, nonetheless, that the hotel's tremendous success proves that he did not forsake success </w:t>
      </w:r>
      <w:r w:rsidR="00761648" w:rsidRPr="00761648">
        <w:rPr>
          <w:rFonts w:eastAsia="Times New Roman"/>
          <w:sz w:val="24"/>
          <w:szCs w:val="24"/>
        </w:rPr>
        <w:t>to</w:t>
      </w:r>
      <w:r w:rsidRPr="00761648">
        <w:rPr>
          <w:rFonts w:eastAsia="Times New Roman"/>
          <w:sz w:val="24"/>
          <w:szCs w:val="24"/>
        </w:rPr>
        <w:t xml:space="preserve"> cultivate a laid-back culture. The hotel's great reviews and profitability suggest that he did a good job of matching visitors' wants with exemplary achievements.</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Team Management – High Production/High People:</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The most successful leadership strategy is team management, which puts both people and outcomes first. Team managers motivate their team to accomplish significant results by encouraging them to be dedicated to their organization's aims (</w:t>
      </w:r>
      <w:r w:rsidRPr="00761648">
        <w:rPr>
          <w:rFonts w:eastAsia="Times New Roman"/>
          <w:color w:val="222222"/>
          <w:sz w:val="24"/>
          <w:szCs w:val="24"/>
          <w:highlight w:val="white"/>
        </w:rPr>
        <w:t>Korbekandi, Kazemi, and Danaeefard, 2023)</w:t>
      </w:r>
      <w:r w:rsidRPr="00761648">
        <w:rPr>
          <w:rFonts w:eastAsia="Times New Roman"/>
          <w:sz w:val="24"/>
          <w:szCs w:val="24"/>
        </w:rPr>
        <w:t>. They also take care of their personnel, emphasising empowerment and respect.</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Craig Poole's management method most closely approaches team management. He was driven to build the hotel, put a lot of effort into attaining great outcomes, and simultaneously focused on encouraging and empowering his personnel (</w:t>
      </w:r>
      <w:r w:rsidRPr="00761648">
        <w:rPr>
          <w:rFonts w:eastAsia="Times New Roman"/>
          <w:color w:val="222222"/>
          <w:sz w:val="24"/>
          <w:szCs w:val="24"/>
          <w:highlight w:val="white"/>
        </w:rPr>
        <w:t>Lugosi, 2019)</w:t>
      </w:r>
      <w:r w:rsidRPr="00761648">
        <w:rPr>
          <w:rFonts w:eastAsia="Times New Roman"/>
          <w:sz w:val="24"/>
          <w:szCs w:val="24"/>
        </w:rPr>
        <w:t>. The Doubletree by Hilton in Reading, Pennsylvania, which is the best-rated Doubletree in the world, is a good example of how to manage a team to achieve high levels of guest enjoyment and financial success.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As assessed by the Blake and Mouton Managerial Grid, Craig Poole's selected management strategy closely resembles the Team Management style (</w:t>
      </w:r>
      <w:r w:rsidRPr="00761648">
        <w:rPr>
          <w:rFonts w:eastAsia="Times New Roman"/>
          <w:color w:val="222222"/>
          <w:sz w:val="24"/>
          <w:szCs w:val="24"/>
          <w:highlight w:val="white"/>
        </w:rPr>
        <w:t>Islam</w:t>
      </w:r>
      <w:r w:rsidRPr="00761648">
        <w:rPr>
          <w:rFonts w:eastAsia="Times New Roman"/>
          <w:i/>
          <w:color w:val="222222"/>
          <w:sz w:val="24"/>
          <w:szCs w:val="24"/>
          <w:highlight w:val="white"/>
        </w:rPr>
        <w:t xml:space="preserve"> et al.</w:t>
      </w:r>
      <w:r w:rsidRPr="00761648">
        <w:rPr>
          <w:rFonts w:eastAsia="Times New Roman"/>
          <w:color w:val="222222"/>
          <w:sz w:val="24"/>
          <w:szCs w:val="24"/>
          <w:highlight w:val="white"/>
        </w:rPr>
        <w:t xml:space="preserve"> 2023)</w:t>
      </w:r>
      <w:r w:rsidRPr="00761648">
        <w:rPr>
          <w:rFonts w:eastAsia="Times New Roman"/>
          <w:sz w:val="24"/>
          <w:szCs w:val="24"/>
        </w:rPr>
        <w:t>. His management approach displays a devotion to both achieving exceptional outcomes and nurturing a motivated team. He effectively turned a struggling hotel into a very prosperous business by employing people who shared his vision and ideals. His plan offers as a brilliant example of how strong leadership can improve sales, repeat business, and five-star reviews while having a constructive influence on the neighbourhood.</w:t>
      </w:r>
    </w:p>
    <w:p w:rsidR="00AD08CB" w:rsidRPr="00761648" w:rsidRDefault="00AD08CB" w:rsidP="00761648">
      <w:pPr>
        <w:spacing w:line="360" w:lineRule="auto"/>
        <w:jc w:val="both"/>
        <w:rPr>
          <w:rFonts w:eastAsia="Times New Roman"/>
          <w:sz w:val="24"/>
          <w:szCs w:val="24"/>
        </w:rPr>
      </w:pP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pStyle w:val="Heading1"/>
        <w:rPr>
          <w:rFonts w:ascii="Arial" w:hAnsi="Arial" w:cs="Arial"/>
          <w:sz w:val="24"/>
          <w:szCs w:val="24"/>
        </w:rPr>
      </w:pPr>
      <w:bookmarkStart w:id="7" w:name="_feducbkn79jp" w:colFirst="0" w:colLast="0"/>
      <w:bookmarkStart w:id="8" w:name="_Toc148044006"/>
      <w:bookmarkEnd w:id="7"/>
      <w:r w:rsidRPr="00761648">
        <w:rPr>
          <w:rFonts w:ascii="Arial" w:hAnsi="Arial" w:cs="Arial"/>
          <w:sz w:val="24"/>
          <w:szCs w:val="24"/>
        </w:rPr>
        <w:lastRenderedPageBreak/>
        <w:t>2. Adair’s model of Action Centred Leadership (ACL</w:t>
      </w:r>
      <w:r w:rsidR="00761648" w:rsidRPr="00761648">
        <w:rPr>
          <w:rFonts w:ascii="Arial" w:hAnsi="Arial" w:cs="Arial"/>
          <w:sz w:val="24"/>
          <w:szCs w:val="24"/>
        </w:rPr>
        <w:t>), within</w:t>
      </w:r>
      <w:r w:rsidRPr="00761648">
        <w:rPr>
          <w:rFonts w:ascii="Arial" w:hAnsi="Arial" w:cs="Arial"/>
          <w:sz w:val="24"/>
          <w:szCs w:val="24"/>
        </w:rPr>
        <w:t xml:space="preserve"> each of the three key functions of managerial leadership.</w:t>
      </w:r>
      <w:bookmarkEnd w:id="8"/>
      <w:r w:rsidRPr="00761648">
        <w:rPr>
          <w:rFonts w:ascii="Arial" w:hAnsi="Arial" w:cs="Arial"/>
          <w:sz w:val="24"/>
          <w:szCs w:val="24"/>
        </w:rPr>
        <w:t xml:space="preserve"> </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Craig Poole, the General Manager of Doubletree by Hilton in Reading, Pennsylvania, gives an excellent demonstration of good leadership via the viewpoint of Action Centered Leadership (ACL). Adair's method focuses on three essential areas: task, team, and individual attention. Examining Poole's technique, it becomes evident how he succeeds in numerous industries, changing a failed hotel into an international success story.</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b/>
          <w:sz w:val="24"/>
          <w:szCs w:val="24"/>
        </w:rPr>
        <w:t>1. Task Focus: Achieving Goals:</w:t>
      </w:r>
      <w:r w:rsidRPr="00761648">
        <w:rPr>
          <w:rFonts w:eastAsia="Times New Roman"/>
          <w:sz w:val="24"/>
          <w:szCs w:val="24"/>
        </w:rPr>
        <w:t xml:space="preserve"> Craig Poole exhibited exceptional task-oriented leadership by revitalising a failing hotel in a challenging environment. He defined clear goals: to improve visitor experience, elevate the hotel's reputation, and increase profits (</w:t>
      </w:r>
      <w:r w:rsidRPr="00761648">
        <w:rPr>
          <w:rFonts w:eastAsia="Times New Roman"/>
          <w:color w:val="222222"/>
          <w:sz w:val="24"/>
          <w:szCs w:val="24"/>
          <w:highlight w:val="white"/>
        </w:rPr>
        <w:t>Sharman, Wallace, and Jespersen, 2020)</w:t>
      </w:r>
      <w:r w:rsidRPr="00761648">
        <w:rPr>
          <w:rFonts w:eastAsia="Times New Roman"/>
          <w:sz w:val="24"/>
          <w:szCs w:val="24"/>
        </w:rPr>
        <w:t>. His solutions included engaging diverse personnel, emphasising individual abilities, and combining their operations with the wider purpose of improving the hotel. By focusing on speed and quality, he achieved exceptional success, making Doubletree by Hilton in Reading, Pennsylvania, the top-rated Doubletree globally.</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b/>
          <w:sz w:val="24"/>
          <w:szCs w:val="24"/>
        </w:rPr>
        <w:t xml:space="preserve">2. Team Focus: Effective Teamwork and Group Cohesion: </w:t>
      </w:r>
      <w:r w:rsidRPr="00761648">
        <w:rPr>
          <w:rFonts w:eastAsia="Times New Roman"/>
          <w:sz w:val="24"/>
          <w:szCs w:val="24"/>
        </w:rPr>
        <w:t>Poole's emphasis on collaboration and group cohesion was important in turning around the hotel. He employed around 200 individuals, many without skills, and established a spirit of community and purpose among them. By hiring individuals who shared his vision and ideals, Poole established a cohesive team (</w:t>
      </w:r>
      <w:r w:rsidRPr="00761648">
        <w:rPr>
          <w:rFonts w:eastAsia="Times New Roman"/>
          <w:color w:val="222222"/>
          <w:sz w:val="24"/>
          <w:szCs w:val="24"/>
          <w:highlight w:val="white"/>
        </w:rPr>
        <w:t>Rees, 2023)</w:t>
      </w:r>
      <w:r w:rsidRPr="00761648">
        <w:rPr>
          <w:rFonts w:eastAsia="Times New Roman"/>
          <w:sz w:val="24"/>
          <w:szCs w:val="24"/>
        </w:rPr>
        <w:t>. He generated hope in both the team members and the city of Reading, motivating them to work together peacefully. Poole's strategy not only increased team bonding but also boosted overall productivity and visitor pleasure.</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b/>
          <w:sz w:val="24"/>
          <w:szCs w:val="24"/>
        </w:rPr>
        <w:t>3. Individual Focus: Addressing Unique Needs:</w:t>
      </w:r>
      <w:r w:rsidRPr="00761648">
        <w:rPr>
          <w:rFonts w:eastAsia="Times New Roman"/>
          <w:sz w:val="24"/>
          <w:szCs w:val="24"/>
        </w:rPr>
        <w:t xml:space="preserve"> In Poole's leadership route, satisfying the </w:t>
      </w:r>
      <w:r w:rsidR="00761648" w:rsidRPr="00761648">
        <w:rPr>
          <w:rFonts w:eastAsia="Times New Roman"/>
          <w:sz w:val="24"/>
          <w:szCs w:val="24"/>
        </w:rPr>
        <w:t>needs</w:t>
      </w:r>
      <w:r w:rsidRPr="00761648">
        <w:rPr>
          <w:rFonts w:eastAsia="Times New Roman"/>
          <w:sz w:val="24"/>
          <w:szCs w:val="24"/>
        </w:rPr>
        <w:t xml:space="preserve"> of each team member was vital. He offered the chance to those who had been ostracised, especially ex-felons, helping them to recover their lives (</w:t>
      </w:r>
      <w:r w:rsidRPr="00761648">
        <w:rPr>
          <w:rFonts w:eastAsia="Times New Roman"/>
          <w:color w:val="222222"/>
          <w:sz w:val="24"/>
          <w:szCs w:val="24"/>
          <w:highlight w:val="white"/>
        </w:rPr>
        <w:t>Al-Kurdi, El-Haddadeh, and Eldabi, 2020)</w:t>
      </w:r>
      <w:r w:rsidRPr="00761648">
        <w:rPr>
          <w:rFonts w:eastAsia="Times New Roman"/>
          <w:sz w:val="24"/>
          <w:szCs w:val="24"/>
        </w:rPr>
        <w:t xml:space="preserve">. By spotting the potential in people and giving them a chance, Poole addressed their unique needs, fostering a sense of connection and purpose within the team. This strategy not only enhanced individual </w:t>
      </w:r>
      <w:r w:rsidRPr="00761648">
        <w:rPr>
          <w:rFonts w:eastAsia="Times New Roman"/>
          <w:sz w:val="24"/>
          <w:szCs w:val="24"/>
        </w:rPr>
        <w:lastRenderedPageBreak/>
        <w:t>lives but also helped to the hotel's performance by harnessing the diverse qualities of its workforce.</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Relevance of These Findings: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Craig Poole's leadership style aligns closely with the notions of Action-Centered Leadership. His ability to mix task, team, and individual attention has led to the astounding turnaround of the Doubletree by Hilton in Reading, Pennsylvania. The value of these findings lies in the bigger implications for leadership in the hotel industry and beyond.</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numPr>
          <w:ilvl w:val="0"/>
          <w:numId w:val="1"/>
        </w:numPr>
        <w:spacing w:line="360" w:lineRule="auto"/>
        <w:jc w:val="both"/>
        <w:rPr>
          <w:rFonts w:eastAsia="Times New Roman"/>
          <w:sz w:val="24"/>
          <w:szCs w:val="24"/>
        </w:rPr>
      </w:pPr>
      <w:r w:rsidRPr="00761648">
        <w:rPr>
          <w:rFonts w:eastAsia="Times New Roman"/>
          <w:b/>
          <w:i/>
          <w:sz w:val="24"/>
          <w:szCs w:val="24"/>
        </w:rPr>
        <w:t>Empowering employees:</w:t>
      </w:r>
      <w:r w:rsidRPr="00761648">
        <w:rPr>
          <w:rFonts w:eastAsia="Times New Roman"/>
          <w:sz w:val="24"/>
          <w:szCs w:val="24"/>
        </w:rPr>
        <w:t xml:space="preserve"> Craig Poole's success underscores the necessity of empowering people and allowing them a chance to have a beneficial impression (</w:t>
      </w:r>
      <w:r w:rsidRPr="00761648">
        <w:rPr>
          <w:rFonts w:eastAsia="Times New Roman"/>
          <w:color w:val="222222"/>
          <w:sz w:val="24"/>
          <w:szCs w:val="24"/>
          <w:highlight w:val="white"/>
        </w:rPr>
        <w:t xml:space="preserve">Da Veiga </w:t>
      </w:r>
      <w:r w:rsidRPr="00761648">
        <w:rPr>
          <w:rFonts w:eastAsia="Times New Roman"/>
          <w:i/>
          <w:color w:val="222222"/>
          <w:sz w:val="24"/>
          <w:szCs w:val="24"/>
          <w:highlight w:val="white"/>
        </w:rPr>
        <w:t>et al.</w:t>
      </w:r>
      <w:r w:rsidRPr="00761648">
        <w:rPr>
          <w:rFonts w:eastAsia="Times New Roman"/>
          <w:color w:val="222222"/>
          <w:sz w:val="24"/>
          <w:szCs w:val="24"/>
          <w:highlight w:val="white"/>
        </w:rPr>
        <w:t xml:space="preserve"> 2020)</w:t>
      </w:r>
      <w:r w:rsidRPr="00761648">
        <w:rPr>
          <w:rFonts w:eastAsia="Times New Roman"/>
          <w:sz w:val="24"/>
          <w:szCs w:val="24"/>
        </w:rPr>
        <w:t>. By picking individuals based on their passion and optimism, even if they lacked expertise, he established a motivated and loyal group.</w:t>
      </w:r>
    </w:p>
    <w:p w:rsidR="00AD08CB" w:rsidRPr="00761648" w:rsidRDefault="001C42C7" w:rsidP="00761648">
      <w:pPr>
        <w:numPr>
          <w:ilvl w:val="0"/>
          <w:numId w:val="1"/>
        </w:numPr>
        <w:spacing w:line="360" w:lineRule="auto"/>
        <w:jc w:val="both"/>
        <w:rPr>
          <w:rFonts w:eastAsia="Times New Roman"/>
          <w:sz w:val="24"/>
          <w:szCs w:val="24"/>
        </w:rPr>
      </w:pPr>
      <w:r w:rsidRPr="00761648">
        <w:rPr>
          <w:rFonts w:eastAsia="Times New Roman"/>
          <w:b/>
          <w:i/>
          <w:sz w:val="24"/>
          <w:szCs w:val="24"/>
        </w:rPr>
        <w:t>Second Chances:</w:t>
      </w:r>
      <w:r w:rsidRPr="00761648">
        <w:rPr>
          <w:rFonts w:eastAsia="Times New Roman"/>
          <w:sz w:val="24"/>
          <w:szCs w:val="24"/>
        </w:rPr>
        <w:t xml:space="preserve"> Poole's readiness to grant everyone, including ex-felons, a second chance highlights the potential for societal impact through leadership. It highlights how leaders may help to community development by creating opportunities for persons who may have had challenges in the past.</w:t>
      </w:r>
    </w:p>
    <w:p w:rsidR="00AD08CB" w:rsidRPr="00761648" w:rsidRDefault="001C42C7" w:rsidP="00761648">
      <w:pPr>
        <w:numPr>
          <w:ilvl w:val="0"/>
          <w:numId w:val="1"/>
        </w:numPr>
        <w:spacing w:line="360" w:lineRule="auto"/>
        <w:jc w:val="both"/>
        <w:rPr>
          <w:rFonts w:eastAsia="Times New Roman"/>
          <w:sz w:val="24"/>
          <w:szCs w:val="24"/>
        </w:rPr>
      </w:pPr>
      <w:r w:rsidRPr="00761648">
        <w:rPr>
          <w:rFonts w:eastAsia="Times New Roman"/>
          <w:b/>
          <w:i/>
          <w:sz w:val="24"/>
          <w:szCs w:val="24"/>
        </w:rPr>
        <w:t xml:space="preserve">Alignment with Organizational Principles: </w:t>
      </w:r>
      <w:r w:rsidRPr="00761648">
        <w:rPr>
          <w:rFonts w:eastAsia="Times New Roman"/>
          <w:sz w:val="24"/>
          <w:szCs w:val="24"/>
        </w:rPr>
        <w:t>Craig Poole's leadership approach at Doubletree by Hilton illustrates that aligning leadership tactics with the underlying principles of a firm may lead to outstanding outcomes (</w:t>
      </w:r>
      <w:r w:rsidRPr="00761648">
        <w:rPr>
          <w:rFonts w:eastAsia="Times New Roman"/>
          <w:color w:val="222222"/>
          <w:sz w:val="24"/>
          <w:szCs w:val="24"/>
          <w:highlight w:val="white"/>
        </w:rPr>
        <w:t xml:space="preserve">Fawehinmi, </w:t>
      </w:r>
      <w:r w:rsidRPr="00761648">
        <w:rPr>
          <w:rFonts w:eastAsia="Times New Roman"/>
          <w:i/>
          <w:color w:val="222222"/>
          <w:sz w:val="24"/>
          <w:szCs w:val="24"/>
          <w:highlight w:val="white"/>
        </w:rPr>
        <w:t>et al.</w:t>
      </w:r>
      <w:r w:rsidRPr="00761648">
        <w:rPr>
          <w:rFonts w:eastAsia="Times New Roman"/>
          <w:color w:val="222222"/>
          <w:sz w:val="24"/>
          <w:szCs w:val="24"/>
          <w:highlight w:val="white"/>
        </w:rPr>
        <w:t xml:space="preserve"> 2020)</w:t>
      </w:r>
      <w:r w:rsidRPr="00761648">
        <w:rPr>
          <w:rFonts w:eastAsia="Times New Roman"/>
          <w:sz w:val="24"/>
          <w:szCs w:val="24"/>
        </w:rPr>
        <w:t>. When CEOs are excited about the organization's aims, it may enhance worker motivation and overall success.</w:t>
      </w:r>
    </w:p>
    <w:p w:rsidR="00AD08CB" w:rsidRPr="00761648" w:rsidRDefault="001C42C7" w:rsidP="00761648">
      <w:pPr>
        <w:numPr>
          <w:ilvl w:val="0"/>
          <w:numId w:val="1"/>
        </w:numPr>
        <w:spacing w:line="360" w:lineRule="auto"/>
        <w:jc w:val="both"/>
        <w:rPr>
          <w:rFonts w:eastAsia="Times New Roman"/>
          <w:sz w:val="24"/>
          <w:szCs w:val="24"/>
        </w:rPr>
      </w:pPr>
      <w:r w:rsidRPr="00761648">
        <w:rPr>
          <w:rFonts w:eastAsia="Times New Roman"/>
          <w:b/>
          <w:i/>
          <w:sz w:val="24"/>
          <w:szCs w:val="24"/>
        </w:rPr>
        <w:t>Potential for Industry-Wide Improvement:</w:t>
      </w:r>
      <w:r w:rsidRPr="00761648">
        <w:rPr>
          <w:rFonts w:eastAsia="Times New Roman"/>
          <w:sz w:val="24"/>
          <w:szCs w:val="24"/>
        </w:rPr>
        <w:t xml:space="preserve"> Poole's success serves as an example for the greater hospitality sector (</w:t>
      </w:r>
      <w:r w:rsidRPr="00761648">
        <w:rPr>
          <w:rFonts w:eastAsia="Times New Roman"/>
          <w:color w:val="222222"/>
          <w:sz w:val="24"/>
          <w:szCs w:val="24"/>
          <w:highlight w:val="white"/>
        </w:rPr>
        <w:t>Nguyen and Malik, 2020)</w:t>
      </w:r>
      <w:r w:rsidRPr="00761648">
        <w:rPr>
          <w:rFonts w:eastAsia="Times New Roman"/>
          <w:sz w:val="24"/>
          <w:szCs w:val="24"/>
        </w:rPr>
        <w:t>. If more general managers and executives within the industry use comparable leadership strategies, they could enjoy increased tourist contentment, improved revenues, and more favourable guest reviews.</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Relevance and Impact of Craig Poole's Leadership</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Craig Poole's leadership style fits nicely with the ideals of Action Centered Leadership. His ability to balance task, team, and individual attention resulted in extraordinary achievements, proving the utility of ACL in real-world conditions. </w:t>
      </w:r>
      <w:r w:rsidRPr="00761648">
        <w:rPr>
          <w:rFonts w:eastAsia="Times New Roman"/>
          <w:sz w:val="24"/>
          <w:szCs w:val="24"/>
        </w:rPr>
        <w:lastRenderedPageBreak/>
        <w:t>Poole's success story gives as a witness to the enduring relevance of ACL in current leadership circumstances.</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b/>
          <w:i/>
          <w:sz w:val="24"/>
          <w:szCs w:val="24"/>
        </w:rPr>
      </w:pPr>
      <w:r w:rsidRPr="00761648">
        <w:rPr>
          <w:rFonts w:eastAsia="Times New Roman"/>
          <w:b/>
          <w:i/>
          <w:sz w:val="24"/>
          <w:szCs w:val="24"/>
        </w:rPr>
        <w:t>Supporting Evidence and Opinions</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The documentary "Follow Me and I Will Be Behind You" presents a deep peek into Craig Poole's leadership journey, including personal testimony and interviews with team members, which illustrate his passion to task accomplishment, teamwork, and individual improvement.</w:t>
      </w: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Additionally, credible sources such as industry experts, hotel management professionals, and leadership scholars have complimented Poole's innovative leadership style. Their opinions underline the usefulness of ACL in directing leaders toward innovative and impactful achievements (</w:t>
      </w:r>
      <w:r w:rsidRPr="00761648">
        <w:rPr>
          <w:rFonts w:eastAsia="Times New Roman"/>
          <w:color w:val="222222"/>
          <w:sz w:val="24"/>
          <w:szCs w:val="24"/>
          <w:highlight w:val="white"/>
        </w:rPr>
        <w:t xml:space="preserve">Aubouin-Bonnaventure </w:t>
      </w:r>
      <w:r w:rsidRPr="00761648">
        <w:rPr>
          <w:rFonts w:eastAsia="Times New Roman"/>
          <w:i/>
          <w:color w:val="222222"/>
          <w:sz w:val="24"/>
          <w:szCs w:val="24"/>
          <w:highlight w:val="white"/>
        </w:rPr>
        <w:t xml:space="preserve">et al. </w:t>
      </w:r>
      <w:r w:rsidRPr="00761648">
        <w:rPr>
          <w:rFonts w:eastAsia="Times New Roman"/>
          <w:color w:val="222222"/>
          <w:sz w:val="24"/>
          <w:szCs w:val="24"/>
          <w:highlight w:val="white"/>
        </w:rPr>
        <w:t>2022)</w:t>
      </w:r>
      <w:r w:rsidRPr="00761648">
        <w:rPr>
          <w:rFonts w:eastAsia="Times New Roman"/>
          <w:sz w:val="24"/>
          <w:szCs w:val="24"/>
        </w:rPr>
        <w:t>. Craig Poole's leadership experience at Doubletree by Hilton in Reading, Pennsylvania, presents as an interesting case study of effective leadership employing the Action Centered Leadership style. By emphasising task completion, establishing teamwork, and addressing individual needs, Poole not only resurrected a failing hotel but also touched lives and communities. His narrative acts as a beacon, lighting the road for future leaders wanting to make extraordinary achievements with a balanced and thorough leadership style.</w:t>
      </w:r>
    </w:p>
    <w:p w:rsidR="00AD08CB" w:rsidRPr="00761648" w:rsidRDefault="00AD08CB" w:rsidP="00761648">
      <w:pPr>
        <w:spacing w:line="360" w:lineRule="auto"/>
        <w:jc w:val="both"/>
        <w:rPr>
          <w:rFonts w:eastAsia="Times New Roman"/>
          <w:sz w:val="24"/>
          <w:szCs w:val="24"/>
        </w:rPr>
      </w:pPr>
    </w:p>
    <w:p w:rsidR="00AD08CB" w:rsidRPr="00761648" w:rsidRDefault="001C42C7" w:rsidP="00761648">
      <w:pPr>
        <w:pStyle w:val="Heading1"/>
        <w:rPr>
          <w:rFonts w:ascii="Arial" w:hAnsi="Arial" w:cs="Arial"/>
          <w:sz w:val="24"/>
          <w:szCs w:val="24"/>
        </w:rPr>
      </w:pPr>
      <w:bookmarkStart w:id="9" w:name="_6x1s9pdbf51" w:colFirst="0" w:colLast="0"/>
      <w:bookmarkStart w:id="10" w:name="_Toc148044007"/>
      <w:bookmarkEnd w:id="9"/>
      <w:r w:rsidRPr="00761648">
        <w:rPr>
          <w:rFonts w:ascii="Arial" w:hAnsi="Arial" w:cs="Arial"/>
          <w:sz w:val="24"/>
          <w:szCs w:val="24"/>
        </w:rPr>
        <w:t>Conclusion</w:t>
      </w:r>
      <w:bookmarkEnd w:id="10"/>
    </w:p>
    <w:p w:rsidR="00AD08CB" w:rsidRPr="00761648" w:rsidRDefault="00AD08CB" w:rsidP="00761648">
      <w:pPr>
        <w:spacing w:line="360" w:lineRule="auto"/>
        <w:jc w:val="both"/>
        <w:rPr>
          <w:rFonts w:eastAsia="Times New Roman"/>
          <w:sz w:val="24"/>
          <w:szCs w:val="24"/>
        </w:rPr>
      </w:pPr>
    </w:p>
    <w:p w:rsidR="00AD08CB" w:rsidRPr="00761648" w:rsidRDefault="001C42C7" w:rsidP="00761648">
      <w:pPr>
        <w:spacing w:line="360" w:lineRule="auto"/>
        <w:jc w:val="both"/>
        <w:rPr>
          <w:rFonts w:eastAsia="Times New Roman"/>
          <w:sz w:val="24"/>
          <w:szCs w:val="24"/>
        </w:rPr>
      </w:pPr>
      <w:r w:rsidRPr="00761648">
        <w:rPr>
          <w:rFonts w:eastAsia="Times New Roman"/>
          <w:sz w:val="24"/>
          <w:szCs w:val="24"/>
        </w:rPr>
        <w:t xml:space="preserve">Craig Poole's leadership at the Doubletree by Hilton in Reading, Pennsylvania, stands as a shining example of the favourable influence of leadership style on organizational performance. Through the viewpoint of the Blake and Mouton Managerial Grid, his Team Management technique is closely aligned with the most successful leadership style, emphasising both people and outcomes. This congruence has led to significant accomplishments in terms of tourist happiness, financial performance, and community engagement. Additionally, Adair's style of Action Centered Leadership emphasises the balance Poole built between task accomplishment, effective collaboration, and fulfilling individual needs. This comprehensive method not only revitalised the struggling hotel but also positively influenced the lives of employees and the area. Craig Poole's leadership style has repercussions not only for the hotel business but also for leadership tactics in </w:t>
      </w:r>
      <w:r w:rsidRPr="00761648">
        <w:rPr>
          <w:rFonts w:eastAsia="Times New Roman"/>
          <w:sz w:val="24"/>
          <w:szCs w:val="24"/>
        </w:rPr>
        <w:lastRenderedPageBreak/>
        <w:t>numerous industries. His ability to empower workers, provide second chances, and combine leadership with corporate goals may serve as a guide for other leaders aiming to accomplish outstanding results. In conclusion, Craig Poole's leadership route highlights the continuous significance and effect of balanced and complete leadership styles in today's dynamic and competitive business environment.</w:t>
      </w:r>
    </w:p>
    <w:p w:rsidR="00AD08CB" w:rsidRPr="00761648" w:rsidRDefault="00AD08CB" w:rsidP="00761648">
      <w:pPr>
        <w:spacing w:line="360" w:lineRule="auto"/>
        <w:jc w:val="both"/>
        <w:rPr>
          <w:rFonts w:eastAsia="Times New Roman"/>
          <w:sz w:val="24"/>
          <w:szCs w:val="24"/>
        </w:rPr>
      </w:pPr>
    </w:p>
    <w:p w:rsidR="00AD08CB" w:rsidRPr="00761648" w:rsidRDefault="00AD08CB" w:rsidP="00761648">
      <w:pPr>
        <w:spacing w:line="360" w:lineRule="auto"/>
        <w:jc w:val="both"/>
        <w:rPr>
          <w:rFonts w:eastAsia="Times New Roman"/>
          <w:sz w:val="24"/>
          <w:szCs w:val="24"/>
        </w:rPr>
      </w:pPr>
    </w:p>
    <w:p w:rsidR="009722FF" w:rsidRPr="00761648" w:rsidRDefault="009722FF" w:rsidP="00761648">
      <w:pPr>
        <w:spacing w:line="360" w:lineRule="auto"/>
        <w:jc w:val="both"/>
        <w:rPr>
          <w:rFonts w:eastAsia="Times New Roman"/>
          <w:b/>
          <w:sz w:val="24"/>
          <w:szCs w:val="24"/>
        </w:rPr>
      </w:pPr>
      <w:bookmarkStart w:id="11" w:name="_btu6azdawjca" w:colFirst="0" w:colLast="0"/>
      <w:bookmarkEnd w:id="11"/>
      <w:r w:rsidRPr="00761648">
        <w:rPr>
          <w:sz w:val="24"/>
          <w:szCs w:val="24"/>
        </w:rPr>
        <w:br w:type="page"/>
      </w:r>
    </w:p>
    <w:p w:rsidR="00AD08CB" w:rsidRPr="00761648" w:rsidRDefault="001C42C7" w:rsidP="00761648">
      <w:pPr>
        <w:pStyle w:val="Heading1"/>
        <w:rPr>
          <w:rFonts w:ascii="Arial" w:hAnsi="Arial" w:cs="Arial"/>
          <w:sz w:val="24"/>
          <w:szCs w:val="24"/>
        </w:rPr>
      </w:pPr>
      <w:bookmarkStart w:id="12" w:name="_Toc148044008"/>
      <w:r w:rsidRPr="00761648">
        <w:rPr>
          <w:rFonts w:ascii="Arial" w:hAnsi="Arial" w:cs="Arial"/>
          <w:sz w:val="24"/>
          <w:szCs w:val="24"/>
        </w:rPr>
        <w:lastRenderedPageBreak/>
        <w:t>Reference</w:t>
      </w:r>
      <w:bookmarkEnd w:id="12"/>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Al-Kurdi, O.F., El-Haddadeh, R. and Eldabi, T., 2020. The role of organisational climate in managing knowledge sharing among academics in higher education. </w:t>
      </w:r>
      <w:r w:rsidRPr="00761648">
        <w:rPr>
          <w:rFonts w:eastAsia="Times New Roman"/>
          <w:i/>
          <w:color w:val="222222"/>
          <w:sz w:val="24"/>
          <w:szCs w:val="24"/>
          <w:highlight w:val="white"/>
        </w:rPr>
        <w:t>International Journal of Information Management</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50</w:t>
      </w:r>
      <w:r w:rsidRPr="00761648">
        <w:rPr>
          <w:rFonts w:eastAsia="Times New Roman"/>
          <w:color w:val="222222"/>
          <w:sz w:val="24"/>
          <w:szCs w:val="24"/>
          <w:highlight w:val="white"/>
        </w:rPr>
        <w:t>, pp.217-227. Available a</w:t>
      </w:r>
      <w:r w:rsidR="000B5477">
        <w:rPr>
          <w:rFonts w:eastAsia="Times New Roman"/>
          <w:color w:val="222222"/>
          <w:sz w:val="24"/>
          <w:szCs w:val="24"/>
        </w:rPr>
        <w:t xml:space="preserve">t </w:t>
      </w:r>
      <w:hyperlink r:id="rId9" w:history="1">
        <w:r w:rsidR="000B5477" w:rsidRPr="003136E1">
          <w:rPr>
            <w:rStyle w:val="Hyperlink"/>
            <w:rFonts w:eastAsia="Times New Roman"/>
            <w:sz w:val="24"/>
            <w:szCs w:val="24"/>
            <w:highlight w:val="white"/>
          </w:rPr>
          <w:t>https://www.sciencedirect.com/science/article/pii/S0268401218312465</w:t>
        </w:r>
      </w:hyperlink>
      <w:r w:rsidRPr="00761648">
        <w:rPr>
          <w:rFonts w:eastAsia="Times New Roman"/>
          <w:color w:val="222222"/>
          <w:sz w:val="24"/>
          <w:szCs w:val="24"/>
          <w:highlight w:val="white"/>
        </w:rPr>
        <w:t xml:space="preserve"> [Accessed </w:t>
      </w:r>
      <w:r w:rsidR="00761648">
        <w:rPr>
          <w:rFonts w:eastAsia="Times New Roman"/>
          <w:color w:val="222222"/>
          <w:sz w:val="24"/>
          <w:szCs w:val="24"/>
          <w:highlight w:val="white"/>
        </w:rPr>
        <w:t>6</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Aubouin-Bonnaventure, J., Chevalier, S., Lahiani, F.J. and Fouquereau, E., 2023. Well-being and performance at work: a new approach favourable to the optimal functioning of workers through virtuous organisational practices. </w:t>
      </w:r>
      <w:r w:rsidRPr="00761648">
        <w:rPr>
          <w:rFonts w:eastAsia="Times New Roman"/>
          <w:i/>
          <w:color w:val="222222"/>
          <w:sz w:val="24"/>
          <w:szCs w:val="24"/>
          <w:highlight w:val="white"/>
        </w:rPr>
        <w:t>International Journal of Organizational Analysis</w:t>
      </w:r>
      <w:r w:rsidRPr="00761648">
        <w:rPr>
          <w:rFonts w:eastAsia="Times New Roman"/>
          <w:color w:val="222222"/>
          <w:sz w:val="24"/>
          <w:szCs w:val="24"/>
          <w:highlight w:val="white"/>
        </w:rPr>
        <w:t>. Available a</w:t>
      </w:r>
      <w:r w:rsidR="000B5477">
        <w:rPr>
          <w:rFonts w:eastAsia="Times New Roman"/>
          <w:color w:val="222222"/>
          <w:sz w:val="24"/>
          <w:szCs w:val="24"/>
        </w:rPr>
        <w:t xml:space="preserve">t </w:t>
      </w:r>
      <w:hyperlink r:id="rId10" w:history="1">
        <w:r w:rsidR="000B5477" w:rsidRPr="003136E1">
          <w:rPr>
            <w:rStyle w:val="Hyperlink"/>
            <w:rFonts w:eastAsia="Times New Roman"/>
            <w:sz w:val="24"/>
            <w:szCs w:val="24"/>
            <w:highlight w:val="white"/>
          </w:rPr>
          <w:t>https://www.emerald.com/insight/content/doi/10.1108/IJOA-01-2023-3584/full/html</w:t>
        </w:r>
      </w:hyperlink>
      <w:r w:rsidRPr="00761648">
        <w:rPr>
          <w:rFonts w:eastAsia="Times New Roman"/>
          <w:color w:val="222222"/>
          <w:sz w:val="24"/>
          <w:szCs w:val="24"/>
          <w:highlight w:val="white"/>
        </w:rPr>
        <w:t xml:space="preserve"> [Accessed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Chinyamurindi, W., Mathibe, M. and Marange, C.S., 2023. Promoting talent through managing mental health: The role of decent work and organisational citizenship behaviour. </w:t>
      </w:r>
      <w:r w:rsidRPr="00761648">
        <w:rPr>
          <w:rFonts w:eastAsia="Times New Roman"/>
          <w:i/>
          <w:color w:val="222222"/>
          <w:sz w:val="24"/>
          <w:szCs w:val="24"/>
          <w:highlight w:val="white"/>
        </w:rPr>
        <w:t>SA Journal of Industrial Psychology</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49</w:t>
      </w:r>
      <w:r w:rsidRPr="00761648">
        <w:rPr>
          <w:rFonts w:eastAsia="Times New Roman"/>
          <w:color w:val="222222"/>
          <w:sz w:val="24"/>
          <w:szCs w:val="24"/>
          <w:highlight w:val="white"/>
        </w:rPr>
        <w:t>(1), pp.1-10.</w:t>
      </w:r>
      <w:hyperlink r:id="rId11">
        <w:r w:rsidRPr="00761648">
          <w:rPr>
            <w:rFonts w:eastAsia="Times New Roman"/>
            <w:color w:val="1155CC"/>
            <w:sz w:val="24"/>
            <w:szCs w:val="24"/>
            <w:highlight w:val="white"/>
            <w:u w:val="single"/>
          </w:rPr>
          <w:t>https://www.scielo.org.za/scielo.php?pid=S2071-07632023000100012&amp;script=sci_arttext</w:t>
        </w:r>
      </w:hyperlink>
      <w:r w:rsidRPr="00761648">
        <w:rPr>
          <w:rFonts w:eastAsia="Times New Roman"/>
          <w:color w:val="222222"/>
          <w:sz w:val="24"/>
          <w:szCs w:val="24"/>
          <w:highlight w:val="white"/>
        </w:rPr>
        <w:t>[Accessed 1</w:t>
      </w:r>
      <w:r w:rsidR="00761648">
        <w:rPr>
          <w:rFonts w:eastAsia="Times New Roman"/>
          <w:color w:val="222222"/>
          <w:sz w:val="24"/>
          <w:szCs w:val="24"/>
          <w:highlight w:val="white"/>
        </w:rPr>
        <w:t>0</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Coffin, N. and Tang, H., 2023. Investigating the strategic interaction between QMS, organisational agility and innovative performance. </w:t>
      </w:r>
      <w:r w:rsidRPr="00761648">
        <w:rPr>
          <w:rFonts w:eastAsia="Times New Roman"/>
          <w:i/>
          <w:color w:val="222222"/>
          <w:sz w:val="24"/>
          <w:szCs w:val="24"/>
          <w:highlight w:val="white"/>
        </w:rPr>
        <w:t>Total Quality Management &amp; Business Excellence</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34</w:t>
      </w:r>
      <w:r w:rsidRPr="00761648">
        <w:rPr>
          <w:rFonts w:eastAsia="Times New Roman"/>
          <w:color w:val="222222"/>
          <w:sz w:val="24"/>
          <w:szCs w:val="24"/>
          <w:highlight w:val="white"/>
        </w:rPr>
        <w:t>(9-10), pp.1096-1107. Available a</w:t>
      </w:r>
      <w:r w:rsidR="000B5477">
        <w:rPr>
          <w:rFonts w:eastAsia="Times New Roman"/>
          <w:color w:val="222222"/>
          <w:sz w:val="24"/>
          <w:szCs w:val="24"/>
        </w:rPr>
        <w:t xml:space="preserve">t </w:t>
      </w:r>
      <w:hyperlink r:id="rId12" w:history="1">
        <w:r w:rsidR="000B5477" w:rsidRPr="003136E1">
          <w:rPr>
            <w:rStyle w:val="Hyperlink"/>
            <w:rFonts w:eastAsia="Times New Roman"/>
            <w:sz w:val="24"/>
            <w:szCs w:val="24"/>
            <w:highlight w:val="white"/>
          </w:rPr>
          <w:t>https://www.tandfonline.com/doi/abs/10.1080/14783363.2022.2157711</w:t>
        </w:r>
      </w:hyperlink>
      <w:r w:rsidRPr="00761648">
        <w:rPr>
          <w:rFonts w:eastAsia="Times New Roman"/>
          <w:color w:val="222222"/>
          <w:sz w:val="24"/>
          <w:szCs w:val="24"/>
          <w:highlight w:val="white"/>
        </w:rPr>
        <w:t>[Accessed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Da Veiga, A., Astakhova, L.V., Botha, A. and Herselman, M., 2020. Defining organisational information security culture—Perspectives from academia and industry. </w:t>
      </w:r>
      <w:r w:rsidRPr="00761648">
        <w:rPr>
          <w:rFonts w:eastAsia="Times New Roman"/>
          <w:i/>
          <w:color w:val="222222"/>
          <w:sz w:val="24"/>
          <w:szCs w:val="24"/>
          <w:highlight w:val="white"/>
        </w:rPr>
        <w:t>Computers &amp; Security</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92</w:t>
      </w:r>
      <w:r w:rsidRPr="00761648">
        <w:rPr>
          <w:rFonts w:eastAsia="Times New Roman"/>
          <w:color w:val="222222"/>
          <w:sz w:val="24"/>
          <w:szCs w:val="24"/>
          <w:highlight w:val="white"/>
        </w:rPr>
        <w:t>, p.101713. Available a</w:t>
      </w:r>
      <w:r w:rsidR="000B5477">
        <w:rPr>
          <w:rFonts w:eastAsia="Times New Roman"/>
          <w:color w:val="222222"/>
          <w:sz w:val="24"/>
          <w:szCs w:val="24"/>
        </w:rPr>
        <w:t xml:space="preserve">t </w:t>
      </w:r>
      <w:hyperlink r:id="rId13" w:history="1">
        <w:r w:rsidR="000B5477" w:rsidRPr="003136E1">
          <w:rPr>
            <w:rStyle w:val="Hyperlink"/>
            <w:rFonts w:eastAsia="Times New Roman"/>
            <w:sz w:val="24"/>
            <w:szCs w:val="24"/>
            <w:highlight w:val="white"/>
          </w:rPr>
          <w:t>https://www.sciencedirect.com/science/article/pii/S0167404820300018</w:t>
        </w:r>
      </w:hyperlink>
      <w:r w:rsidRPr="00761648">
        <w:rPr>
          <w:rFonts w:eastAsia="Times New Roman"/>
          <w:color w:val="222222"/>
          <w:sz w:val="24"/>
          <w:szCs w:val="24"/>
          <w:highlight w:val="white"/>
        </w:rPr>
        <w:t xml:space="preserve"> [Accessed </w:t>
      </w:r>
      <w:r w:rsidR="00761648">
        <w:rPr>
          <w:rFonts w:eastAsia="Times New Roman"/>
          <w:color w:val="222222"/>
          <w:sz w:val="24"/>
          <w:szCs w:val="24"/>
          <w:highlight w:val="white"/>
        </w:rPr>
        <w:t>9</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Dadich, A. and Farr-Wharton, B., 2020. Positive organisational scholarship in healthcare. </w:t>
      </w:r>
      <w:r w:rsidRPr="00761648">
        <w:rPr>
          <w:rFonts w:eastAsia="Times New Roman"/>
          <w:i/>
          <w:color w:val="222222"/>
          <w:sz w:val="24"/>
          <w:szCs w:val="24"/>
          <w:highlight w:val="white"/>
        </w:rPr>
        <w:t>Journal of Management &amp; Organization</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26</w:t>
      </w:r>
      <w:r w:rsidRPr="00761648">
        <w:rPr>
          <w:rFonts w:eastAsia="Times New Roman"/>
          <w:color w:val="222222"/>
          <w:sz w:val="24"/>
          <w:szCs w:val="24"/>
          <w:highlight w:val="white"/>
        </w:rPr>
        <w:t>(3), pp.289-295. Available a</w:t>
      </w:r>
      <w:r w:rsidR="000B5477">
        <w:rPr>
          <w:rFonts w:eastAsia="Times New Roman"/>
          <w:color w:val="222222"/>
          <w:sz w:val="24"/>
          <w:szCs w:val="24"/>
        </w:rPr>
        <w:t xml:space="preserve">t </w:t>
      </w:r>
      <w:hyperlink r:id="rId14" w:history="1">
        <w:r w:rsidR="000B5477" w:rsidRPr="003136E1">
          <w:rPr>
            <w:rStyle w:val="Hyperlink"/>
            <w:rFonts w:eastAsia="Times New Roman"/>
            <w:sz w:val="24"/>
            <w:szCs w:val="24"/>
            <w:highlight w:val="white"/>
          </w:rPr>
          <w:t>https://www.cambridge.org/core/journals/journal-of-management-and-organization/article/positive-organisational-scholarship-in-healthcare/89519FB79AE7B23C263F63E25E7BD4AF</w:t>
        </w:r>
      </w:hyperlink>
      <w:r w:rsidRPr="00761648">
        <w:rPr>
          <w:rFonts w:eastAsia="Times New Roman"/>
          <w:color w:val="222222"/>
          <w:sz w:val="24"/>
          <w:szCs w:val="24"/>
          <w:highlight w:val="white"/>
        </w:rPr>
        <w:t xml:space="preserve"> [Accessed </w:t>
      </w:r>
      <w:r w:rsidR="000B5477">
        <w:rPr>
          <w:rFonts w:eastAsia="Times New Roman"/>
          <w:color w:val="222222"/>
          <w:sz w:val="24"/>
          <w:szCs w:val="24"/>
          <w:highlight w:val="white"/>
        </w:rPr>
        <w:t>7</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Fawehinmi, O., Yusliza, M.Y., Mohamad, Z., Noor Faezah, J. and Muhammad, Z., 2020. Assessing the green behaviour of academics: The role of green human </w:t>
      </w:r>
      <w:r w:rsidRPr="00761648">
        <w:rPr>
          <w:rFonts w:eastAsia="Times New Roman"/>
          <w:color w:val="222222"/>
          <w:sz w:val="24"/>
          <w:szCs w:val="24"/>
          <w:highlight w:val="white"/>
        </w:rPr>
        <w:lastRenderedPageBreak/>
        <w:t xml:space="preserve">resource management and environmental knowledge. </w:t>
      </w:r>
      <w:r w:rsidRPr="00761648">
        <w:rPr>
          <w:rFonts w:eastAsia="Times New Roman"/>
          <w:i/>
          <w:color w:val="222222"/>
          <w:sz w:val="24"/>
          <w:szCs w:val="24"/>
          <w:highlight w:val="white"/>
        </w:rPr>
        <w:t>International Journal of Manpower</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41</w:t>
      </w:r>
      <w:r w:rsidRPr="00761648">
        <w:rPr>
          <w:rFonts w:eastAsia="Times New Roman"/>
          <w:color w:val="222222"/>
          <w:sz w:val="24"/>
          <w:szCs w:val="24"/>
          <w:highlight w:val="white"/>
        </w:rPr>
        <w:t>(7), pp.879-900. Available a</w:t>
      </w:r>
      <w:r w:rsidR="000B5477">
        <w:rPr>
          <w:rFonts w:eastAsia="Times New Roman"/>
          <w:color w:val="222222"/>
          <w:sz w:val="24"/>
          <w:szCs w:val="24"/>
        </w:rPr>
        <w:t xml:space="preserve">t </w:t>
      </w:r>
      <w:hyperlink r:id="rId15" w:history="1">
        <w:r w:rsidR="000B5477" w:rsidRPr="003136E1">
          <w:rPr>
            <w:rStyle w:val="Hyperlink"/>
            <w:rFonts w:eastAsia="Times New Roman"/>
            <w:sz w:val="24"/>
            <w:szCs w:val="24"/>
            <w:highlight w:val="white"/>
          </w:rPr>
          <w:t>https://www.emerald.com/insight/content/doi/10.1108/IJM-07-2019-0347/full/html</w:t>
        </w:r>
      </w:hyperlink>
      <w:r w:rsidRPr="00761648">
        <w:rPr>
          <w:rFonts w:eastAsia="Times New Roman"/>
          <w:color w:val="222222"/>
          <w:sz w:val="24"/>
          <w:szCs w:val="24"/>
          <w:highlight w:val="white"/>
        </w:rPr>
        <w:t xml:space="preserve"> [Accessed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Haricharan, S.J., 2023. Leadership, management and organisational implications for public service employee well-being and performance. </w:t>
      </w:r>
      <w:r w:rsidRPr="00761648">
        <w:rPr>
          <w:rFonts w:eastAsia="Times New Roman"/>
          <w:i/>
          <w:color w:val="222222"/>
          <w:sz w:val="24"/>
          <w:szCs w:val="24"/>
          <w:highlight w:val="white"/>
        </w:rPr>
        <w:t>SA Journal of Human Resource Management</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21</w:t>
      </w:r>
      <w:r w:rsidRPr="00761648">
        <w:rPr>
          <w:rFonts w:eastAsia="Times New Roman"/>
          <w:color w:val="222222"/>
          <w:sz w:val="24"/>
          <w:szCs w:val="24"/>
          <w:highlight w:val="white"/>
        </w:rPr>
        <w:t>, p.2080. Available a</w:t>
      </w:r>
      <w:r w:rsidR="000B5477">
        <w:rPr>
          <w:rFonts w:eastAsia="Times New Roman"/>
          <w:color w:val="222222"/>
          <w:sz w:val="24"/>
          <w:szCs w:val="24"/>
        </w:rPr>
        <w:t>t h</w:t>
      </w:r>
      <w:hyperlink r:id="rId16">
        <w:r w:rsidRPr="00761648">
          <w:rPr>
            <w:rFonts w:eastAsia="Times New Roman"/>
            <w:color w:val="1155CC"/>
            <w:sz w:val="24"/>
            <w:szCs w:val="24"/>
            <w:highlight w:val="white"/>
            <w:u w:val="single"/>
          </w:rPr>
          <w:t>ttps://journals.co.za/doi/abs/10.4102/sajhrm.v21i0.2080</w:t>
        </w:r>
      </w:hyperlink>
      <w:r w:rsidRPr="00761648">
        <w:rPr>
          <w:rFonts w:eastAsia="Times New Roman"/>
          <w:color w:val="222222"/>
          <w:sz w:val="24"/>
          <w:szCs w:val="24"/>
          <w:highlight w:val="white"/>
        </w:rPr>
        <w:t xml:space="preserve"> [Accessed </w:t>
      </w:r>
      <w:r w:rsidR="000B5477">
        <w:rPr>
          <w:rFonts w:eastAsia="Times New Roman"/>
          <w:color w:val="222222"/>
          <w:sz w:val="24"/>
          <w:szCs w:val="24"/>
          <w:highlight w:val="white"/>
        </w:rPr>
        <w:t>8</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Hidary, M., Panahifar, S., Hosseini, S.H., Hajipour, E., Asfandiyar, V. and Moghaddam, A., 2023. Organisational learning: the link between knowledge management processes and organisational performance (case study: technology-based medium enterprise). </w:t>
      </w:r>
      <w:r w:rsidRPr="00761648">
        <w:rPr>
          <w:rFonts w:eastAsia="Times New Roman"/>
          <w:i/>
          <w:color w:val="222222"/>
          <w:sz w:val="24"/>
          <w:szCs w:val="24"/>
          <w:highlight w:val="white"/>
        </w:rPr>
        <w:t>International Journal of Learning and Intellectual Capital</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20</w:t>
      </w:r>
      <w:r w:rsidRPr="00761648">
        <w:rPr>
          <w:rFonts w:eastAsia="Times New Roman"/>
          <w:color w:val="222222"/>
          <w:sz w:val="24"/>
          <w:szCs w:val="24"/>
          <w:highlight w:val="white"/>
        </w:rPr>
        <w:t xml:space="preserve">(5), pp.497-512. Available at: </w:t>
      </w:r>
      <w:hyperlink r:id="rId17">
        <w:r w:rsidRPr="00761648">
          <w:rPr>
            <w:rFonts w:eastAsia="Times New Roman"/>
            <w:color w:val="1155CC"/>
            <w:sz w:val="24"/>
            <w:szCs w:val="24"/>
            <w:highlight w:val="white"/>
            <w:u w:val="single"/>
          </w:rPr>
          <w:t>https://www.inderscienceonline.com/doi/pdf/10.1504/IJLIC.2023.133220</w:t>
        </w:r>
      </w:hyperlink>
      <w:r w:rsidRPr="00761648">
        <w:rPr>
          <w:rFonts w:eastAsia="Times New Roman"/>
          <w:color w:val="222222"/>
          <w:sz w:val="24"/>
          <w:szCs w:val="24"/>
          <w:highlight w:val="white"/>
        </w:rPr>
        <w:t xml:space="preserve"> [Accessed </w:t>
      </w:r>
      <w:r w:rsidR="000B5477">
        <w:rPr>
          <w:rFonts w:eastAsia="Times New Roman"/>
          <w:color w:val="222222"/>
          <w:sz w:val="24"/>
          <w:szCs w:val="24"/>
          <w:highlight w:val="white"/>
        </w:rPr>
        <w:t>8</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Islam, M.A., Hossain, M.S., Hoque, M.E., Khan, T. and Hassan, M.M., 2023. The Moderating Role of Gender and Employee Championing Behaviour in the Relationship Between Green Human Resource Management Practices and Sustainable Organisational Performance: Evidence from Bangladesh. In </w:t>
      </w:r>
      <w:r w:rsidRPr="00761648">
        <w:rPr>
          <w:rFonts w:eastAsia="Times New Roman"/>
          <w:i/>
          <w:color w:val="222222"/>
          <w:sz w:val="24"/>
          <w:szCs w:val="24"/>
          <w:highlight w:val="white"/>
        </w:rPr>
        <w:t>Global Perspectives on Green HRM: Highlighting Practices Across the World</w:t>
      </w:r>
      <w:r w:rsidRPr="00761648">
        <w:rPr>
          <w:rFonts w:eastAsia="Times New Roman"/>
          <w:color w:val="222222"/>
          <w:sz w:val="24"/>
          <w:szCs w:val="24"/>
          <w:highlight w:val="white"/>
        </w:rPr>
        <w:t xml:space="preserve"> (pp. 127-153). Cham: Springer Nature Switzerland. Available a</w:t>
      </w:r>
      <w:r w:rsidR="000B5477">
        <w:rPr>
          <w:rFonts w:eastAsia="Times New Roman"/>
          <w:color w:val="222222"/>
          <w:sz w:val="24"/>
          <w:szCs w:val="24"/>
        </w:rPr>
        <w:t xml:space="preserve">t </w:t>
      </w:r>
      <w:hyperlink r:id="rId18" w:history="1">
        <w:r w:rsidR="000B5477" w:rsidRPr="003136E1">
          <w:rPr>
            <w:rStyle w:val="Hyperlink"/>
            <w:rFonts w:eastAsia="Times New Roman"/>
            <w:sz w:val="24"/>
            <w:szCs w:val="24"/>
            <w:highlight w:val="white"/>
          </w:rPr>
          <w:t>https://link.springer.com/chapter/10.1007/978-3-031-35795-4_6</w:t>
        </w:r>
      </w:hyperlink>
      <w:r w:rsidRPr="00761648">
        <w:rPr>
          <w:rFonts w:eastAsia="Times New Roman"/>
          <w:color w:val="222222"/>
          <w:sz w:val="24"/>
          <w:szCs w:val="24"/>
          <w:highlight w:val="white"/>
        </w:rPr>
        <w:t xml:space="preserve"> [Accessed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Korbekandi, M.M., Kazemi, S.H. and Danaeefard, H., 2023. Cognitive dimensions of organisational reliability: a scoping review. </w:t>
      </w:r>
      <w:r w:rsidRPr="00761648">
        <w:rPr>
          <w:rFonts w:eastAsia="Times New Roman"/>
          <w:i/>
          <w:color w:val="222222"/>
          <w:sz w:val="24"/>
          <w:szCs w:val="24"/>
          <w:highlight w:val="white"/>
        </w:rPr>
        <w:t>International Journal of Reliability and Safety</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17</w:t>
      </w:r>
      <w:r w:rsidRPr="00761648">
        <w:rPr>
          <w:rFonts w:eastAsia="Times New Roman"/>
          <w:color w:val="222222"/>
          <w:sz w:val="24"/>
          <w:szCs w:val="24"/>
          <w:highlight w:val="white"/>
        </w:rPr>
        <w:t>(1), pp.55-102. Available a</w:t>
      </w:r>
      <w:r w:rsidR="000B5477">
        <w:rPr>
          <w:rFonts w:eastAsia="Times New Roman"/>
          <w:color w:val="222222"/>
          <w:sz w:val="24"/>
          <w:szCs w:val="24"/>
        </w:rPr>
        <w:t xml:space="preserve">t </w:t>
      </w:r>
      <w:hyperlink r:id="rId19" w:history="1">
        <w:r w:rsidR="000B5477" w:rsidRPr="003136E1">
          <w:rPr>
            <w:rStyle w:val="Hyperlink"/>
            <w:rFonts w:eastAsia="Times New Roman"/>
            <w:sz w:val="24"/>
            <w:szCs w:val="24"/>
            <w:highlight w:val="white"/>
          </w:rPr>
          <w:t>https://www.inderscienceonline.com/doi/abs/10.1504/IJRS.2023.132947</w:t>
        </w:r>
      </w:hyperlink>
      <w:r w:rsidRPr="00761648">
        <w:rPr>
          <w:rFonts w:eastAsia="Times New Roman"/>
          <w:color w:val="222222"/>
          <w:sz w:val="24"/>
          <w:szCs w:val="24"/>
          <w:highlight w:val="white"/>
        </w:rPr>
        <w:t xml:space="preserve"> [Accessed 1</w:t>
      </w:r>
      <w:r w:rsidR="000B5477">
        <w:rPr>
          <w:rFonts w:eastAsia="Times New Roman"/>
          <w:color w:val="222222"/>
          <w:sz w:val="24"/>
          <w:szCs w:val="24"/>
          <w:highlight w:val="white"/>
        </w:rPr>
        <w:t>2</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Lugosi, P., 2019. Deviance, deviant behaviour and hospitality management: Sources, forms and drivers. </w:t>
      </w:r>
      <w:r w:rsidRPr="00761648">
        <w:rPr>
          <w:rFonts w:eastAsia="Times New Roman"/>
          <w:i/>
          <w:color w:val="222222"/>
          <w:sz w:val="24"/>
          <w:szCs w:val="24"/>
          <w:highlight w:val="white"/>
        </w:rPr>
        <w:t>Tourism Management</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74</w:t>
      </w:r>
      <w:r w:rsidRPr="00761648">
        <w:rPr>
          <w:rFonts w:eastAsia="Times New Roman"/>
          <w:color w:val="222222"/>
          <w:sz w:val="24"/>
          <w:szCs w:val="24"/>
          <w:highlight w:val="white"/>
        </w:rPr>
        <w:t>, pp.81-98. Available a</w:t>
      </w:r>
      <w:r w:rsidR="000B5477">
        <w:rPr>
          <w:rFonts w:eastAsia="Times New Roman"/>
          <w:color w:val="222222"/>
          <w:sz w:val="24"/>
          <w:szCs w:val="24"/>
        </w:rPr>
        <w:t xml:space="preserve">t </w:t>
      </w:r>
      <w:hyperlink r:id="rId20" w:history="1">
        <w:r w:rsidR="000B5477" w:rsidRPr="003136E1">
          <w:rPr>
            <w:rStyle w:val="Hyperlink"/>
            <w:rFonts w:eastAsia="Times New Roman"/>
            <w:sz w:val="24"/>
            <w:szCs w:val="24"/>
            <w:highlight w:val="white"/>
          </w:rPr>
          <w:t>https://www.sciencedirect.com/science/article/pii/S0261517719300433</w:t>
        </w:r>
      </w:hyperlink>
      <w:r w:rsidRPr="00761648">
        <w:rPr>
          <w:rFonts w:eastAsia="Times New Roman"/>
          <w:color w:val="222222"/>
          <w:sz w:val="24"/>
          <w:szCs w:val="24"/>
          <w:highlight w:val="white"/>
        </w:rPr>
        <w:t xml:space="preserve"> [Accessed 1</w:t>
      </w:r>
      <w:r w:rsidR="000B5477">
        <w:rPr>
          <w:rFonts w:eastAsia="Times New Roman"/>
          <w:color w:val="222222"/>
          <w:sz w:val="24"/>
          <w:szCs w:val="24"/>
          <w:highlight w:val="white"/>
        </w:rPr>
        <w:t>2</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Mansaray, H.E., 2019. The role of leadership style in organisational change management: a literature review. </w:t>
      </w:r>
      <w:r w:rsidRPr="00761648">
        <w:rPr>
          <w:rFonts w:eastAsia="Times New Roman"/>
          <w:i/>
          <w:color w:val="222222"/>
          <w:sz w:val="24"/>
          <w:szCs w:val="24"/>
          <w:highlight w:val="white"/>
        </w:rPr>
        <w:t>Journal of Human Resource Management</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7</w:t>
      </w:r>
      <w:r w:rsidRPr="00761648">
        <w:rPr>
          <w:rFonts w:eastAsia="Times New Roman"/>
          <w:color w:val="222222"/>
          <w:sz w:val="24"/>
          <w:szCs w:val="24"/>
          <w:highlight w:val="white"/>
        </w:rPr>
        <w:t xml:space="preserve">(1), </w:t>
      </w:r>
      <w:r w:rsidRPr="00761648">
        <w:rPr>
          <w:rFonts w:eastAsia="Times New Roman"/>
          <w:color w:val="222222"/>
          <w:sz w:val="24"/>
          <w:szCs w:val="24"/>
          <w:highlight w:val="white"/>
        </w:rPr>
        <w:lastRenderedPageBreak/>
        <w:t>pp.18-31. Available a</w:t>
      </w:r>
      <w:hyperlink r:id="rId21">
        <w:r w:rsidRPr="00761648">
          <w:rPr>
            <w:rFonts w:eastAsia="Times New Roman"/>
            <w:color w:val="1155CC"/>
            <w:sz w:val="24"/>
            <w:szCs w:val="24"/>
            <w:highlight w:val="white"/>
            <w:u w:val="single"/>
          </w:rPr>
          <w:t>https://www.academia.edu/download/85746027/10.11648.j.jhrm.20190701.13.pdf</w:t>
        </w:r>
      </w:hyperlink>
      <w:r w:rsidRPr="00761648">
        <w:rPr>
          <w:rFonts w:eastAsia="Times New Roman"/>
          <w:color w:val="222222"/>
          <w:sz w:val="24"/>
          <w:szCs w:val="24"/>
          <w:highlight w:val="white"/>
        </w:rPr>
        <w:t xml:space="preserve"> [Accessed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Nani, D.A. and Safitri, V.A.D., 2021. Exploring the relationship between formal management control systems, organisational performance and innovation: The role of leadership characteristics. </w:t>
      </w:r>
      <w:r w:rsidRPr="00761648">
        <w:rPr>
          <w:rFonts w:eastAsia="Times New Roman"/>
          <w:i/>
          <w:color w:val="222222"/>
          <w:sz w:val="24"/>
          <w:szCs w:val="24"/>
          <w:highlight w:val="white"/>
        </w:rPr>
        <w:t>Asian Journal of Business and Accounting</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14</w:t>
      </w:r>
      <w:r w:rsidRPr="00761648">
        <w:rPr>
          <w:rFonts w:eastAsia="Times New Roman"/>
          <w:color w:val="222222"/>
          <w:sz w:val="24"/>
          <w:szCs w:val="24"/>
          <w:highlight w:val="white"/>
        </w:rPr>
        <w:t>(1), pp.207-224. Available a</w:t>
      </w:r>
      <w:r w:rsidR="000B5477">
        <w:rPr>
          <w:rFonts w:eastAsia="Times New Roman"/>
          <w:color w:val="222222"/>
          <w:sz w:val="24"/>
          <w:szCs w:val="24"/>
        </w:rPr>
        <w:t>t  h</w:t>
      </w:r>
      <w:hyperlink r:id="rId22">
        <w:r w:rsidRPr="00761648">
          <w:rPr>
            <w:rFonts w:eastAsia="Times New Roman"/>
            <w:color w:val="1155CC"/>
            <w:sz w:val="24"/>
            <w:szCs w:val="24"/>
            <w:highlight w:val="white"/>
            <w:u w:val="single"/>
          </w:rPr>
          <w:t>ttp://mjs.um.edu.my/index.php/AJBA/article/view/30789</w:t>
        </w:r>
      </w:hyperlink>
      <w:r w:rsidRPr="00761648">
        <w:rPr>
          <w:rFonts w:eastAsia="Times New Roman"/>
          <w:color w:val="222222"/>
          <w:sz w:val="24"/>
          <w:szCs w:val="24"/>
          <w:highlight w:val="white"/>
        </w:rPr>
        <w:t>[Accessed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Nguyen, T.M. and Malik, A., 2020. Cognitive processes, rewards and online knowledge sharing behaviour: the moderating effect of organisational innovation. </w:t>
      </w:r>
      <w:r w:rsidRPr="00761648">
        <w:rPr>
          <w:rFonts w:eastAsia="Times New Roman"/>
          <w:i/>
          <w:color w:val="222222"/>
          <w:sz w:val="24"/>
          <w:szCs w:val="24"/>
          <w:highlight w:val="white"/>
        </w:rPr>
        <w:t>Journal of Knowledge Management</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24</w:t>
      </w:r>
      <w:r w:rsidRPr="00761648">
        <w:rPr>
          <w:rFonts w:eastAsia="Times New Roman"/>
          <w:color w:val="222222"/>
          <w:sz w:val="24"/>
          <w:szCs w:val="24"/>
          <w:highlight w:val="white"/>
        </w:rPr>
        <w:t>(6), pp.1241-1261. Available a</w:t>
      </w:r>
      <w:r w:rsidR="000B5477">
        <w:rPr>
          <w:rFonts w:eastAsia="Times New Roman"/>
          <w:color w:val="222222"/>
          <w:sz w:val="24"/>
          <w:szCs w:val="24"/>
        </w:rPr>
        <w:t xml:space="preserve">t </w:t>
      </w:r>
      <w:hyperlink r:id="rId23" w:history="1">
        <w:r w:rsidR="000B5477" w:rsidRPr="003136E1">
          <w:rPr>
            <w:rStyle w:val="Hyperlink"/>
            <w:rFonts w:eastAsia="Times New Roman"/>
            <w:sz w:val="24"/>
            <w:szCs w:val="24"/>
            <w:highlight w:val="white"/>
          </w:rPr>
          <w:t>https://www.emerald.com/insight/content/doi/10.1108/JKM-12-2019-0742/full/html</w:t>
        </w:r>
      </w:hyperlink>
      <w:r w:rsidRPr="00761648">
        <w:rPr>
          <w:rFonts w:eastAsia="Times New Roman"/>
          <w:color w:val="222222"/>
          <w:sz w:val="24"/>
          <w:szCs w:val="24"/>
          <w:highlight w:val="white"/>
        </w:rPr>
        <w:t xml:space="preserve"> [Accessed 1</w:t>
      </w:r>
      <w:r w:rsidR="000B5477">
        <w:rPr>
          <w:rFonts w:eastAsia="Times New Roman"/>
          <w:color w:val="222222"/>
          <w:sz w:val="24"/>
          <w:szCs w:val="24"/>
          <w:highlight w:val="white"/>
        </w:rPr>
        <w:t>0</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Pathak, K., 2020. </w:t>
      </w:r>
      <w:r w:rsidRPr="00761648">
        <w:rPr>
          <w:rFonts w:eastAsia="Times New Roman"/>
          <w:i/>
          <w:color w:val="222222"/>
          <w:sz w:val="24"/>
          <w:szCs w:val="24"/>
          <w:highlight w:val="white"/>
        </w:rPr>
        <w:t>Organisational behaviour</w:t>
      </w:r>
      <w:r w:rsidRPr="00761648">
        <w:rPr>
          <w:rFonts w:eastAsia="Times New Roman"/>
          <w:color w:val="222222"/>
          <w:sz w:val="24"/>
          <w:szCs w:val="24"/>
          <w:highlight w:val="white"/>
        </w:rPr>
        <w:t>. SBPD Publishing House. Available a</w:t>
      </w:r>
      <w:r w:rsidR="000B5477">
        <w:rPr>
          <w:rFonts w:eastAsia="Times New Roman"/>
          <w:color w:val="222222"/>
          <w:sz w:val="24"/>
          <w:szCs w:val="24"/>
        </w:rPr>
        <w:t xml:space="preserve">t </w:t>
      </w:r>
      <w:hyperlink r:id="rId24" w:history="1">
        <w:r w:rsidR="000B5477" w:rsidRPr="003136E1">
          <w:rPr>
            <w:rStyle w:val="Hyperlink"/>
            <w:rFonts w:eastAsia="Times New Roman"/>
            <w:sz w:val="24"/>
            <w:szCs w:val="24"/>
            <w:highlight w:val="white"/>
          </w:rPr>
          <w:t>https://books.google.com/books?hl=en&amp;lr=&amp;id=k_boDwAAQBAJ&amp;oi=fnd&amp;pg=PA2&amp;dq=Management+and+Organisational+Behaviour+&amp;ots=L9MJPylDsP&amp;sig=dZ9s33_BcR7PKsVMd5UUg429O1o</w:t>
        </w:r>
      </w:hyperlink>
      <w:r w:rsidRPr="00761648">
        <w:rPr>
          <w:rFonts w:eastAsia="Times New Roman"/>
          <w:color w:val="222222"/>
          <w:sz w:val="24"/>
          <w:szCs w:val="24"/>
          <w:highlight w:val="white"/>
        </w:rPr>
        <w:t xml:space="preserve"> [Accessed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Rees, G. and Mullins, L., 2023. </w:t>
      </w:r>
      <w:r w:rsidRPr="00761648">
        <w:rPr>
          <w:rFonts w:eastAsia="Times New Roman"/>
          <w:i/>
          <w:color w:val="222222"/>
          <w:sz w:val="24"/>
          <w:szCs w:val="24"/>
          <w:highlight w:val="white"/>
        </w:rPr>
        <w:t>Management and Organisational Behaviour</w:t>
      </w:r>
      <w:r w:rsidRPr="00761648">
        <w:rPr>
          <w:rFonts w:eastAsia="Times New Roman"/>
          <w:color w:val="222222"/>
          <w:sz w:val="24"/>
          <w:szCs w:val="24"/>
          <w:highlight w:val="white"/>
        </w:rPr>
        <w:t>. Pearson. Available a</w:t>
      </w:r>
      <w:hyperlink r:id="rId25">
        <w:r w:rsidRPr="00761648">
          <w:rPr>
            <w:rFonts w:eastAsia="Times New Roman"/>
            <w:color w:val="1155CC"/>
            <w:sz w:val="24"/>
            <w:szCs w:val="24"/>
            <w:highlight w:val="white"/>
            <w:u w:val="single"/>
          </w:rPr>
          <w:t>https://researchportal.port.ac.uk/en/publications/management-and-organisational-behaviour-2</w:t>
        </w:r>
      </w:hyperlink>
      <w:r w:rsidRPr="00761648">
        <w:rPr>
          <w:rFonts w:eastAsia="Times New Roman"/>
          <w:color w:val="222222"/>
          <w:sz w:val="24"/>
          <w:szCs w:val="24"/>
          <w:highlight w:val="white"/>
        </w:rPr>
        <w:t>[Accessed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Rees, G., 2023. Organisational conflict and stress. In </w:t>
      </w:r>
      <w:r w:rsidRPr="00761648">
        <w:rPr>
          <w:rFonts w:eastAsia="Times New Roman"/>
          <w:i/>
          <w:color w:val="222222"/>
          <w:sz w:val="24"/>
          <w:szCs w:val="24"/>
          <w:highlight w:val="white"/>
        </w:rPr>
        <w:t>Management and Organisational Behaviour</w:t>
      </w:r>
      <w:r w:rsidRPr="00761648">
        <w:rPr>
          <w:rFonts w:eastAsia="Times New Roman"/>
          <w:color w:val="222222"/>
          <w:sz w:val="24"/>
          <w:szCs w:val="24"/>
          <w:highlight w:val="white"/>
        </w:rPr>
        <w:t xml:space="preserve"> (pp. 90-120). Pearson. Available a</w:t>
      </w:r>
      <w:r w:rsidR="000B5477">
        <w:rPr>
          <w:rFonts w:eastAsia="Times New Roman"/>
          <w:color w:val="222222"/>
          <w:sz w:val="24"/>
          <w:szCs w:val="24"/>
        </w:rPr>
        <w:t xml:space="preserve">t </w:t>
      </w:r>
      <w:hyperlink r:id="rId26" w:history="1">
        <w:r w:rsidR="000B5477" w:rsidRPr="003136E1">
          <w:rPr>
            <w:rStyle w:val="Hyperlink"/>
            <w:rFonts w:eastAsia="Times New Roman"/>
            <w:sz w:val="24"/>
            <w:szCs w:val="24"/>
            <w:highlight w:val="white"/>
          </w:rPr>
          <w:t>https://researchportal.port.ac.uk/en/publications/organisational-conflict-and-stress</w:t>
        </w:r>
      </w:hyperlink>
      <w:r w:rsidRPr="00761648">
        <w:rPr>
          <w:rFonts w:eastAsia="Times New Roman"/>
          <w:color w:val="222222"/>
          <w:sz w:val="24"/>
          <w:szCs w:val="24"/>
          <w:highlight w:val="white"/>
        </w:rPr>
        <w:t>[Accessed 1</w:t>
      </w:r>
      <w:r w:rsidR="000B5477">
        <w:rPr>
          <w:rFonts w:eastAsia="Times New Roman"/>
          <w:color w:val="222222"/>
          <w:sz w:val="24"/>
          <w:szCs w:val="24"/>
          <w:highlight w:val="white"/>
        </w:rPr>
        <w:t>0</w:t>
      </w:r>
      <w:r w:rsidRPr="00761648">
        <w:rPr>
          <w:rFonts w:eastAsia="Times New Roman"/>
          <w:color w:val="222222"/>
          <w:sz w:val="24"/>
          <w:szCs w:val="24"/>
          <w:highlight w:val="white"/>
        </w:rPr>
        <w:t xml:space="preserve">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Sharman, N., Wallace, C.A. and Jespersen, L., 2020. Terminology and the understanding of culture, climate, and behavioural change–Impact of organisational and human factors on food safety management. </w:t>
      </w:r>
      <w:r w:rsidRPr="00761648">
        <w:rPr>
          <w:rFonts w:eastAsia="Times New Roman"/>
          <w:i/>
          <w:color w:val="222222"/>
          <w:sz w:val="24"/>
          <w:szCs w:val="24"/>
          <w:highlight w:val="white"/>
        </w:rPr>
        <w:t>Trends in Food Science &amp; Technology</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96</w:t>
      </w:r>
      <w:r w:rsidRPr="00761648">
        <w:rPr>
          <w:rFonts w:eastAsia="Times New Roman"/>
          <w:color w:val="222222"/>
          <w:sz w:val="24"/>
          <w:szCs w:val="24"/>
          <w:highlight w:val="white"/>
        </w:rPr>
        <w:t>, pp.13-20. Available a</w:t>
      </w:r>
      <w:r w:rsidR="000B5477">
        <w:rPr>
          <w:rFonts w:eastAsia="Times New Roman"/>
          <w:color w:val="222222"/>
          <w:sz w:val="24"/>
          <w:szCs w:val="24"/>
        </w:rPr>
        <w:t xml:space="preserve">t </w:t>
      </w:r>
      <w:hyperlink r:id="rId27" w:history="1">
        <w:r w:rsidR="000B5477" w:rsidRPr="003136E1">
          <w:rPr>
            <w:rStyle w:val="Hyperlink"/>
            <w:rFonts w:eastAsia="Times New Roman"/>
            <w:sz w:val="24"/>
            <w:szCs w:val="24"/>
            <w:highlight w:val="white"/>
          </w:rPr>
          <w:t>https://www.sciencedirect.com/science/article/pii/S092422441930439X</w:t>
        </w:r>
      </w:hyperlink>
      <w:r w:rsidRPr="00761648">
        <w:rPr>
          <w:rFonts w:eastAsia="Times New Roman"/>
          <w:color w:val="222222"/>
          <w:sz w:val="24"/>
          <w:szCs w:val="24"/>
          <w:highlight w:val="white"/>
        </w:rPr>
        <w:t>[Accessed 11 October 2023]</w:t>
      </w:r>
    </w:p>
    <w:p w:rsidR="009722FF" w:rsidRPr="00761648" w:rsidRDefault="009722FF" w:rsidP="00761648">
      <w:pPr>
        <w:spacing w:line="360" w:lineRule="auto"/>
        <w:jc w:val="both"/>
        <w:rPr>
          <w:rFonts w:eastAsia="Times New Roman"/>
          <w:color w:val="222222"/>
          <w:sz w:val="24"/>
          <w:szCs w:val="24"/>
          <w:highlight w:val="white"/>
        </w:rPr>
      </w:pPr>
      <w:r w:rsidRPr="00761648">
        <w:rPr>
          <w:rFonts w:eastAsia="Times New Roman"/>
          <w:color w:val="222222"/>
          <w:sz w:val="24"/>
          <w:szCs w:val="24"/>
          <w:highlight w:val="white"/>
        </w:rPr>
        <w:t xml:space="preserve">Sibiya, C.B. and Subban, M., 2023. Organisational Variables Influencing Strategic Management in Public Organisations: Critical Considerations for Strategy Execution. </w:t>
      </w:r>
      <w:r w:rsidRPr="00761648">
        <w:rPr>
          <w:rFonts w:eastAsia="Times New Roman"/>
          <w:i/>
          <w:color w:val="222222"/>
          <w:sz w:val="24"/>
          <w:szCs w:val="24"/>
          <w:highlight w:val="white"/>
        </w:rPr>
        <w:t>Administratio Publica</w:t>
      </w:r>
      <w:r w:rsidRPr="00761648">
        <w:rPr>
          <w:rFonts w:eastAsia="Times New Roman"/>
          <w:color w:val="222222"/>
          <w:sz w:val="24"/>
          <w:szCs w:val="24"/>
          <w:highlight w:val="white"/>
        </w:rPr>
        <w:t xml:space="preserve">, </w:t>
      </w:r>
      <w:r w:rsidRPr="00761648">
        <w:rPr>
          <w:rFonts w:eastAsia="Times New Roman"/>
          <w:i/>
          <w:color w:val="222222"/>
          <w:sz w:val="24"/>
          <w:szCs w:val="24"/>
          <w:highlight w:val="white"/>
        </w:rPr>
        <w:t>31</w:t>
      </w:r>
      <w:r w:rsidRPr="00761648">
        <w:rPr>
          <w:rFonts w:eastAsia="Times New Roman"/>
          <w:color w:val="222222"/>
          <w:sz w:val="24"/>
          <w:szCs w:val="24"/>
          <w:highlight w:val="white"/>
        </w:rPr>
        <w:t>(2), pp.160-182. Available a</w:t>
      </w:r>
      <w:r w:rsidR="000B5477">
        <w:rPr>
          <w:rFonts w:eastAsia="Times New Roman"/>
          <w:color w:val="222222"/>
          <w:sz w:val="24"/>
          <w:szCs w:val="24"/>
        </w:rPr>
        <w:t xml:space="preserve">t </w:t>
      </w:r>
      <w:hyperlink r:id="rId28" w:history="1">
        <w:r w:rsidR="000B5477" w:rsidRPr="003136E1">
          <w:rPr>
            <w:rStyle w:val="Hyperlink"/>
            <w:rFonts w:eastAsia="Times New Roman"/>
            <w:sz w:val="24"/>
            <w:szCs w:val="24"/>
            <w:highlight w:val="white"/>
          </w:rPr>
          <w:t>https://journals.co.za/doi/abs/10.10520/ejc-adminpub_v31_n2_a9</w:t>
        </w:r>
      </w:hyperlink>
      <w:r w:rsidRPr="00761648">
        <w:rPr>
          <w:rFonts w:eastAsia="Times New Roman"/>
          <w:color w:val="222222"/>
          <w:sz w:val="24"/>
          <w:szCs w:val="24"/>
          <w:highlight w:val="white"/>
        </w:rPr>
        <w:t xml:space="preserve"> [Accessed 1</w:t>
      </w:r>
      <w:r w:rsidR="000B5477">
        <w:rPr>
          <w:rFonts w:eastAsia="Times New Roman"/>
          <w:color w:val="222222"/>
          <w:sz w:val="24"/>
          <w:szCs w:val="24"/>
          <w:highlight w:val="white"/>
        </w:rPr>
        <w:t>2</w:t>
      </w:r>
      <w:r w:rsidRPr="00761648">
        <w:rPr>
          <w:rFonts w:eastAsia="Times New Roman"/>
          <w:color w:val="222222"/>
          <w:sz w:val="24"/>
          <w:szCs w:val="24"/>
          <w:highlight w:val="white"/>
        </w:rPr>
        <w:t xml:space="preserve"> October 2023]</w:t>
      </w:r>
    </w:p>
    <w:p w:rsidR="00AD08CB" w:rsidRDefault="00AD08CB">
      <w:pPr>
        <w:spacing w:line="360" w:lineRule="auto"/>
        <w:jc w:val="both"/>
        <w:rPr>
          <w:rFonts w:ascii="Times New Roman" w:eastAsia="Times New Roman" w:hAnsi="Times New Roman" w:cs="Times New Roman"/>
          <w:sz w:val="24"/>
          <w:szCs w:val="24"/>
        </w:rPr>
      </w:pPr>
    </w:p>
    <w:sectPr w:rsidR="00AD08CB" w:rsidSect="009722FF">
      <w:footerReference w:type="default" r:id="rId2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3EC3" w:rsidRDefault="003D3EC3" w:rsidP="009722FF">
      <w:pPr>
        <w:spacing w:line="240" w:lineRule="auto"/>
      </w:pPr>
      <w:r>
        <w:separator/>
      </w:r>
    </w:p>
  </w:endnote>
  <w:endnote w:type="continuationSeparator" w:id="0">
    <w:p w:rsidR="003D3EC3" w:rsidRDefault="003D3EC3" w:rsidP="009722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06018019"/>
      <w:docPartObj>
        <w:docPartGallery w:val="Page Numbers (Bottom of Page)"/>
        <w:docPartUnique/>
      </w:docPartObj>
    </w:sdtPr>
    <w:sdtContent>
      <w:sdt>
        <w:sdtPr>
          <w:rPr>
            <w:rFonts w:ascii="Times New Roman" w:hAnsi="Times New Roman" w:cs="Times New Roman"/>
            <w:sz w:val="24"/>
            <w:szCs w:val="24"/>
          </w:rPr>
          <w:id w:val="860082579"/>
          <w:docPartObj>
            <w:docPartGallery w:val="Page Numbers (Top of Page)"/>
            <w:docPartUnique/>
          </w:docPartObj>
        </w:sdtPr>
        <w:sdtContent>
          <w:p w:rsidR="009722FF" w:rsidRPr="009722FF" w:rsidRDefault="009722FF">
            <w:pPr>
              <w:pStyle w:val="Footer"/>
              <w:jc w:val="right"/>
              <w:rPr>
                <w:rFonts w:ascii="Times New Roman" w:hAnsi="Times New Roman" w:cs="Times New Roman"/>
                <w:sz w:val="24"/>
                <w:szCs w:val="24"/>
              </w:rPr>
            </w:pPr>
            <w:r w:rsidRPr="009722FF">
              <w:rPr>
                <w:rFonts w:ascii="Times New Roman" w:hAnsi="Times New Roman" w:cs="Times New Roman"/>
                <w:sz w:val="24"/>
                <w:szCs w:val="24"/>
              </w:rPr>
              <w:t xml:space="preserve">Page </w:t>
            </w:r>
            <w:r w:rsidRPr="009722FF">
              <w:rPr>
                <w:rFonts w:ascii="Times New Roman" w:hAnsi="Times New Roman" w:cs="Times New Roman"/>
                <w:b/>
                <w:bCs/>
                <w:sz w:val="24"/>
                <w:szCs w:val="24"/>
              </w:rPr>
              <w:fldChar w:fldCharType="begin"/>
            </w:r>
            <w:r w:rsidRPr="009722FF">
              <w:rPr>
                <w:rFonts w:ascii="Times New Roman" w:hAnsi="Times New Roman" w:cs="Times New Roman"/>
                <w:b/>
                <w:bCs/>
                <w:sz w:val="24"/>
                <w:szCs w:val="24"/>
              </w:rPr>
              <w:instrText xml:space="preserve"> PAGE </w:instrText>
            </w:r>
            <w:r w:rsidRPr="009722FF">
              <w:rPr>
                <w:rFonts w:ascii="Times New Roman" w:hAnsi="Times New Roman" w:cs="Times New Roman"/>
                <w:b/>
                <w:bCs/>
                <w:sz w:val="24"/>
                <w:szCs w:val="24"/>
              </w:rPr>
              <w:fldChar w:fldCharType="separate"/>
            </w:r>
            <w:r>
              <w:rPr>
                <w:rFonts w:ascii="Times New Roman" w:hAnsi="Times New Roman" w:cs="Times New Roman"/>
                <w:b/>
                <w:bCs/>
                <w:noProof/>
                <w:sz w:val="24"/>
                <w:szCs w:val="24"/>
              </w:rPr>
              <w:t>2</w:t>
            </w:r>
            <w:r w:rsidRPr="009722FF">
              <w:rPr>
                <w:rFonts w:ascii="Times New Roman" w:hAnsi="Times New Roman" w:cs="Times New Roman"/>
                <w:b/>
                <w:bCs/>
                <w:sz w:val="24"/>
                <w:szCs w:val="24"/>
              </w:rPr>
              <w:fldChar w:fldCharType="end"/>
            </w:r>
            <w:r w:rsidRPr="009722FF">
              <w:rPr>
                <w:rFonts w:ascii="Times New Roman" w:hAnsi="Times New Roman" w:cs="Times New Roman"/>
                <w:sz w:val="24"/>
                <w:szCs w:val="24"/>
              </w:rPr>
              <w:t xml:space="preserve"> of </w:t>
            </w:r>
            <w:r w:rsidRPr="009722FF">
              <w:rPr>
                <w:rFonts w:ascii="Times New Roman" w:hAnsi="Times New Roman" w:cs="Times New Roman"/>
                <w:b/>
                <w:bCs/>
                <w:sz w:val="24"/>
                <w:szCs w:val="24"/>
              </w:rPr>
              <w:fldChar w:fldCharType="begin"/>
            </w:r>
            <w:r w:rsidRPr="009722FF">
              <w:rPr>
                <w:rFonts w:ascii="Times New Roman" w:hAnsi="Times New Roman" w:cs="Times New Roman"/>
                <w:b/>
                <w:bCs/>
                <w:sz w:val="24"/>
                <w:szCs w:val="24"/>
              </w:rPr>
              <w:instrText xml:space="preserve"> NUMPAGES  </w:instrText>
            </w:r>
            <w:r w:rsidRPr="009722FF">
              <w:rPr>
                <w:rFonts w:ascii="Times New Roman" w:hAnsi="Times New Roman" w:cs="Times New Roman"/>
                <w:b/>
                <w:bCs/>
                <w:sz w:val="24"/>
                <w:szCs w:val="24"/>
              </w:rPr>
              <w:fldChar w:fldCharType="separate"/>
            </w:r>
            <w:r>
              <w:rPr>
                <w:rFonts w:ascii="Times New Roman" w:hAnsi="Times New Roman" w:cs="Times New Roman"/>
                <w:b/>
                <w:bCs/>
                <w:noProof/>
                <w:sz w:val="24"/>
                <w:szCs w:val="24"/>
              </w:rPr>
              <w:t>12</w:t>
            </w:r>
            <w:r w:rsidRPr="009722FF">
              <w:rPr>
                <w:rFonts w:ascii="Times New Roman" w:hAnsi="Times New Roman" w:cs="Times New Roman"/>
                <w:b/>
                <w:bCs/>
                <w:sz w:val="24"/>
                <w:szCs w:val="24"/>
              </w:rPr>
              <w:fldChar w:fldCharType="end"/>
            </w:r>
          </w:p>
        </w:sdtContent>
      </w:sdt>
    </w:sdtContent>
  </w:sdt>
  <w:p w:rsidR="009722FF" w:rsidRDefault="00972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3EC3" w:rsidRDefault="003D3EC3" w:rsidP="009722FF">
      <w:pPr>
        <w:spacing w:line="240" w:lineRule="auto"/>
      </w:pPr>
      <w:r>
        <w:separator/>
      </w:r>
    </w:p>
  </w:footnote>
  <w:footnote w:type="continuationSeparator" w:id="0">
    <w:p w:rsidR="003D3EC3" w:rsidRDefault="003D3EC3" w:rsidP="009722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10A62"/>
    <w:multiLevelType w:val="multilevel"/>
    <w:tmpl w:val="26D8B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A66E0D"/>
    <w:multiLevelType w:val="multilevel"/>
    <w:tmpl w:val="5270F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8725160">
    <w:abstractNumId w:val="1"/>
  </w:num>
  <w:num w:numId="2" w16cid:durableId="372460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D08CB"/>
    <w:rsid w:val="000B5477"/>
    <w:rsid w:val="001C42C7"/>
    <w:rsid w:val="003D3EC3"/>
    <w:rsid w:val="00761648"/>
    <w:rsid w:val="009722FF"/>
    <w:rsid w:val="00AD08C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CA34"/>
  <w15:docId w15:val="{30CD1FF9-B6D7-4761-818D-2884AB98F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722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2FF"/>
    <w:rPr>
      <w:rFonts w:ascii="Tahoma" w:hAnsi="Tahoma" w:cs="Tahoma"/>
      <w:sz w:val="16"/>
      <w:szCs w:val="16"/>
    </w:rPr>
  </w:style>
  <w:style w:type="paragraph" w:styleId="TOCHeading">
    <w:name w:val="TOC Heading"/>
    <w:basedOn w:val="Heading1"/>
    <w:next w:val="Normal"/>
    <w:uiPriority w:val="39"/>
    <w:semiHidden/>
    <w:unhideWhenUsed/>
    <w:qFormat/>
    <w:rsid w:val="009722FF"/>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9722FF"/>
    <w:pPr>
      <w:spacing w:after="100"/>
    </w:pPr>
  </w:style>
  <w:style w:type="character" w:styleId="Hyperlink">
    <w:name w:val="Hyperlink"/>
    <w:basedOn w:val="DefaultParagraphFont"/>
    <w:uiPriority w:val="99"/>
    <w:unhideWhenUsed/>
    <w:rsid w:val="009722FF"/>
    <w:rPr>
      <w:color w:val="0000FF" w:themeColor="hyperlink"/>
      <w:u w:val="single"/>
    </w:rPr>
  </w:style>
  <w:style w:type="paragraph" w:styleId="Header">
    <w:name w:val="header"/>
    <w:basedOn w:val="Normal"/>
    <w:link w:val="HeaderChar"/>
    <w:uiPriority w:val="99"/>
    <w:unhideWhenUsed/>
    <w:rsid w:val="009722FF"/>
    <w:pPr>
      <w:tabs>
        <w:tab w:val="center" w:pos="4513"/>
        <w:tab w:val="right" w:pos="9026"/>
      </w:tabs>
      <w:spacing w:line="240" w:lineRule="auto"/>
    </w:pPr>
  </w:style>
  <w:style w:type="character" w:customStyle="1" w:styleId="HeaderChar">
    <w:name w:val="Header Char"/>
    <w:basedOn w:val="DefaultParagraphFont"/>
    <w:link w:val="Header"/>
    <w:uiPriority w:val="99"/>
    <w:rsid w:val="009722FF"/>
  </w:style>
  <w:style w:type="paragraph" w:styleId="Footer">
    <w:name w:val="footer"/>
    <w:basedOn w:val="Normal"/>
    <w:link w:val="FooterChar"/>
    <w:uiPriority w:val="99"/>
    <w:unhideWhenUsed/>
    <w:rsid w:val="009722FF"/>
    <w:pPr>
      <w:tabs>
        <w:tab w:val="center" w:pos="4513"/>
        <w:tab w:val="right" w:pos="9026"/>
      </w:tabs>
      <w:spacing w:line="240" w:lineRule="auto"/>
    </w:pPr>
  </w:style>
  <w:style w:type="character" w:customStyle="1" w:styleId="FooterChar">
    <w:name w:val="Footer Char"/>
    <w:basedOn w:val="DefaultParagraphFont"/>
    <w:link w:val="Footer"/>
    <w:uiPriority w:val="99"/>
    <w:rsid w:val="009722FF"/>
  </w:style>
  <w:style w:type="character" w:styleId="UnresolvedMention">
    <w:name w:val="Unresolved Mention"/>
    <w:basedOn w:val="DefaultParagraphFont"/>
    <w:uiPriority w:val="99"/>
    <w:semiHidden/>
    <w:unhideWhenUsed/>
    <w:rsid w:val="000B5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167404820300018" TargetMode="External"/><Relationship Id="rId18" Type="http://schemas.openxmlformats.org/officeDocument/2006/relationships/hyperlink" Target="https://link.springer.com/chapter/10.1007/978-3-031-35795-4_6" TargetMode="External"/><Relationship Id="rId26" Type="http://schemas.openxmlformats.org/officeDocument/2006/relationships/hyperlink" Target="https://researchportal.port.ac.uk/en/publications/organisational-conflict-and-stress" TargetMode="External"/><Relationship Id="rId3" Type="http://schemas.openxmlformats.org/officeDocument/2006/relationships/styles" Target="styles.xml"/><Relationship Id="rId21" Type="http://schemas.openxmlformats.org/officeDocument/2006/relationships/hyperlink" Target="https://www.academia.edu/download/85746027/10.11648.j.jhrm.20190701.13.pdf" TargetMode="External"/><Relationship Id="rId7" Type="http://schemas.openxmlformats.org/officeDocument/2006/relationships/endnotes" Target="endnotes.xml"/><Relationship Id="rId12" Type="http://schemas.openxmlformats.org/officeDocument/2006/relationships/hyperlink" Target="https://www.tandfonline.com/doi/abs/10.1080/14783363.2022.2157711" TargetMode="External"/><Relationship Id="rId17" Type="http://schemas.openxmlformats.org/officeDocument/2006/relationships/hyperlink" Target="https://www.inderscienceonline.com/doi/pdf/10.1504/IJLIC.2023.133220" TargetMode="External"/><Relationship Id="rId25" Type="http://schemas.openxmlformats.org/officeDocument/2006/relationships/hyperlink" Target="https://researchportal.port.ac.uk/en/publications/management-and-organisational-behaviour-2" TargetMode="External"/><Relationship Id="rId2" Type="http://schemas.openxmlformats.org/officeDocument/2006/relationships/numbering" Target="numbering.xml"/><Relationship Id="rId16" Type="http://schemas.openxmlformats.org/officeDocument/2006/relationships/hyperlink" Target="https://journals.co.za/doi/abs/10.4102/sajhrm.v21i0.2080" TargetMode="External"/><Relationship Id="rId20" Type="http://schemas.openxmlformats.org/officeDocument/2006/relationships/hyperlink" Target="https://www.sciencedirect.com/science/article/pii/S026151771930043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lo.org.za/scielo.php?pid=S2071-07632023000100012&amp;script=sci_arttext" TargetMode="External"/><Relationship Id="rId24" Type="http://schemas.openxmlformats.org/officeDocument/2006/relationships/hyperlink" Target="https://books.google.com/books?hl=en&amp;lr=&amp;id=k_boDwAAQBAJ&amp;oi=fnd&amp;pg=PA2&amp;dq=Management+and+Organisational+Behaviour+&amp;ots=L9MJPylDsP&amp;sig=dZ9s33_BcR7PKsVMd5UUg429O1o" TargetMode="External"/><Relationship Id="rId5" Type="http://schemas.openxmlformats.org/officeDocument/2006/relationships/webSettings" Target="webSettings.xml"/><Relationship Id="rId15" Type="http://schemas.openxmlformats.org/officeDocument/2006/relationships/hyperlink" Target="https://www.emerald.com/insight/content/doi/10.1108/IJM-07-2019-0347/full/html" TargetMode="External"/><Relationship Id="rId23" Type="http://schemas.openxmlformats.org/officeDocument/2006/relationships/hyperlink" Target="https://www.emerald.com/insight/content/doi/10.1108/JKM-12-2019-0742/full/html" TargetMode="External"/><Relationship Id="rId28" Type="http://schemas.openxmlformats.org/officeDocument/2006/relationships/hyperlink" Target="https://journals.co.za/doi/abs/10.10520/ejc-adminpub_v31_n2_a9" TargetMode="External"/><Relationship Id="rId10" Type="http://schemas.openxmlformats.org/officeDocument/2006/relationships/hyperlink" Target="https://www.emerald.com/insight/content/doi/10.1108/IJOA-01-2023-3584/full/html" TargetMode="External"/><Relationship Id="rId19" Type="http://schemas.openxmlformats.org/officeDocument/2006/relationships/hyperlink" Target="https://www.inderscienceonline.com/doi/abs/10.1504/IJRS.2023.13294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encedirect.com/science/article/pii/S0268401218312465" TargetMode="External"/><Relationship Id="rId14" Type="http://schemas.openxmlformats.org/officeDocument/2006/relationships/hyperlink" Target="https://www.cambridge.org/core/journals/journal-of-management-and-organization/article/positive-organisational-scholarship-in-healthcare/89519FB79AE7B23C263F63E25E7BD4AF" TargetMode="External"/><Relationship Id="rId22" Type="http://schemas.openxmlformats.org/officeDocument/2006/relationships/hyperlink" Target="http://mjs.um.edu.my/index.php/AJBA/article/view/30789" TargetMode="External"/><Relationship Id="rId27" Type="http://schemas.openxmlformats.org/officeDocument/2006/relationships/hyperlink" Target="https://www.sciencedirect.com/science/article/pii/S092422441930439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594BC-2B0D-43C6-92AA-955426AE3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3595</Words>
  <Characters>20493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Digbijoy Roy (2117381)</cp:lastModifiedBy>
  <cp:revision>3</cp:revision>
  <dcterms:created xsi:type="dcterms:W3CDTF">2023-10-11T07:58:00Z</dcterms:created>
  <dcterms:modified xsi:type="dcterms:W3CDTF">2023-10-12T22:00:00Z</dcterms:modified>
</cp:coreProperties>
</file>