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76CBAB" w14:textId="77777777" w:rsidR="005B5CF1" w:rsidRDefault="00000000">
      <w:pPr>
        <w:spacing w:line="360" w:lineRule="auto"/>
        <w:jc w:val="center"/>
      </w:pPr>
      <w:r>
        <w:rPr>
          <w:rFonts w:ascii="Arial" w:eastAsia="Arial" w:hAnsi="Arial" w:cs="Arial"/>
          <w:b/>
          <w:bCs/>
          <w:sz w:val="28"/>
          <w:szCs w:val="28"/>
        </w:rPr>
        <w:t>Course: BSc (Hons) Health and Social Care</w:t>
      </w:r>
    </w:p>
    <w:p w14:paraId="577023FB" w14:textId="77777777" w:rsidR="005B5CF1" w:rsidRDefault="00000000">
      <w:pPr>
        <w:spacing w:line="360" w:lineRule="auto"/>
        <w:jc w:val="center"/>
      </w:pPr>
      <w:r>
        <w:rPr>
          <w:rFonts w:ascii="Arial" w:eastAsia="Arial" w:hAnsi="Arial" w:cs="Arial"/>
          <w:b/>
          <w:bCs/>
          <w:sz w:val="28"/>
          <w:szCs w:val="28"/>
        </w:rPr>
        <w:t>Module: Empowering the Older Person</w:t>
      </w:r>
    </w:p>
    <w:p w14:paraId="04212B41" w14:textId="77777777" w:rsidR="005B5CF1" w:rsidRDefault="00000000">
      <w:pPr>
        <w:spacing w:line="360" w:lineRule="auto"/>
        <w:jc w:val="center"/>
      </w:pPr>
      <w:r>
        <w:rPr>
          <w:rFonts w:ascii="Arial" w:eastAsia="Arial" w:hAnsi="Arial" w:cs="Arial"/>
          <w:b/>
          <w:bCs/>
          <w:sz w:val="28"/>
          <w:szCs w:val="28"/>
        </w:rPr>
        <w:t>BMHP6027</w:t>
      </w:r>
    </w:p>
    <w:p w14:paraId="078512A4" w14:textId="77777777" w:rsidR="005B5CF1" w:rsidRDefault="00000000">
      <w:pPr>
        <w:spacing w:line="360" w:lineRule="auto"/>
        <w:jc w:val="center"/>
      </w:pPr>
      <w:r>
        <w:rPr>
          <w:rFonts w:ascii="Arial" w:eastAsia="Arial" w:hAnsi="Arial" w:cs="Arial"/>
          <w:b/>
          <w:bCs/>
          <w:sz w:val="28"/>
          <w:szCs w:val="28"/>
          <w:u w:val="single"/>
        </w:rPr>
        <w:t>DEBATES</w:t>
      </w:r>
    </w:p>
    <w:p w14:paraId="1728CFA2" w14:textId="77777777" w:rsidR="005B5CF1" w:rsidRDefault="005B5CF1">
      <w:pPr>
        <w:spacing w:line="360" w:lineRule="auto"/>
        <w:jc w:val="center"/>
      </w:pPr>
    </w:p>
    <w:p w14:paraId="13B23A38" w14:textId="77777777" w:rsidR="005B5CF1" w:rsidRDefault="005B5CF1">
      <w:pPr>
        <w:spacing w:line="360" w:lineRule="auto"/>
        <w:jc w:val="center"/>
      </w:pPr>
    </w:p>
    <w:p w14:paraId="37702AF2" w14:textId="4F0107EE" w:rsidR="005B5CF1" w:rsidRDefault="00000000">
      <w:pPr>
        <w:spacing w:line="360" w:lineRule="auto"/>
      </w:pPr>
      <w:r>
        <w:rPr>
          <w:rFonts w:ascii="Arial" w:eastAsia="Arial" w:hAnsi="Arial" w:cs="Arial"/>
          <w:b/>
          <w:bCs/>
          <w:sz w:val="28"/>
          <w:szCs w:val="28"/>
        </w:rPr>
        <w:t>Student ID</w:t>
      </w:r>
      <w:r>
        <w:rPr>
          <w:rFonts w:ascii="Arial" w:eastAsia="Arial" w:hAnsi="Arial" w:cs="Arial"/>
          <w:sz w:val="28"/>
          <w:szCs w:val="28"/>
        </w:rPr>
        <w:t xml:space="preserve">: </w:t>
      </w:r>
      <w:r w:rsidR="00934577">
        <w:rPr>
          <w:rFonts w:ascii="Arial" w:eastAsia="Arial" w:hAnsi="Arial" w:cs="Arial"/>
          <w:sz w:val="28"/>
          <w:szCs w:val="28"/>
        </w:rPr>
        <w:t>1916790</w:t>
      </w:r>
    </w:p>
    <w:p w14:paraId="652C4D05" w14:textId="77777777" w:rsidR="005B5CF1" w:rsidRDefault="005B5CF1">
      <w:pPr>
        <w:spacing w:line="360" w:lineRule="auto"/>
      </w:pPr>
    </w:p>
    <w:p w14:paraId="6F93A11D" w14:textId="179B20B6" w:rsidR="005B5CF1" w:rsidRDefault="00000000">
      <w:pPr>
        <w:spacing w:line="360" w:lineRule="auto"/>
      </w:pPr>
      <w:r>
        <w:rPr>
          <w:rFonts w:ascii="Arial" w:eastAsia="Arial" w:hAnsi="Arial" w:cs="Arial"/>
          <w:b/>
          <w:bCs/>
          <w:sz w:val="28"/>
          <w:szCs w:val="28"/>
        </w:rPr>
        <w:t>Student Name</w:t>
      </w:r>
      <w:r>
        <w:rPr>
          <w:rFonts w:ascii="Arial" w:eastAsia="Arial" w:hAnsi="Arial" w:cs="Arial"/>
          <w:sz w:val="28"/>
          <w:szCs w:val="28"/>
        </w:rPr>
        <w:t xml:space="preserve">: </w:t>
      </w:r>
      <w:r w:rsidR="00934577">
        <w:rPr>
          <w:rFonts w:ascii="Arial" w:eastAsia="Arial" w:hAnsi="Arial" w:cs="Arial"/>
          <w:sz w:val="28"/>
          <w:szCs w:val="28"/>
        </w:rPr>
        <w:t>Kinga Julia Gisca</w:t>
      </w:r>
    </w:p>
    <w:p w14:paraId="0D98CFBF" w14:textId="77777777" w:rsidR="005B5CF1" w:rsidRDefault="005B5CF1">
      <w:pPr>
        <w:spacing w:line="360" w:lineRule="auto"/>
      </w:pPr>
    </w:p>
    <w:p w14:paraId="3A668FC1" w14:textId="77777777" w:rsidR="005B5CF1" w:rsidRDefault="00000000">
      <w:pPr>
        <w:spacing w:line="360" w:lineRule="auto"/>
      </w:pPr>
      <w:r>
        <w:rPr>
          <w:rFonts w:ascii="Arial" w:eastAsia="Arial" w:hAnsi="Arial" w:cs="Arial"/>
          <w:b/>
          <w:bCs/>
          <w:sz w:val="28"/>
          <w:szCs w:val="28"/>
        </w:rPr>
        <w:t>Lecturer name:</w:t>
      </w:r>
      <w:r>
        <w:rPr>
          <w:rFonts w:ascii="Arial" w:eastAsia="Arial" w:hAnsi="Arial" w:cs="Arial"/>
          <w:sz w:val="28"/>
          <w:szCs w:val="28"/>
        </w:rPr>
        <w:t xml:space="preserve"> Dr Christopher Mafuva</w:t>
      </w:r>
    </w:p>
    <w:p w14:paraId="0BA5AFE4" w14:textId="77777777" w:rsidR="005B5CF1" w:rsidRDefault="00000000">
      <w:r>
        <w:br w:type="page"/>
      </w:r>
    </w:p>
    <w:p w14:paraId="6E5969F5" w14:textId="77777777" w:rsidR="005B5CF1" w:rsidRDefault="00000000">
      <w:r>
        <w:rPr>
          <w:b/>
          <w:bCs/>
        </w:rPr>
        <w:lastRenderedPageBreak/>
        <w:t>References:</w:t>
      </w:r>
    </w:p>
    <w:p w14:paraId="7742DBAE" w14:textId="77777777" w:rsidR="005B5CF1" w:rsidRDefault="00000000">
      <w:r>
        <w:t xml:space="preserve">Age UK (2024) </w:t>
      </w:r>
      <w:r>
        <w:rPr>
          <w:i/>
        </w:rPr>
        <w:t>Offline and overlooked: digital exclusion and its impact on older people.</w:t>
      </w:r>
      <w:r>
        <w:t xml:space="preserve"> London: Age UK. Available at: https://www.ageuk.org.uk/siteassets/documents/reports-and-publications/reports-and-briefings/offline-and-overlooked-report.pdf (Accessed: 4 August 2026).</w:t>
      </w:r>
    </w:p>
    <w:p w14:paraId="5AF28FD4" w14:textId="77777777" w:rsidR="005B5CF1" w:rsidRDefault="00000000">
      <w:r>
        <w:t xml:space="preserve">Astell, A.J., Bouranis, N., Hoey, J., Lindauer, A., Mihailidis, A., Nugent, C. and Robillard, J.M. (2019) ‘Technology and dementia: the future is now’, </w:t>
      </w:r>
      <w:r>
        <w:rPr>
          <w:i/>
        </w:rPr>
        <w:t>Dementia and Geriatric Cognitive Disorders</w:t>
      </w:r>
      <w:r>
        <w:t>, 47(3), pp. 131–139. Available at: https://doi.org/10.1159/000497800</w:t>
      </w:r>
    </w:p>
    <w:p w14:paraId="2684AE54" w14:textId="77777777" w:rsidR="005B5CF1" w:rsidRDefault="00000000">
      <w:r>
        <w:t xml:space="preserve">Barbosa Neves, B., Franz, R., Judges, R., Beermann, C. and Baecker, R. (2019) ‘Can digital technology enhance social connectedness among older adults? A feasibility study’, </w:t>
      </w:r>
      <w:r>
        <w:rPr>
          <w:i/>
        </w:rPr>
        <w:t>Journal of Applied Gerontology</w:t>
      </w:r>
      <w:r>
        <w:t>, 38(1), pp. 49–72. Available at: https://doi.org/10.1177/0733464817741369</w:t>
      </w:r>
    </w:p>
    <w:p w14:paraId="4B209F16" w14:textId="77777777" w:rsidR="005B5CF1" w:rsidRDefault="00000000">
      <w:r>
        <w:t xml:space="preserve">Brims, L. and Oliver, K. (2019) ‘Effectiveness of assistive technology in improving the safety of people with dementia: a systematic review and meta-analysis’, </w:t>
      </w:r>
      <w:r>
        <w:rPr>
          <w:i/>
        </w:rPr>
        <w:t>Aging &amp; Mental Health</w:t>
      </w:r>
      <w:r>
        <w:t>, 23(8), pp. 942–951. Available at: https://doi.org/10.1080/13607863.2018.1455805</w:t>
      </w:r>
    </w:p>
    <w:p w14:paraId="3D83EF47" w14:textId="77777777" w:rsidR="005B5CF1" w:rsidRDefault="00000000">
      <w:r>
        <w:t xml:space="preserve">Centre for Ageing Better (2018) </w:t>
      </w:r>
      <w:r>
        <w:rPr>
          <w:i/>
        </w:rPr>
        <w:t>The digital age: new approaches to supporting people in later life get online.</w:t>
      </w:r>
      <w:r>
        <w:t xml:space="preserve"> London: Centre for Ageing Better. Available at: https://ageing-better.org.uk/resources/digital-age (Accessed: 4 August 2026).</w:t>
      </w:r>
    </w:p>
    <w:p w14:paraId="097F39EF" w14:textId="77777777" w:rsidR="005B5CF1" w:rsidRDefault="00000000">
      <w:r>
        <w:t xml:space="preserve">Choi, N.G. and DiNitto, D.M. (2013) ‘The digital divide among low-income homebound older adults: internet use patterns, eHealth literacy, and attitudes toward computer/internet use’, </w:t>
      </w:r>
      <w:r>
        <w:rPr>
          <w:i/>
        </w:rPr>
        <w:t>Journal of Medical Internet Research</w:t>
      </w:r>
      <w:r>
        <w:t>, 15(5), e93. Available at: https://doi.org/10.2196/jmir.2645</w:t>
      </w:r>
    </w:p>
    <w:p w14:paraId="70DE2FB5" w14:textId="77777777" w:rsidR="005B5CF1" w:rsidRDefault="00000000">
      <w:r>
        <w:t xml:space="preserve">Czaja, S.J., Boot, W.R., Charness, N., Rogers, W.A. and Sharit, J. (2018) ‘Improving social support for older adults through technology: findings from the PRISM randomized controlled trial’, </w:t>
      </w:r>
      <w:r>
        <w:rPr>
          <w:i/>
        </w:rPr>
        <w:t>The Gerontologist</w:t>
      </w:r>
      <w:r>
        <w:t>, 58(3), pp. 467–477. Available at: https://doi.org/10.1093/geront/gnw249</w:t>
      </w:r>
    </w:p>
    <w:p w14:paraId="16D92133" w14:textId="77777777" w:rsidR="005B5CF1" w:rsidRDefault="00000000">
      <w:r>
        <w:t xml:space="preserve">Haase, K.R., Cosco, T., Kervin, L., Riadi, I. and O’Connell, M.E. (2021) ‘Older adults’ experiences with using technology for socialization during the COVID-19 pandemic: cross-sectional survey study’, </w:t>
      </w:r>
      <w:r>
        <w:rPr>
          <w:i/>
        </w:rPr>
        <w:t>JMIR Aging</w:t>
      </w:r>
      <w:r>
        <w:t>, 4(2), e28010. Available at: https://doi.org/10.2196/28010</w:t>
      </w:r>
    </w:p>
    <w:p w14:paraId="22DB717A" w14:textId="77777777" w:rsidR="005B5CF1" w:rsidRDefault="00000000">
      <w:r>
        <w:t xml:space="preserve">Henderson, C., Knapp, M., Fernández, J.L., Beecham, J., Hirani, S.P., Cartwright, M. et al. (2013) ‘Cost effectiveness of telehealth for patients with long term conditions (Whole Systems Demonstrator telehealth questionnaire study): nested economic evaluation in a pragmatic, cluster randomised controlled trial’, </w:t>
      </w:r>
      <w:r>
        <w:rPr>
          <w:i/>
        </w:rPr>
        <w:t>BMJ</w:t>
      </w:r>
      <w:r>
        <w:t>, 346, f1035. Available at: https://doi.org/10.1136/bmj.f1035</w:t>
      </w:r>
    </w:p>
    <w:p w14:paraId="579D27E4" w14:textId="77777777" w:rsidR="005B5CF1" w:rsidRDefault="00000000">
      <w:r>
        <w:t xml:space="preserve">House of Lords Communications and Digital Committee (2023) </w:t>
      </w:r>
      <w:r>
        <w:rPr>
          <w:i/>
        </w:rPr>
        <w:t>Digital exclusion.</w:t>
      </w:r>
      <w:r>
        <w:t xml:space="preserve"> (HL Paper 219, 3rd Report of Session 2022–23). London: House of Lords. Available at: https://publications.parliament.uk/pa/ld5803/ldselect/ldcomm/219/219.pdf (Accessed: 4 August 2026).</w:t>
      </w:r>
    </w:p>
    <w:p w14:paraId="4310361C" w14:textId="77777777" w:rsidR="005B5CF1" w:rsidRDefault="00000000">
      <w:r>
        <w:t xml:space="preserve">Hunsaker, A. and Hargittai, E. (2018) ‘A review of Internet use among older adults’, </w:t>
      </w:r>
      <w:r>
        <w:rPr>
          <w:i/>
        </w:rPr>
        <w:t>New Media &amp; Society</w:t>
      </w:r>
      <w:r>
        <w:t>, 20(10), pp. 3937–3954. Available at: https://doi.org/10.1177/1461444818787348</w:t>
      </w:r>
    </w:p>
    <w:p w14:paraId="5FF8B9AB" w14:textId="77777777" w:rsidR="005B5CF1" w:rsidRDefault="00000000">
      <w:r>
        <w:t xml:space="preserve">Hutchings, R. (2020) </w:t>
      </w:r>
      <w:r>
        <w:rPr>
          <w:i/>
        </w:rPr>
        <w:t>The impact of Covid-19 on the use of digital technology in the NHS.</w:t>
      </w:r>
      <w:r>
        <w:t xml:space="preserve"> London: Nuffield Trust. Available at: https://www.nuffieldtrust.org.uk/research/the-impact-of-covid-19-on-the-use-of-digital-technology-in-the-nhs (Accessed: 4 August 2026).</w:t>
      </w:r>
    </w:p>
    <w:p w14:paraId="63F7CBBB" w14:textId="77777777" w:rsidR="005B5CF1" w:rsidRDefault="00000000">
      <w:r>
        <w:t xml:space="preserve">Kruse, C., Fohn, J., Wilson, N., Nunez Patlan, E., Zipp, S. and Mileski, M. (2020) ‘Utilization barriers and medical outcomes commensurate with the use of telehealth among older adults: systematic review’, </w:t>
      </w:r>
      <w:r>
        <w:rPr>
          <w:i/>
        </w:rPr>
        <w:t>JMIR Medical Informatics</w:t>
      </w:r>
      <w:r>
        <w:t>, 8(8), e20359. Available at: https://doi.org/10.2196/20359</w:t>
      </w:r>
    </w:p>
    <w:p w14:paraId="344FB361" w14:textId="77777777" w:rsidR="005B5CF1" w:rsidRDefault="00000000">
      <w:r>
        <w:lastRenderedPageBreak/>
        <w:t xml:space="preserve">Liu, L., Stroulia, E., Nikolaidis, I., Miguel-Cruz, A. and Rios Rincon, A. (2016) ‘Smart homes and home health monitoring technologies for older adults: a systematic review’, </w:t>
      </w:r>
      <w:r>
        <w:rPr>
          <w:i/>
        </w:rPr>
        <w:t>International Journal of Medical Informatics</w:t>
      </w:r>
      <w:r>
        <w:t>, 91, pp. 44–59. Available at: https://doi.org/10.1016/j.ijmedinf.2016.04.007</w:t>
      </w:r>
    </w:p>
    <w:p w14:paraId="70A16009" w14:textId="77777777" w:rsidR="005B5CF1" w:rsidRDefault="00000000">
      <w:r>
        <w:t xml:space="preserve">Maguire, D., Evans, H., Honeyman, M. and Omojomolo, D. (2018) </w:t>
      </w:r>
      <w:r>
        <w:rPr>
          <w:i/>
        </w:rPr>
        <w:t>Digital change in health and social care.</w:t>
      </w:r>
      <w:r>
        <w:t xml:space="preserve"> London: The King’s Fund. Available at: https://www.kingsfund.org.uk/insight-and-analysis/reports/digital-change-health-social-care (Accessed: 4 August 2026).</w:t>
      </w:r>
    </w:p>
    <w:p w14:paraId="79EE2444" w14:textId="77777777" w:rsidR="005B5CF1" w:rsidRDefault="00000000">
      <w:r>
        <w:t xml:space="preserve">Mannheim, I., Schwartz, E., Xi, W., Buttigieg, S.C., McDonnell-Naughton, M., Wouters, E.J.M. and van Zaalen, Y. (2019) ‘Inclusion of older adults in the research and design of digital technology’, </w:t>
      </w:r>
      <w:r>
        <w:rPr>
          <w:i/>
        </w:rPr>
        <w:t>International Journal of Environmental Research and Public Health</w:t>
      </w:r>
      <w:r>
        <w:t>, 16(19), 3718. Available at: https://doi.org/10.3390/ijerph16193718</w:t>
      </w:r>
    </w:p>
    <w:p w14:paraId="3FF22D3A" w14:textId="77777777" w:rsidR="005B5CF1" w:rsidRDefault="00000000">
      <w:r>
        <w:t xml:space="preserve">Neves, B.B. and Vetere, F. (eds) (2019) </w:t>
      </w:r>
      <w:r>
        <w:rPr>
          <w:i/>
        </w:rPr>
        <w:t>Ageing and digital technology: designing and evaluating emerging technologies for older adults.</w:t>
      </w:r>
      <w:r>
        <w:t xml:space="preserve"> Singapore: Springer.</w:t>
      </w:r>
    </w:p>
    <w:p w14:paraId="48BDF2E5" w14:textId="77777777" w:rsidR="005B5CF1" w:rsidRDefault="00000000">
      <w:r>
        <w:t xml:space="preserve">NHS England (2023) </w:t>
      </w:r>
      <w:r>
        <w:rPr>
          <w:i/>
        </w:rPr>
        <w:t>Inclusive digital healthcare: a framework for NHS action on digital inclusion.</w:t>
      </w:r>
      <w:r>
        <w:t xml:space="preserve"> London: NHS England. Available at: https://www.england.nhs.uk/publication/inclusive-digital-healthcare-a-framework-for-nhs-action-on-digital-inclusion/ (Accessed: 4 August 2026).</w:t>
      </w:r>
    </w:p>
    <w:p w14:paraId="3A1C1974" w14:textId="77777777" w:rsidR="005B5CF1" w:rsidRDefault="00000000">
      <w:r>
        <w:t xml:space="preserve">Ofcom (2022) </w:t>
      </w:r>
      <w:r>
        <w:rPr>
          <w:i/>
        </w:rPr>
        <w:t>Digital exclusion: a review of Ofcom’s research on digital exclusion among adults in the UK.</w:t>
      </w:r>
      <w:r>
        <w:t xml:space="preserve"> London: Ofcom. Available at: https://www.ofcom.org.uk/siteassets/resources/documents/research-and-data/media-literacy-research/adults/adults-media-use-and-attitudes-2022/digital-exclusion-review-2022.pdf (Accessed: 4 August 2026).</w:t>
      </w:r>
    </w:p>
    <w:p w14:paraId="63093DF2" w14:textId="77777777" w:rsidR="005B5CF1" w:rsidRDefault="00000000">
      <w:r>
        <w:t xml:space="preserve">Office for National Statistics (2019) </w:t>
      </w:r>
      <w:r>
        <w:rPr>
          <w:i/>
        </w:rPr>
        <w:t>Exploring the UK’s digital divide.</w:t>
      </w:r>
      <w:r>
        <w:t xml:space="preserve"> Newport: ONS. Available at: https://www.ons.gov.uk/peoplepopulationandcommunity/householdcharacteristics/homeinternetandsocialmediausage/articles/exploringtheuksdigitaldivide/2019-03-04 (Accessed: 4 August 2026).</w:t>
      </w:r>
    </w:p>
    <w:p w14:paraId="749A5FB4" w14:textId="77777777" w:rsidR="005B5CF1" w:rsidRDefault="00000000">
      <w:r>
        <w:t xml:space="preserve">Ollevier, A., Aguiar, G., Palomino, M. and Simpelaere, I.S. (2020) ‘How can technology support ageing in place in healthy older adults? A systematic review’, </w:t>
      </w:r>
      <w:r>
        <w:rPr>
          <w:i/>
        </w:rPr>
        <w:t>Public Health Reviews</w:t>
      </w:r>
      <w:r>
        <w:t>, 41, 26. Available at: https://doi.org/10.1186/s40985-020-00143-4</w:t>
      </w:r>
    </w:p>
    <w:p w14:paraId="615660B8" w14:textId="77777777" w:rsidR="005B5CF1" w:rsidRDefault="00000000">
      <w:r>
        <w:t xml:space="preserve">Peek, S.T.M., Wouters, E.J.M., van Hoof, J., Luijkx, K.G., Boeije, H.R. and Vrijhoef, H.J.M. (2014) ‘Factors influencing acceptance of technology for aging in place: a systematic review’, </w:t>
      </w:r>
      <w:r>
        <w:rPr>
          <w:i/>
        </w:rPr>
        <w:t>International Journal of Medical Informatics</w:t>
      </w:r>
      <w:r>
        <w:t>, 83(4), pp. 235–248. Available at: https://doi.org/10.1016/j.ijmedinf.2014.01.004</w:t>
      </w:r>
    </w:p>
    <w:p w14:paraId="49C95513" w14:textId="77777777" w:rsidR="005B5CF1" w:rsidRDefault="00000000">
      <w:r>
        <w:t xml:space="preserve">Pu, L., Moyle, W., Jones, C. and Todorovic, M. (2019) ‘The effectiveness of social robots for older adults: a systematic review and meta-analysis of randomized controlled studies’, </w:t>
      </w:r>
      <w:r>
        <w:rPr>
          <w:i/>
        </w:rPr>
        <w:t>The Gerontologist</w:t>
      </w:r>
      <w:r>
        <w:t>, 59(1), pp. e37–e51. Available at: https://doi.org/10.1093/geront/gny046</w:t>
      </w:r>
    </w:p>
    <w:p w14:paraId="4BD198C3" w14:textId="77777777" w:rsidR="005B5CF1" w:rsidRDefault="00000000">
      <w:r>
        <w:t xml:space="preserve">Vaportzis, E., Giatsi Clausen, M. and Gow, A.J. (2017) ‘Older adults’ perceptions of technology and barriers to interacting with tablet computers: a focus group study’, </w:t>
      </w:r>
      <w:r>
        <w:rPr>
          <w:i/>
        </w:rPr>
        <w:t>Frontiers in Psychology</w:t>
      </w:r>
      <w:r>
        <w:t>, 8, 1687. Available at: https://doi.org/10.3389/fpsyg.2017.01687</w:t>
      </w:r>
    </w:p>
    <w:p w14:paraId="42DE4908" w14:textId="77777777" w:rsidR="005B5CF1" w:rsidRDefault="00000000">
      <w:r>
        <w:t xml:space="preserve">World Health Organization (2021) </w:t>
      </w:r>
      <w:r>
        <w:rPr>
          <w:i/>
        </w:rPr>
        <w:t>Global strategy on digital health 2020–2025.</w:t>
      </w:r>
      <w:r>
        <w:t xml:space="preserve"> Geneva: World Health Organization. Available at: https://www.who.int/publications/i/item/9789240020924 (Accessed: 4 August 2026).</w:t>
      </w:r>
    </w:p>
    <w:p w14:paraId="64A489BA" w14:textId="77777777" w:rsidR="005B5CF1" w:rsidRDefault="00000000">
      <w:r>
        <w:lastRenderedPageBreak/>
        <w:t xml:space="preserve">World Health Organization (2022) </w:t>
      </w:r>
      <w:r>
        <w:rPr>
          <w:i/>
        </w:rPr>
        <w:t>Ageism in artificial intelligence for health: WHO policy brief.</w:t>
      </w:r>
      <w:r>
        <w:t xml:space="preserve"> Geneva: World Health Organization. Available at: https://www.who.int/publications/i/item/9789240040793 (Accessed: 4 August 2026).</w:t>
      </w:r>
    </w:p>
    <w:p w14:paraId="17448BE6" w14:textId="77777777" w:rsidR="005B5CF1" w:rsidRDefault="00000000">
      <w:r>
        <w:t xml:space="preserve">Yusif, S., Soar, J. and Hafeez-Baig, A. (2016) ‘Older people, assistive technologies, and the barriers to adoption: a systematic review’, </w:t>
      </w:r>
      <w:r>
        <w:rPr>
          <w:i/>
        </w:rPr>
        <w:t>International Journal of Medical Informatics</w:t>
      </w:r>
      <w:r>
        <w:t>, 94, pp. 112–116. Available at: https://doi.org/10.1016/j.ijmedinf.2016.07.004</w:t>
      </w:r>
    </w:p>
    <w:sectPr w:rsidR="005B5CF1">
      <w:pgSz w:w="11906" w:h="16838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131F0C"/>
    <w:multiLevelType w:val="hybridMultilevel"/>
    <w:tmpl w:val="DA6AC920"/>
    <w:lvl w:ilvl="0" w:tplc="5E80A704">
      <w:start w:val="1"/>
      <w:numFmt w:val="bullet"/>
      <w:lvlText w:val="●"/>
      <w:lvlJc w:val="left"/>
      <w:pPr>
        <w:ind w:left="720" w:hanging="360"/>
      </w:pPr>
    </w:lvl>
    <w:lvl w:ilvl="1" w:tplc="E73206C0">
      <w:start w:val="1"/>
      <w:numFmt w:val="bullet"/>
      <w:lvlText w:val="○"/>
      <w:lvlJc w:val="left"/>
      <w:pPr>
        <w:ind w:left="1440" w:hanging="360"/>
      </w:pPr>
    </w:lvl>
    <w:lvl w:ilvl="2" w:tplc="443E769C">
      <w:start w:val="1"/>
      <w:numFmt w:val="bullet"/>
      <w:lvlText w:val="■"/>
      <w:lvlJc w:val="left"/>
      <w:pPr>
        <w:ind w:left="2160" w:hanging="360"/>
      </w:pPr>
    </w:lvl>
    <w:lvl w:ilvl="3" w:tplc="D214C310">
      <w:start w:val="1"/>
      <w:numFmt w:val="bullet"/>
      <w:lvlText w:val="●"/>
      <w:lvlJc w:val="left"/>
      <w:pPr>
        <w:ind w:left="2880" w:hanging="360"/>
      </w:pPr>
    </w:lvl>
    <w:lvl w:ilvl="4" w:tplc="AE9651B0">
      <w:start w:val="1"/>
      <w:numFmt w:val="bullet"/>
      <w:lvlText w:val="○"/>
      <w:lvlJc w:val="left"/>
      <w:pPr>
        <w:ind w:left="3600" w:hanging="360"/>
      </w:pPr>
    </w:lvl>
    <w:lvl w:ilvl="5" w:tplc="53B47B46">
      <w:start w:val="1"/>
      <w:numFmt w:val="bullet"/>
      <w:lvlText w:val="■"/>
      <w:lvlJc w:val="left"/>
      <w:pPr>
        <w:ind w:left="4320" w:hanging="360"/>
      </w:pPr>
    </w:lvl>
    <w:lvl w:ilvl="6" w:tplc="93269494">
      <w:start w:val="1"/>
      <w:numFmt w:val="bullet"/>
      <w:lvlText w:val="●"/>
      <w:lvlJc w:val="left"/>
      <w:pPr>
        <w:ind w:left="5040" w:hanging="360"/>
      </w:pPr>
    </w:lvl>
    <w:lvl w:ilvl="7" w:tplc="5BC648CA">
      <w:start w:val="1"/>
      <w:numFmt w:val="bullet"/>
      <w:lvlText w:val="●"/>
      <w:lvlJc w:val="left"/>
      <w:pPr>
        <w:ind w:left="5760" w:hanging="360"/>
      </w:pPr>
    </w:lvl>
    <w:lvl w:ilvl="8" w:tplc="C04E2B78">
      <w:start w:val="1"/>
      <w:numFmt w:val="bullet"/>
      <w:lvlText w:val="●"/>
      <w:lvlJc w:val="left"/>
      <w:pPr>
        <w:ind w:left="6480" w:hanging="360"/>
      </w:pPr>
    </w:lvl>
  </w:abstractNum>
  <w:num w:numId="1" w16cid:durableId="2048556145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B5CF1"/>
    <w:rsid w:val="005B5CF1"/>
    <w:rsid w:val="00934577"/>
    <w:rsid w:val="00A915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D32FD7"/>
  <w15:docId w15:val="{601F9EE1-084F-4F95-B232-6205B871E9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Calibr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1114</Words>
  <Characters>6350</Characters>
  <Application>Microsoft Office Word</Application>
  <DocSecurity>0</DocSecurity>
  <Lines>52</Lines>
  <Paragraphs>14</Paragraphs>
  <ScaleCrop>false</ScaleCrop>
  <Company/>
  <LinksUpToDate>false</LinksUpToDate>
  <CharactersWithSpaces>7450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Andi Gisca</cp:lastModifiedBy>
  <cp:revision>2</cp:revision>
  <dcterms:created xsi:type="dcterms:W3CDTF">2026-07-28T15:12:00Z</dcterms:created>
  <dcterms:modified xsi:type="dcterms:W3CDTF">2026-08-04T13:47:00Z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448362cc-6cdf-44e8-becc-79bbfd364581</vt:lpwstr>
  </property>
</Properties>
</file>