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5EA0B" w14:textId="0B17973F" w:rsidR="00936AD9" w:rsidRPr="00AB3749" w:rsidRDefault="00936AD9" w:rsidP="00936AD9">
      <w:pPr>
        <w:jc w:val="center"/>
        <w:rPr>
          <w:rFonts w:ascii="Arial" w:hAnsi="Arial" w:cs="Arial"/>
        </w:rPr>
      </w:pPr>
      <w:r w:rsidRPr="00A0111B">
        <w:rPr>
          <w:b/>
          <w:bCs/>
          <w:i/>
          <w:iCs/>
          <w:noProof/>
          <w:color w:val="FFFFFF" w:themeColor="background1"/>
        </w:rPr>
        <w:drawing>
          <wp:inline distT="0" distB="0" distL="0" distR="0" wp14:anchorId="695CBE5E" wp14:editId="087F7091">
            <wp:extent cx="2867473" cy="1228299"/>
            <wp:effectExtent l="0" t="0" r="0" b="0"/>
            <wp:docPr id="5" name="Picture 4" descr="A logo with text on it&#10;&#10;Description automatically generated">
              <a:extLst xmlns:a="http://schemas.openxmlformats.org/drawingml/2006/main">
                <a:ext uri="{FF2B5EF4-FFF2-40B4-BE49-F238E27FC236}">
                  <a16:creationId xmlns:a16="http://schemas.microsoft.com/office/drawing/2014/main" id="{1E5DD80F-A834-65E3-BD10-46B4306CF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logo with text on it&#10;&#10;Description automatically generated">
                      <a:extLst>
                        <a:ext uri="{FF2B5EF4-FFF2-40B4-BE49-F238E27FC236}">
                          <a16:creationId xmlns:a16="http://schemas.microsoft.com/office/drawing/2014/main" id="{1E5DD80F-A834-65E3-BD10-46B4306CF325}"/>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9290" cy="1237645"/>
                    </a:xfrm>
                    <a:prstGeom prst="rect">
                      <a:avLst/>
                    </a:prstGeom>
                    <a:noFill/>
                    <a:ln>
                      <a:noFill/>
                    </a:ln>
                  </pic:spPr>
                </pic:pic>
              </a:graphicData>
            </a:graphic>
          </wp:inline>
        </w:drawing>
      </w:r>
    </w:p>
    <w:sdt>
      <w:sdtPr>
        <w:rPr>
          <w:rFonts w:ascii="Arial" w:hAnsi="Arial" w:cs="Arial"/>
        </w:rPr>
        <w:id w:val="-1004360521"/>
        <w:docPartObj>
          <w:docPartGallery w:val="Cover Pages"/>
          <w:docPartUnique/>
        </w:docPartObj>
      </w:sdtPr>
      <w:sdtContent>
        <w:p w14:paraId="3651A355" w14:textId="31659445" w:rsidR="00936AD9" w:rsidRPr="00AB3749" w:rsidRDefault="00936AD9">
          <w:pPr>
            <w:rPr>
              <w:rFonts w:ascii="Arial" w:hAnsi="Arial" w:cs="Arial"/>
            </w:rPr>
          </w:pPr>
          <w:r w:rsidRPr="00AB3749">
            <w:rPr>
              <w:rFonts w:ascii="Arial" w:hAnsi="Arial" w:cs="Arial"/>
              <w:noProof/>
            </w:rPr>
            <mc:AlternateContent>
              <mc:Choice Requires="wpg">
                <w:drawing>
                  <wp:anchor distT="0" distB="0" distL="114300" distR="114300" simplePos="0" relativeHeight="251659264" behindDoc="1" locked="0" layoutInCell="1" allowOverlap="1" wp14:anchorId="74F3C925" wp14:editId="63987654">
                    <wp:simplePos x="0" y="0"/>
                    <wp:positionH relativeFrom="page">
                      <wp:align>center</wp:align>
                    </wp:positionH>
                    <wp:positionV relativeFrom="page">
                      <wp:align>center</wp:align>
                    </wp:positionV>
                    <wp:extent cx="6864254" cy="9718675"/>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254" cy="9718675"/>
                              <a:chOff x="0" y="0"/>
                              <a:chExt cx="6864254" cy="9718675"/>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5798916"/>
                                <a:ext cx="6858000" cy="3919759"/>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F87211" w14:textId="77777777" w:rsidR="00936AD9" w:rsidRPr="002A0D2F" w:rsidRDefault="00936AD9" w:rsidP="00936AD9">
                                  <w:pPr>
                                    <w:pStyle w:val="NoSpacing"/>
                                    <w:spacing w:before="120"/>
                                    <w:jc w:val="center"/>
                                    <w:rPr>
                                      <w:color w:val="FFFFFF" w:themeColor="background1"/>
                                    </w:rPr>
                                  </w:pPr>
                                  <w:r w:rsidRPr="002A0D2F">
                                    <w:rPr>
                                      <w:b/>
                                      <w:bCs/>
                                      <w:i/>
                                      <w:iCs/>
                                      <w:color w:val="FFFFFF" w:themeColor="background1"/>
                                      <w:lang w:val="en-US"/>
                                    </w:rPr>
                                    <w:t>Name:</w:t>
                                  </w:r>
                                  <w:r>
                                    <w:rPr>
                                      <w:b/>
                                      <w:bCs/>
                                      <w:i/>
                                      <w:iCs/>
                                      <w:color w:val="FFFFFF" w:themeColor="background1"/>
                                      <w:lang w:val="en-US"/>
                                    </w:rPr>
                                    <w:t xml:space="preserve"> </w:t>
                                  </w:r>
                                  <w:proofErr w:type="spellStart"/>
                                  <w:r>
                                    <w:rPr>
                                      <w:b/>
                                      <w:bCs/>
                                      <w:i/>
                                      <w:iCs/>
                                      <w:color w:val="FFFFFF" w:themeColor="background1"/>
                                      <w:lang w:val="en-US"/>
                                    </w:rPr>
                                    <w:t>Ms</w:t>
                                  </w:r>
                                  <w:proofErr w:type="spellEnd"/>
                                  <w:r w:rsidRPr="002A0D2F">
                                    <w:rPr>
                                      <w:b/>
                                      <w:bCs/>
                                      <w:i/>
                                      <w:iCs/>
                                      <w:color w:val="FFFFFF" w:themeColor="background1"/>
                                      <w:lang w:val="en-US"/>
                                    </w:rPr>
                                    <w:t xml:space="preserve"> Sara Watson</w:t>
                                  </w:r>
                                  <w:r w:rsidRPr="002A0D2F">
                                    <w:rPr>
                                      <w:color w:val="FFFFFF" w:themeColor="background1"/>
                                    </w:rPr>
                                    <w:t> </w:t>
                                  </w:r>
                                </w:p>
                                <w:p w14:paraId="673CD781" w14:textId="7E248A59" w:rsidR="00936AD9" w:rsidRPr="002A0D2F" w:rsidRDefault="00936AD9" w:rsidP="00936AD9">
                                  <w:pPr>
                                    <w:pStyle w:val="NoSpacing"/>
                                    <w:spacing w:before="120"/>
                                    <w:jc w:val="center"/>
                                    <w:rPr>
                                      <w:color w:val="FFFFFF" w:themeColor="background1"/>
                                    </w:rPr>
                                  </w:pPr>
                                  <w:r w:rsidRPr="002A0D2F">
                                    <w:rPr>
                                      <w:b/>
                                      <w:bCs/>
                                      <w:i/>
                                      <w:iCs/>
                                      <w:color w:val="FFFFFF" w:themeColor="background1"/>
                                      <w:lang w:val="en-US"/>
                                    </w:rPr>
                                    <w:t>   Module Code: LCLM 500</w:t>
                                  </w:r>
                                  <w:r w:rsidR="00F50B6D">
                                    <w:rPr>
                                      <w:b/>
                                      <w:bCs/>
                                      <w:i/>
                                      <w:iCs/>
                                      <w:color w:val="FFFFFF" w:themeColor="background1"/>
                                      <w:lang w:val="en-US"/>
                                    </w:rPr>
                                    <w:t>2</w:t>
                                  </w:r>
                                  <w:r w:rsidRPr="002A0D2F">
                                    <w:rPr>
                                      <w:b/>
                                      <w:bCs/>
                                      <w:i/>
                                      <w:iCs/>
                                      <w:color w:val="FFFFFF" w:themeColor="background1"/>
                                      <w:lang w:val="en-US"/>
                                    </w:rPr>
                                    <w:t>_LON</w:t>
                                  </w:r>
                                </w:p>
                                <w:p w14:paraId="24246E32" w14:textId="5E90923F" w:rsidR="00936AD9" w:rsidRDefault="00936AD9" w:rsidP="00936AD9">
                                  <w:pPr>
                                    <w:pStyle w:val="NoSpacing"/>
                                    <w:spacing w:before="120"/>
                                    <w:jc w:val="center"/>
                                    <w:rPr>
                                      <w:rFonts w:ascii="Arial" w:hAnsi="Arial" w:cs="Arial"/>
                                      <w:b/>
                                      <w:bCs/>
                                      <w:i/>
                                      <w:iCs/>
                                      <w:color w:val="FFFFFF" w:themeColor="background1"/>
                                    </w:rPr>
                                  </w:pPr>
                                  <w:r w:rsidRPr="002A0D2F">
                                    <w:rPr>
                                      <w:b/>
                                      <w:bCs/>
                                      <w:i/>
                                      <w:iCs/>
                                      <w:color w:val="FFFFFF" w:themeColor="background1"/>
                                      <w:lang w:val="en-US"/>
                                    </w:rPr>
                                    <w:t>   Modul</w:t>
                                  </w:r>
                                  <w:r w:rsidR="00F50B6D">
                                    <w:rPr>
                                      <w:b/>
                                      <w:bCs/>
                                      <w:i/>
                                      <w:iCs/>
                                      <w:color w:val="FFFFFF" w:themeColor="background1"/>
                                      <w:lang w:val="en-US"/>
                                    </w:rPr>
                                    <w:t xml:space="preserve">: </w:t>
                                  </w:r>
                                  <w:r w:rsidR="00F50B6D" w:rsidRPr="00F50B6D">
                                    <w:rPr>
                                      <w:b/>
                                      <w:bCs/>
                                      <w:i/>
                                      <w:iCs/>
                                      <w:color w:val="FFFFFF" w:themeColor="background1"/>
                                    </w:rPr>
                                    <w:t xml:space="preserve">Developing and Managing Individuals and Teams </w:t>
                                  </w:r>
                                </w:p>
                                <w:p w14:paraId="24A43115" w14:textId="014D3A4F" w:rsidR="00936AD9" w:rsidRPr="00E50634" w:rsidRDefault="00936AD9" w:rsidP="00936AD9">
                                  <w:pPr>
                                    <w:pStyle w:val="NoSpacing"/>
                                    <w:spacing w:before="120"/>
                                    <w:jc w:val="center"/>
                                    <w:rPr>
                                      <w:b/>
                                      <w:bCs/>
                                      <w:i/>
                                      <w:iCs/>
                                      <w:color w:val="FFFFFF" w:themeColor="background1"/>
                                    </w:rPr>
                                  </w:pPr>
                                  <w:r w:rsidRPr="002A0D2F">
                                    <w:rPr>
                                      <w:b/>
                                      <w:bCs/>
                                      <w:i/>
                                      <w:iCs/>
                                      <w:color w:val="FFFFFF" w:themeColor="background1"/>
                                      <w:lang w:val="en-US"/>
                                    </w:rPr>
                                    <w:t xml:space="preserve">   Lecturer’s Name: </w:t>
                                  </w:r>
                                  <w:r w:rsidRPr="002A0D2F">
                                    <w:rPr>
                                      <w:color w:val="FFFFFF" w:themeColor="background1"/>
                                    </w:rPr>
                                    <w:t> </w:t>
                                  </w:r>
                                  <w:r>
                                    <w:rPr>
                                      <w:b/>
                                      <w:bCs/>
                                      <w:i/>
                                      <w:iCs/>
                                      <w:color w:val="FFFFFF" w:themeColor="background1"/>
                                      <w:lang w:val="en-US"/>
                                    </w:rPr>
                                    <w:t>M</w:t>
                                  </w:r>
                                  <w:r w:rsidR="00F50B6D">
                                    <w:rPr>
                                      <w:b/>
                                      <w:bCs/>
                                      <w:i/>
                                      <w:iCs/>
                                      <w:color w:val="FFFFFF" w:themeColor="background1"/>
                                      <w:lang w:val="en-US"/>
                                    </w:rPr>
                                    <w:t xml:space="preserve">r. </w:t>
                                  </w:r>
                                </w:p>
                                <w:p w14:paraId="0B6942AD" w14:textId="7DC692BE" w:rsidR="00936AD9" w:rsidRDefault="00936AD9" w:rsidP="00936AD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254" y="23149"/>
                                <a:ext cx="6858000" cy="707213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436AB8" w14:textId="7CBA4DFD" w:rsidR="00936AD9" w:rsidRPr="00936AD9" w:rsidRDefault="00936AD9">
                                      <w:pPr>
                                        <w:pStyle w:val="NoSpacing"/>
                                        <w:jc w:val="center"/>
                                        <w:rPr>
                                          <w:rFonts w:asciiTheme="majorHAnsi" w:eastAsiaTheme="majorEastAsia" w:hAnsiTheme="majorHAnsi" w:cstheme="majorBidi"/>
                                          <w:caps/>
                                          <w:color w:val="156082" w:themeColor="accent1"/>
                                          <w:sz w:val="56"/>
                                          <w:szCs w:val="56"/>
                                        </w:rPr>
                                      </w:pPr>
                                      <w:r w:rsidRPr="00936AD9">
                                        <w:rPr>
                                          <w:rFonts w:asciiTheme="majorHAnsi" w:eastAsiaTheme="majorEastAsia" w:hAnsiTheme="majorHAnsi" w:cstheme="majorBidi"/>
                                          <w:caps/>
                                          <w:color w:val="156082" w:themeColor="accent1"/>
                                          <w:sz w:val="56"/>
                                          <w:szCs w:val="56"/>
                                        </w:rPr>
                                        <w:t>BA (HONS) LEADERSHIP AND MANAGEMENT SKILLS FOR THE WORKPLACE.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74F3C925" id="Group 198" o:spid="_x0000_s1026" style="position:absolute;margin-left:0;margin-top:0;width:540.5pt;height:765.25pt;z-index:-251657216;mso-width-percent:882;mso-position-horizontal:center;mso-position-horizontal-relative:page;mso-position-vertical:center;mso-position-vertical-relative:page;mso-width-percent:882" coordsize="68642,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57989;width:68580;height:391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45F87211" w14:textId="77777777" w:rsidR="00936AD9" w:rsidRPr="002A0D2F" w:rsidRDefault="00936AD9" w:rsidP="00936AD9">
                            <w:pPr>
                              <w:pStyle w:val="NoSpacing"/>
                              <w:spacing w:before="120"/>
                              <w:jc w:val="center"/>
                              <w:rPr>
                                <w:color w:val="FFFFFF" w:themeColor="background1"/>
                              </w:rPr>
                            </w:pPr>
                            <w:r w:rsidRPr="002A0D2F">
                              <w:rPr>
                                <w:b/>
                                <w:bCs/>
                                <w:i/>
                                <w:iCs/>
                                <w:color w:val="FFFFFF" w:themeColor="background1"/>
                                <w:lang w:val="en-US"/>
                              </w:rPr>
                              <w:t>Name:</w:t>
                            </w:r>
                            <w:r>
                              <w:rPr>
                                <w:b/>
                                <w:bCs/>
                                <w:i/>
                                <w:iCs/>
                                <w:color w:val="FFFFFF" w:themeColor="background1"/>
                                <w:lang w:val="en-US"/>
                              </w:rPr>
                              <w:t xml:space="preserve"> </w:t>
                            </w:r>
                            <w:proofErr w:type="spellStart"/>
                            <w:r>
                              <w:rPr>
                                <w:b/>
                                <w:bCs/>
                                <w:i/>
                                <w:iCs/>
                                <w:color w:val="FFFFFF" w:themeColor="background1"/>
                                <w:lang w:val="en-US"/>
                              </w:rPr>
                              <w:t>Ms</w:t>
                            </w:r>
                            <w:proofErr w:type="spellEnd"/>
                            <w:r w:rsidRPr="002A0D2F">
                              <w:rPr>
                                <w:b/>
                                <w:bCs/>
                                <w:i/>
                                <w:iCs/>
                                <w:color w:val="FFFFFF" w:themeColor="background1"/>
                                <w:lang w:val="en-US"/>
                              </w:rPr>
                              <w:t xml:space="preserve"> Sara Watson</w:t>
                            </w:r>
                            <w:r w:rsidRPr="002A0D2F">
                              <w:rPr>
                                <w:color w:val="FFFFFF" w:themeColor="background1"/>
                              </w:rPr>
                              <w:t> </w:t>
                            </w:r>
                          </w:p>
                          <w:p w14:paraId="673CD781" w14:textId="7E248A59" w:rsidR="00936AD9" w:rsidRPr="002A0D2F" w:rsidRDefault="00936AD9" w:rsidP="00936AD9">
                            <w:pPr>
                              <w:pStyle w:val="NoSpacing"/>
                              <w:spacing w:before="120"/>
                              <w:jc w:val="center"/>
                              <w:rPr>
                                <w:color w:val="FFFFFF" w:themeColor="background1"/>
                              </w:rPr>
                            </w:pPr>
                            <w:r w:rsidRPr="002A0D2F">
                              <w:rPr>
                                <w:b/>
                                <w:bCs/>
                                <w:i/>
                                <w:iCs/>
                                <w:color w:val="FFFFFF" w:themeColor="background1"/>
                                <w:lang w:val="en-US"/>
                              </w:rPr>
                              <w:t>   Module Code: LCLM 500</w:t>
                            </w:r>
                            <w:r w:rsidR="00F50B6D">
                              <w:rPr>
                                <w:b/>
                                <w:bCs/>
                                <w:i/>
                                <w:iCs/>
                                <w:color w:val="FFFFFF" w:themeColor="background1"/>
                                <w:lang w:val="en-US"/>
                              </w:rPr>
                              <w:t>2</w:t>
                            </w:r>
                            <w:r w:rsidRPr="002A0D2F">
                              <w:rPr>
                                <w:b/>
                                <w:bCs/>
                                <w:i/>
                                <w:iCs/>
                                <w:color w:val="FFFFFF" w:themeColor="background1"/>
                                <w:lang w:val="en-US"/>
                              </w:rPr>
                              <w:t>_LON</w:t>
                            </w:r>
                          </w:p>
                          <w:p w14:paraId="24246E32" w14:textId="5E90923F" w:rsidR="00936AD9" w:rsidRDefault="00936AD9" w:rsidP="00936AD9">
                            <w:pPr>
                              <w:pStyle w:val="NoSpacing"/>
                              <w:spacing w:before="120"/>
                              <w:jc w:val="center"/>
                              <w:rPr>
                                <w:rFonts w:ascii="Arial" w:hAnsi="Arial" w:cs="Arial"/>
                                <w:b/>
                                <w:bCs/>
                                <w:i/>
                                <w:iCs/>
                                <w:color w:val="FFFFFF" w:themeColor="background1"/>
                              </w:rPr>
                            </w:pPr>
                            <w:r w:rsidRPr="002A0D2F">
                              <w:rPr>
                                <w:b/>
                                <w:bCs/>
                                <w:i/>
                                <w:iCs/>
                                <w:color w:val="FFFFFF" w:themeColor="background1"/>
                                <w:lang w:val="en-US"/>
                              </w:rPr>
                              <w:t>   Modul</w:t>
                            </w:r>
                            <w:r w:rsidR="00F50B6D">
                              <w:rPr>
                                <w:b/>
                                <w:bCs/>
                                <w:i/>
                                <w:iCs/>
                                <w:color w:val="FFFFFF" w:themeColor="background1"/>
                                <w:lang w:val="en-US"/>
                              </w:rPr>
                              <w:t xml:space="preserve">: </w:t>
                            </w:r>
                            <w:r w:rsidR="00F50B6D" w:rsidRPr="00F50B6D">
                              <w:rPr>
                                <w:b/>
                                <w:bCs/>
                                <w:i/>
                                <w:iCs/>
                                <w:color w:val="FFFFFF" w:themeColor="background1"/>
                              </w:rPr>
                              <w:t xml:space="preserve">Developing and Managing Individuals and Teams </w:t>
                            </w:r>
                          </w:p>
                          <w:p w14:paraId="24A43115" w14:textId="014D3A4F" w:rsidR="00936AD9" w:rsidRPr="00E50634" w:rsidRDefault="00936AD9" w:rsidP="00936AD9">
                            <w:pPr>
                              <w:pStyle w:val="NoSpacing"/>
                              <w:spacing w:before="120"/>
                              <w:jc w:val="center"/>
                              <w:rPr>
                                <w:b/>
                                <w:bCs/>
                                <w:i/>
                                <w:iCs/>
                                <w:color w:val="FFFFFF" w:themeColor="background1"/>
                              </w:rPr>
                            </w:pPr>
                            <w:r w:rsidRPr="002A0D2F">
                              <w:rPr>
                                <w:b/>
                                <w:bCs/>
                                <w:i/>
                                <w:iCs/>
                                <w:color w:val="FFFFFF" w:themeColor="background1"/>
                                <w:lang w:val="en-US"/>
                              </w:rPr>
                              <w:t xml:space="preserve">   Lecturer’s Name: </w:t>
                            </w:r>
                            <w:r w:rsidRPr="002A0D2F">
                              <w:rPr>
                                <w:color w:val="FFFFFF" w:themeColor="background1"/>
                              </w:rPr>
                              <w:t> </w:t>
                            </w:r>
                            <w:r>
                              <w:rPr>
                                <w:b/>
                                <w:bCs/>
                                <w:i/>
                                <w:iCs/>
                                <w:color w:val="FFFFFF" w:themeColor="background1"/>
                                <w:lang w:val="en-US"/>
                              </w:rPr>
                              <w:t>M</w:t>
                            </w:r>
                            <w:r w:rsidR="00F50B6D">
                              <w:rPr>
                                <w:b/>
                                <w:bCs/>
                                <w:i/>
                                <w:iCs/>
                                <w:color w:val="FFFFFF" w:themeColor="background1"/>
                                <w:lang w:val="en-US"/>
                              </w:rPr>
                              <w:t xml:space="preserve">r. </w:t>
                            </w:r>
                          </w:p>
                          <w:p w14:paraId="0B6942AD" w14:textId="7DC692BE" w:rsidR="00936AD9" w:rsidRDefault="00936AD9" w:rsidP="00936AD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2;top:231;width:68580;height:707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436AB8" w14:textId="7CBA4DFD" w:rsidR="00936AD9" w:rsidRPr="00936AD9" w:rsidRDefault="00936AD9">
                                <w:pPr>
                                  <w:pStyle w:val="NoSpacing"/>
                                  <w:jc w:val="center"/>
                                  <w:rPr>
                                    <w:rFonts w:asciiTheme="majorHAnsi" w:eastAsiaTheme="majorEastAsia" w:hAnsiTheme="majorHAnsi" w:cstheme="majorBidi"/>
                                    <w:caps/>
                                    <w:color w:val="156082" w:themeColor="accent1"/>
                                    <w:sz w:val="56"/>
                                    <w:szCs w:val="56"/>
                                  </w:rPr>
                                </w:pPr>
                                <w:r w:rsidRPr="00936AD9">
                                  <w:rPr>
                                    <w:rFonts w:asciiTheme="majorHAnsi" w:eastAsiaTheme="majorEastAsia" w:hAnsiTheme="majorHAnsi" w:cstheme="majorBidi"/>
                                    <w:caps/>
                                    <w:color w:val="156082" w:themeColor="accent1"/>
                                    <w:sz w:val="56"/>
                                    <w:szCs w:val="56"/>
                                  </w:rPr>
                                  <w:t>BA (HONS) LEADERSHIP AND MANAGEMENT SKILLS FOR THE WORKPLACE.</w:t>
                                </w:r>
                              </w:p>
                            </w:sdtContent>
                          </w:sdt>
                        </w:txbxContent>
                      </v:textbox>
                    </v:shape>
                    <w10:wrap anchorx="page" anchory="page"/>
                  </v:group>
                </w:pict>
              </mc:Fallback>
            </mc:AlternateContent>
          </w:r>
        </w:p>
        <w:p w14:paraId="73386E79" w14:textId="3D270C16" w:rsidR="00F50B6D" w:rsidRPr="00AB3749" w:rsidRDefault="00936AD9">
          <w:pPr>
            <w:rPr>
              <w:rFonts w:ascii="Arial" w:hAnsi="Arial" w:cs="Arial"/>
            </w:rPr>
          </w:pPr>
          <w:r w:rsidRPr="00AB3749">
            <w:rPr>
              <w:rFonts w:ascii="Arial" w:hAnsi="Arial" w:cs="Arial"/>
              <w:noProof/>
            </w:rPr>
            <mc:AlternateContent>
              <mc:Choice Requires="wps">
                <w:drawing>
                  <wp:anchor distT="45720" distB="45720" distL="114300" distR="114300" simplePos="0" relativeHeight="251661312" behindDoc="0" locked="0" layoutInCell="1" allowOverlap="1" wp14:anchorId="31883F64" wp14:editId="6D3001C9">
                    <wp:simplePos x="0" y="0"/>
                    <wp:positionH relativeFrom="column">
                      <wp:posOffset>416560</wp:posOffset>
                    </wp:positionH>
                    <wp:positionV relativeFrom="paragraph">
                      <wp:posOffset>2548255</wp:posOffset>
                    </wp:positionV>
                    <wp:extent cx="4988560" cy="1404620"/>
                    <wp:effectExtent l="0" t="0" r="2159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8560" cy="1404620"/>
                            </a:xfrm>
                            <a:prstGeom prst="rect">
                              <a:avLst/>
                            </a:prstGeom>
                            <a:solidFill>
                              <a:srgbClr val="FFFFFF"/>
                            </a:solidFill>
                            <a:ln w="9525">
                              <a:solidFill>
                                <a:srgbClr val="000000"/>
                              </a:solidFill>
                              <a:miter lim="800000"/>
                              <a:headEnd/>
                              <a:tailEnd/>
                            </a:ln>
                          </wps:spPr>
                          <wps:txbx>
                            <w:txbxContent>
                              <w:p w14:paraId="2CE89536" w14:textId="5902A35B" w:rsidR="00936AD9" w:rsidRPr="00936AD9" w:rsidRDefault="00936AD9" w:rsidP="00936AD9">
                                <w:pPr>
                                  <w:jc w:val="center"/>
                                  <w:rPr>
                                    <w:sz w:val="56"/>
                                    <w:szCs w:val="56"/>
                                  </w:rPr>
                                </w:pPr>
                                <w:r w:rsidRPr="00936AD9">
                                  <w:rPr>
                                    <w:rFonts w:asciiTheme="majorHAnsi" w:eastAsiaTheme="majorEastAsia" w:hAnsiTheme="majorHAnsi" w:cstheme="majorBidi"/>
                                    <w:caps/>
                                    <w:color w:val="156082" w:themeColor="accent1"/>
                                    <w:kern w:val="0"/>
                                    <w:sz w:val="56"/>
                                    <w:szCs w:val="56"/>
                                    <w:lang w:eastAsia="en-GB"/>
                                    <w14:ligatures w14:val="none"/>
                                  </w:rPr>
                                  <w:t>Component 2- Individual Report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883F64" id="Text Box 2" o:spid="_x0000_s1030" type="#_x0000_t202" style="position:absolute;margin-left:32.8pt;margin-top:200.65pt;width:392.8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">
                    <v:textbox style="mso-fit-shape-to-text:t">
                      <w:txbxContent>
                        <w:p w14:paraId="2CE89536" w14:textId="5902A35B" w:rsidR="00936AD9" w:rsidRPr="00936AD9" w:rsidRDefault="00936AD9" w:rsidP="00936AD9">
                          <w:pPr>
                            <w:jc w:val="center"/>
                            <w:rPr>
                              <w:sz w:val="56"/>
                              <w:szCs w:val="56"/>
                            </w:rPr>
                          </w:pPr>
                          <w:r w:rsidRPr="00936AD9">
                            <w:rPr>
                              <w:rFonts w:asciiTheme="majorHAnsi" w:eastAsiaTheme="majorEastAsia" w:hAnsiTheme="majorHAnsi" w:cstheme="majorBidi"/>
                              <w:caps/>
                              <w:color w:val="156082" w:themeColor="accent1"/>
                              <w:kern w:val="0"/>
                              <w:sz w:val="56"/>
                              <w:szCs w:val="56"/>
                              <w:lang w:eastAsia="en-GB"/>
                              <w14:ligatures w14:val="none"/>
                            </w:rPr>
                            <w:t>Component 2- Individual Report</w:t>
                          </w:r>
                        </w:p>
                      </w:txbxContent>
                    </v:textbox>
                    <w10:wrap type="square"/>
                  </v:shape>
                </w:pict>
              </mc:Fallback>
            </mc:AlternateContent>
          </w:r>
          <w:r w:rsidRPr="00AB3749">
            <w:rPr>
              <w:rFonts w:ascii="Arial" w:hAnsi="Arial" w:cs="Arial"/>
            </w:rPr>
            <w:br w:type="page"/>
          </w:r>
        </w:p>
      </w:sdtContent>
    </w:sdt>
    <w:p w14:paraId="1E0775B2" w14:textId="77777777" w:rsidR="00F50B6D" w:rsidRPr="00AB3749" w:rsidRDefault="00F50B6D" w:rsidP="00F50B6D">
      <w:pPr>
        <w:shd w:val="clear" w:color="auto" w:fill="FFFFFF"/>
        <w:spacing w:after="0" w:line="240" w:lineRule="auto"/>
        <w:jc w:val="center"/>
        <w:textAlignment w:val="baseline"/>
        <w:rPr>
          <w:rFonts w:ascii="Arial" w:hAnsi="Arial" w:cs="Arial"/>
          <w:u w:val="single"/>
        </w:rPr>
      </w:pPr>
      <w:r w:rsidRPr="00AB3749">
        <w:rPr>
          <w:rFonts w:ascii="Arial" w:hAnsi="Arial" w:cs="Arial"/>
          <w:u w:val="single"/>
        </w:rPr>
        <w:lastRenderedPageBreak/>
        <w:t xml:space="preserve">Contents Page </w:t>
      </w:r>
    </w:p>
    <w:p w14:paraId="1F3AEF01" w14:textId="77777777" w:rsidR="00F50B6D" w:rsidRPr="00AB3749" w:rsidRDefault="00F50B6D" w:rsidP="00F50B6D">
      <w:pPr>
        <w:rPr>
          <w:rFonts w:ascii="Arial" w:hAnsi="Arial" w:cs="Arial"/>
          <w:u w:val="single"/>
        </w:rPr>
      </w:pPr>
    </w:p>
    <w:p w14:paraId="32EFBBD3" w14:textId="77777777" w:rsidR="00F50B6D" w:rsidRPr="00AB3749" w:rsidRDefault="00F50B6D" w:rsidP="00F50B6D">
      <w:pPr>
        <w:rPr>
          <w:rFonts w:ascii="Arial" w:hAnsi="Arial" w:cs="Arial"/>
          <w:u w:val="single"/>
        </w:rPr>
      </w:pPr>
    </w:p>
    <w:p w14:paraId="0840DDCF" w14:textId="77777777" w:rsidR="00AB3749" w:rsidRPr="00AB3749" w:rsidRDefault="00AB3749" w:rsidP="00F50B6D">
      <w:pPr>
        <w:rPr>
          <w:rFonts w:ascii="Arial" w:hAnsi="Arial" w:cs="Arial"/>
          <w:u w:val="single"/>
        </w:rPr>
      </w:pPr>
    </w:p>
    <w:p w14:paraId="095A1369" w14:textId="77777777" w:rsidR="00AB3749" w:rsidRPr="00AB3749" w:rsidRDefault="00AB3749" w:rsidP="00F50B6D">
      <w:pPr>
        <w:rPr>
          <w:rFonts w:ascii="Arial" w:hAnsi="Arial" w:cs="Arial"/>
          <w:u w:val="single"/>
        </w:rPr>
      </w:pPr>
    </w:p>
    <w:p w14:paraId="28D03A96" w14:textId="77777777" w:rsidR="00AB3749" w:rsidRPr="00AB3749" w:rsidRDefault="00AB3749" w:rsidP="00F50B6D">
      <w:pPr>
        <w:rPr>
          <w:rFonts w:ascii="Arial" w:hAnsi="Arial" w:cs="Arial"/>
          <w:u w:val="single"/>
        </w:rPr>
      </w:pPr>
    </w:p>
    <w:p w14:paraId="32063FAF" w14:textId="77777777" w:rsidR="00AB3749" w:rsidRPr="00AB3749" w:rsidRDefault="00AB3749" w:rsidP="00F50B6D">
      <w:pPr>
        <w:rPr>
          <w:rFonts w:ascii="Arial" w:hAnsi="Arial" w:cs="Arial"/>
          <w:u w:val="single"/>
        </w:rPr>
      </w:pPr>
    </w:p>
    <w:p w14:paraId="32056BEA" w14:textId="77777777" w:rsidR="00F50B6D" w:rsidRPr="00AB3749" w:rsidRDefault="00F50B6D" w:rsidP="00F50B6D">
      <w:pPr>
        <w:rPr>
          <w:rFonts w:ascii="Arial" w:hAnsi="Arial" w:cs="Arial"/>
          <w:u w:val="single"/>
        </w:rPr>
      </w:pPr>
    </w:p>
    <w:p w14:paraId="1509B6D1" w14:textId="10D03A4C" w:rsidR="00F50B6D" w:rsidRPr="00AB3749" w:rsidRDefault="00F50B6D" w:rsidP="00E65F64">
      <w:pPr>
        <w:rPr>
          <w:rFonts w:ascii="Arial" w:hAnsi="Arial" w:cs="Arial"/>
          <w:b/>
          <w:bCs/>
          <w:u w:val="single"/>
        </w:rPr>
      </w:pPr>
      <w:r w:rsidRPr="00AB3749">
        <w:rPr>
          <w:rFonts w:ascii="Arial" w:eastAsia="Times New Roman" w:hAnsi="Arial" w:cs="Arial"/>
          <w:b/>
          <w:bCs/>
          <w:color w:val="000000"/>
          <w:kern w:val="0"/>
          <w:lang w:eastAsia="en-GB"/>
          <w14:ligatures w14:val="none"/>
        </w:rPr>
        <w:t>Introduction  ……………………………………………</w:t>
      </w:r>
      <w:r w:rsidR="00AB3749" w:rsidRPr="00AB3749">
        <w:rPr>
          <w:rFonts w:ascii="Arial" w:eastAsia="Times New Roman" w:hAnsi="Arial" w:cs="Arial"/>
          <w:b/>
          <w:bCs/>
          <w:color w:val="000000"/>
          <w:kern w:val="0"/>
          <w:lang w:eastAsia="en-GB"/>
          <w14:ligatures w14:val="none"/>
        </w:rPr>
        <w:t>……………</w:t>
      </w:r>
      <w:r w:rsidRPr="00AB3749">
        <w:rPr>
          <w:rFonts w:ascii="Arial" w:eastAsia="Times New Roman" w:hAnsi="Arial" w:cs="Arial"/>
          <w:b/>
          <w:bCs/>
          <w:color w:val="000000"/>
          <w:kern w:val="0"/>
          <w:lang w:eastAsia="en-GB"/>
          <w14:ligatures w14:val="none"/>
        </w:rPr>
        <w:t>…</w:t>
      </w:r>
      <w:proofErr w:type="gramStart"/>
      <w:r w:rsidRPr="00AB3749">
        <w:rPr>
          <w:rFonts w:ascii="Arial" w:eastAsia="Times New Roman" w:hAnsi="Arial" w:cs="Arial"/>
          <w:b/>
          <w:bCs/>
          <w:color w:val="000000"/>
          <w:kern w:val="0"/>
          <w:lang w:eastAsia="en-GB"/>
          <w14:ligatures w14:val="none"/>
        </w:rPr>
        <w:t>…..</w:t>
      </w:r>
      <w:proofErr w:type="gramEnd"/>
      <w:r w:rsidRPr="00AB3749">
        <w:rPr>
          <w:rFonts w:ascii="Arial" w:eastAsia="Times New Roman" w:hAnsi="Arial" w:cs="Arial"/>
          <w:b/>
          <w:bCs/>
          <w:color w:val="000000"/>
          <w:kern w:val="0"/>
          <w:lang w:eastAsia="en-GB"/>
          <w14:ligatures w14:val="none"/>
        </w:rPr>
        <w:t xml:space="preserve"> 2</w:t>
      </w:r>
    </w:p>
    <w:p w14:paraId="30B73C5B" w14:textId="65669B67" w:rsidR="00F50B6D" w:rsidRPr="00AB3749" w:rsidRDefault="00E65F64" w:rsidP="00F50B6D">
      <w:pPr>
        <w:pStyle w:val="ListParagraph"/>
        <w:numPr>
          <w:ilvl w:val="0"/>
          <w:numId w:val="2"/>
        </w:numPr>
        <w:rPr>
          <w:rFonts w:ascii="Arial" w:hAnsi="Arial" w:cs="Arial"/>
          <w:b/>
          <w:bCs/>
          <w:u w:val="single"/>
        </w:rPr>
      </w:pPr>
      <w:r w:rsidRPr="00AB3749">
        <w:rPr>
          <w:rFonts w:ascii="Arial" w:hAnsi="Arial" w:cs="Arial"/>
          <w:b/>
          <w:bCs/>
        </w:rPr>
        <w:t>Business Transformation Factors</w:t>
      </w:r>
      <w:r w:rsidRPr="00AB3749">
        <w:rPr>
          <w:rFonts w:ascii="Arial" w:hAnsi="Arial" w:cs="Arial"/>
          <w:b/>
          <w:bCs/>
        </w:rPr>
        <w:t xml:space="preserve"> </w:t>
      </w:r>
      <w:r w:rsidR="00F50B6D" w:rsidRPr="00AB3749">
        <w:rPr>
          <w:rFonts w:ascii="Arial" w:hAnsi="Arial" w:cs="Arial"/>
          <w:b/>
          <w:bCs/>
        </w:rPr>
        <w:t>…………………</w:t>
      </w:r>
      <w:r w:rsidR="00AB3749" w:rsidRPr="00AB3749">
        <w:rPr>
          <w:rFonts w:ascii="Arial" w:hAnsi="Arial" w:cs="Arial"/>
          <w:b/>
          <w:bCs/>
        </w:rPr>
        <w:t>…….</w:t>
      </w:r>
      <w:r w:rsidR="00F50B6D" w:rsidRPr="00AB3749">
        <w:rPr>
          <w:rFonts w:ascii="Arial" w:hAnsi="Arial" w:cs="Arial"/>
          <w:b/>
          <w:bCs/>
        </w:rPr>
        <w:t>……...</w:t>
      </w:r>
      <w:r w:rsidRPr="00AB3749">
        <w:rPr>
          <w:rFonts w:ascii="Arial" w:hAnsi="Arial" w:cs="Arial"/>
          <w:b/>
          <w:bCs/>
        </w:rPr>
        <w:t>3</w:t>
      </w:r>
    </w:p>
    <w:p w14:paraId="00932D07" w14:textId="4444B7C7" w:rsidR="00F50B6D" w:rsidRPr="00AB3749" w:rsidRDefault="00E65F64" w:rsidP="00AB3749">
      <w:pPr>
        <w:pStyle w:val="ListParagraph"/>
        <w:numPr>
          <w:ilvl w:val="0"/>
          <w:numId w:val="10"/>
        </w:numPr>
        <w:rPr>
          <w:rFonts w:ascii="Arial" w:hAnsi="Arial" w:cs="Arial"/>
          <w:b/>
          <w:bCs/>
        </w:rPr>
      </w:pPr>
      <w:r w:rsidRPr="00AB3749">
        <w:rPr>
          <w:rFonts w:ascii="Arial" w:hAnsi="Arial" w:cs="Arial"/>
          <w:b/>
          <w:bCs/>
        </w:rPr>
        <w:t>Digital Technology Trend</w:t>
      </w:r>
      <w:r w:rsidRPr="00AB3749">
        <w:rPr>
          <w:rFonts w:ascii="Arial" w:hAnsi="Arial" w:cs="Arial"/>
          <w:b/>
          <w:bCs/>
        </w:rPr>
        <w:t xml:space="preserve"> </w:t>
      </w:r>
      <w:r w:rsidR="00F50B6D" w:rsidRPr="00AB3749">
        <w:rPr>
          <w:rFonts w:ascii="Arial" w:hAnsi="Arial" w:cs="Arial"/>
          <w:b/>
          <w:bCs/>
        </w:rPr>
        <w:t>………………………………….3</w:t>
      </w:r>
      <w:r w:rsidRPr="00AB3749">
        <w:rPr>
          <w:rFonts w:ascii="Arial" w:hAnsi="Arial" w:cs="Arial"/>
          <w:b/>
          <w:bCs/>
        </w:rPr>
        <w:t>,4</w:t>
      </w:r>
    </w:p>
    <w:p w14:paraId="29332156" w14:textId="03F1B01B" w:rsidR="00F50B6D" w:rsidRPr="00AB3749" w:rsidRDefault="00E65F64" w:rsidP="00AB3749">
      <w:pPr>
        <w:pStyle w:val="ListParagraph"/>
        <w:numPr>
          <w:ilvl w:val="0"/>
          <w:numId w:val="10"/>
        </w:numPr>
        <w:rPr>
          <w:rFonts w:ascii="Arial" w:hAnsi="Arial" w:cs="Arial"/>
          <w:b/>
          <w:bCs/>
        </w:rPr>
      </w:pPr>
      <w:r w:rsidRPr="00AB3749">
        <w:rPr>
          <w:rFonts w:ascii="Arial" w:hAnsi="Arial" w:cs="Arial"/>
          <w:b/>
          <w:bCs/>
        </w:rPr>
        <w:t>Flexible Working Arrangements</w:t>
      </w:r>
      <w:r w:rsidRPr="00AB3749">
        <w:rPr>
          <w:rFonts w:ascii="Arial" w:hAnsi="Arial" w:cs="Arial"/>
          <w:b/>
          <w:bCs/>
        </w:rPr>
        <w:t xml:space="preserve"> </w:t>
      </w:r>
      <w:r w:rsidR="00AB3749" w:rsidRPr="00AB3749">
        <w:rPr>
          <w:rFonts w:ascii="Arial" w:hAnsi="Arial" w:cs="Arial"/>
          <w:b/>
          <w:bCs/>
        </w:rPr>
        <w:t xml:space="preserve">……………………….   </w:t>
      </w:r>
      <w:r w:rsidRPr="00AB3749">
        <w:rPr>
          <w:rFonts w:ascii="Arial" w:hAnsi="Arial" w:cs="Arial"/>
          <w:b/>
          <w:bCs/>
        </w:rPr>
        <w:t>4</w:t>
      </w:r>
    </w:p>
    <w:p w14:paraId="28CA2D76" w14:textId="6E311BA2" w:rsidR="00E65F64" w:rsidRPr="00AB3749" w:rsidRDefault="00E65F64" w:rsidP="00F50B6D">
      <w:pPr>
        <w:pStyle w:val="ListParagraph"/>
        <w:numPr>
          <w:ilvl w:val="0"/>
          <w:numId w:val="2"/>
        </w:numPr>
        <w:rPr>
          <w:rFonts w:ascii="Arial" w:hAnsi="Arial" w:cs="Arial"/>
          <w:b/>
          <w:bCs/>
          <w:u w:val="single"/>
        </w:rPr>
      </w:pPr>
      <w:r w:rsidRPr="00727F2C">
        <w:rPr>
          <w:rFonts w:ascii="Arial" w:hAnsi="Arial" w:cs="Arial"/>
          <w:b/>
          <w:bCs/>
        </w:rPr>
        <w:t>Business Transformation Practices</w:t>
      </w:r>
      <w:r w:rsidR="00AB3749" w:rsidRPr="00AB3749">
        <w:rPr>
          <w:rFonts w:ascii="Arial" w:hAnsi="Arial" w:cs="Arial"/>
          <w:b/>
          <w:bCs/>
        </w:rPr>
        <w:t xml:space="preserve"> ………………………</w:t>
      </w:r>
      <w:proofErr w:type="gramStart"/>
      <w:r w:rsidR="00AB3749" w:rsidRPr="00AB3749">
        <w:rPr>
          <w:rFonts w:ascii="Arial" w:hAnsi="Arial" w:cs="Arial"/>
          <w:b/>
          <w:bCs/>
        </w:rPr>
        <w:t>…..</w:t>
      </w:r>
      <w:proofErr w:type="gramEnd"/>
      <w:r w:rsidR="00AB3749" w:rsidRPr="00AB3749">
        <w:rPr>
          <w:rFonts w:ascii="Arial" w:hAnsi="Arial" w:cs="Arial"/>
          <w:b/>
          <w:bCs/>
        </w:rPr>
        <w:t>5,6</w:t>
      </w:r>
    </w:p>
    <w:p w14:paraId="7AB31FBD" w14:textId="623E9102" w:rsidR="00AB3749" w:rsidRPr="00AB3749" w:rsidRDefault="00AB3749" w:rsidP="00AB3749">
      <w:pPr>
        <w:pStyle w:val="ListParagraph"/>
        <w:numPr>
          <w:ilvl w:val="0"/>
          <w:numId w:val="9"/>
        </w:numPr>
        <w:rPr>
          <w:rFonts w:ascii="Arial" w:hAnsi="Arial" w:cs="Arial"/>
          <w:b/>
          <w:bCs/>
        </w:rPr>
      </w:pPr>
      <w:r w:rsidRPr="00AB3749">
        <w:rPr>
          <w:rFonts w:ascii="Arial" w:hAnsi="Arial" w:cs="Arial"/>
          <w:b/>
          <w:bCs/>
        </w:rPr>
        <w:t>Digital HR Practices</w:t>
      </w:r>
      <w:r w:rsidRPr="00AB3749">
        <w:rPr>
          <w:rFonts w:ascii="Arial" w:hAnsi="Arial" w:cs="Arial"/>
          <w:b/>
          <w:bCs/>
        </w:rPr>
        <w:t xml:space="preserve"> ………………………………………….5,6</w:t>
      </w:r>
    </w:p>
    <w:p w14:paraId="58FF1BF0" w14:textId="3C62D18D" w:rsidR="00AB3749" w:rsidRPr="00AB3749" w:rsidRDefault="00AB3749" w:rsidP="00AB3749">
      <w:pPr>
        <w:pStyle w:val="ListParagraph"/>
        <w:numPr>
          <w:ilvl w:val="0"/>
          <w:numId w:val="9"/>
        </w:numPr>
        <w:rPr>
          <w:rFonts w:ascii="Arial" w:hAnsi="Arial" w:cs="Arial"/>
          <w:b/>
          <w:bCs/>
        </w:rPr>
      </w:pPr>
      <w:r w:rsidRPr="00AB3749">
        <w:rPr>
          <w:rFonts w:ascii="Arial" w:hAnsi="Arial" w:cs="Arial"/>
          <w:b/>
          <w:bCs/>
        </w:rPr>
        <w:t>Flexible Working Practices</w:t>
      </w:r>
      <w:r w:rsidRPr="00AB3749">
        <w:rPr>
          <w:rFonts w:ascii="Arial" w:hAnsi="Arial" w:cs="Arial"/>
          <w:b/>
          <w:bCs/>
        </w:rPr>
        <w:t xml:space="preserve"> ……………………………………6</w:t>
      </w:r>
    </w:p>
    <w:p w14:paraId="2992B823" w14:textId="5FFAA738" w:rsidR="00F50B6D" w:rsidRPr="00AB3749" w:rsidRDefault="00E65F64" w:rsidP="00F50B6D">
      <w:pPr>
        <w:pStyle w:val="ListParagraph"/>
        <w:numPr>
          <w:ilvl w:val="0"/>
          <w:numId w:val="2"/>
        </w:numPr>
        <w:rPr>
          <w:rFonts w:ascii="Arial" w:hAnsi="Arial" w:cs="Arial"/>
          <w:b/>
          <w:bCs/>
          <w:u w:val="single"/>
        </w:rPr>
      </w:pPr>
      <w:r w:rsidRPr="00AB3749">
        <w:rPr>
          <w:rFonts w:ascii="Arial" w:hAnsi="Arial" w:cs="Arial"/>
          <w:b/>
          <w:bCs/>
        </w:rPr>
        <w:t xml:space="preserve">Practices </w:t>
      </w:r>
      <w:r w:rsidR="00F50B6D" w:rsidRPr="00AB3749">
        <w:rPr>
          <w:rFonts w:ascii="Arial" w:hAnsi="Arial" w:cs="Arial"/>
          <w:b/>
          <w:bCs/>
        </w:rPr>
        <w:t xml:space="preserve"> …………………………………</w:t>
      </w:r>
      <w:r w:rsidR="00AB3749" w:rsidRPr="00AB3749">
        <w:rPr>
          <w:rFonts w:ascii="Arial" w:hAnsi="Arial" w:cs="Arial"/>
          <w:b/>
          <w:bCs/>
        </w:rPr>
        <w:t>…………………</w:t>
      </w:r>
      <w:proofErr w:type="gramStart"/>
      <w:r w:rsidR="00AB3749" w:rsidRPr="00AB3749">
        <w:rPr>
          <w:rFonts w:ascii="Arial" w:hAnsi="Arial" w:cs="Arial"/>
          <w:b/>
          <w:bCs/>
        </w:rPr>
        <w:t>…..</w:t>
      </w:r>
      <w:proofErr w:type="gramEnd"/>
      <w:r w:rsidR="00F50B6D" w:rsidRPr="00AB3749">
        <w:rPr>
          <w:rFonts w:ascii="Arial" w:hAnsi="Arial" w:cs="Arial"/>
          <w:b/>
          <w:bCs/>
        </w:rPr>
        <w:t xml:space="preserve">… 6,7 </w:t>
      </w:r>
    </w:p>
    <w:p w14:paraId="7CAED829" w14:textId="585A6D72" w:rsidR="00F50B6D" w:rsidRPr="00AB3749" w:rsidRDefault="00F50B6D" w:rsidP="00F50B6D">
      <w:pPr>
        <w:pStyle w:val="ListParagraph"/>
        <w:numPr>
          <w:ilvl w:val="0"/>
          <w:numId w:val="2"/>
        </w:numPr>
        <w:rPr>
          <w:rFonts w:ascii="Arial" w:hAnsi="Arial" w:cs="Arial"/>
          <w:b/>
          <w:bCs/>
          <w:u w:val="single"/>
        </w:rPr>
      </w:pPr>
      <w:r w:rsidRPr="00AB3749">
        <w:rPr>
          <w:rFonts w:ascii="Arial" w:hAnsi="Arial" w:cs="Arial"/>
          <w:b/>
          <w:bCs/>
        </w:rPr>
        <w:t xml:space="preserve"> </w:t>
      </w:r>
      <w:r w:rsidR="00752609" w:rsidRPr="00AB3749">
        <w:rPr>
          <w:rFonts w:ascii="Arial" w:hAnsi="Arial" w:cs="Arial"/>
          <w:b/>
          <w:bCs/>
        </w:rPr>
        <w:t>Conclusion</w:t>
      </w:r>
      <w:r w:rsidRPr="00AB3749">
        <w:rPr>
          <w:rFonts w:ascii="Arial" w:hAnsi="Arial" w:cs="Arial"/>
          <w:b/>
          <w:bCs/>
        </w:rPr>
        <w:t>……….……</w:t>
      </w:r>
      <w:r w:rsidR="00AB3749" w:rsidRPr="00AB3749">
        <w:rPr>
          <w:rFonts w:ascii="Arial" w:hAnsi="Arial" w:cs="Arial"/>
          <w:b/>
          <w:bCs/>
        </w:rPr>
        <w:t>……………………………………...</w:t>
      </w:r>
      <w:r w:rsidRPr="00AB3749">
        <w:rPr>
          <w:rFonts w:ascii="Arial" w:hAnsi="Arial" w:cs="Arial"/>
          <w:b/>
          <w:bCs/>
        </w:rPr>
        <w:t xml:space="preserve">…... </w:t>
      </w:r>
      <w:r w:rsidR="00752609" w:rsidRPr="00AB3749">
        <w:rPr>
          <w:rFonts w:ascii="Arial" w:hAnsi="Arial" w:cs="Arial"/>
          <w:b/>
          <w:bCs/>
        </w:rPr>
        <w:t>8,9</w:t>
      </w:r>
    </w:p>
    <w:p w14:paraId="5AA7A35A" w14:textId="16075C52" w:rsidR="00F50B6D" w:rsidRPr="00AB3749" w:rsidRDefault="00752609" w:rsidP="00F50B6D">
      <w:pPr>
        <w:pStyle w:val="ListParagraph"/>
        <w:numPr>
          <w:ilvl w:val="0"/>
          <w:numId w:val="2"/>
        </w:numPr>
        <w:rPr>
          <w:rFonts w:ascii="Arial" w:hAnsi="Arial" w:cs="Arial"/>
          <w:b/>
          <w:bCs/>
          <w:u w:val="single"/>
        </w:rPr>
      </w:pPr>
      <w:r w:rsidRPr="00AB3749">
        <w:rPr>
          <w:rFonts w:ascii="Arial" w:hAnsi="Arial" w:cs="Arial"/>
          <w:b/>
          <w:bCs/>
        </w:rPr>
        <w:t>Recommendations</w:t>
      </w:r>
      <w:r w:rsidR="00F50B6D" w:rsidRPr="00AB3749">
        <w:rPr>
          <w:rFonts w:ascii="Arial" w:hAnsi="Arial" w:cs="Arial"/>
          <w:b/>
          <w:bCs/>
        </w:rPr>
        <w:t>……</w:t>
      </w:r>
      <w:r w:rsidR="00AB3749" w:rsidRPr="00AB3749">
        <w:rPr>
          <w:rFonts w:ascii="Arial" w:hAnsi="Arial" w:cs="Arial"/>
          <w:b/>
          <w:bCs/>
        </w:rPr>
        <w:t>…………………</w:t>
      </w:r>
      <w:r w:rsidR="00F50B6D" w:rsidRPr="00AB3749">
        <w:rPr>
          <w:rFonts w:ascii="Arial" w:hAnsi="Arial" w:cs="Arial"/>
          <w:b/>
          <w:bCs/>
        </w:rPr>
        <w:t xml:space="preserve">…………………………... </w:t>
      </w:r>
      <w:r w:rsidRPr="00AB3749">
        <w:rPr>
          <w:rFonts w:ascii="Arial" w:hAnsi="Arial" w:cs="Arial"/>
          <w:b/>
          <w:bCs/>
        </w:rPr>
        <w:t>9</w:t>
      </w:r>
    </w:p>
    <w:p w14:paraId="2BED554C" w14:textId="7CF47EF9" w:rsidR="00F50B6D" w:rsidRPr="00AB3749" w:rsidRDefault="00F50B6D" w:rsidP="00752609">
      <w:pPr>
        <w:pStyle w:val="ListParagraph"/>
        <w:ind w:left="1440"/>
        <w:rPr>
          <w:rFonts w:ascii="Arial" w:hAnsi="Arial" w:cs="Arial"/>
        </w:rPr>
      </w:pPr>
    </w:p>
    <w:p w14:paraId="2B359D69" w14:textId="77777777" w:rsidR="00F50B6D" w:rsidRPr="00AB3749" w:rsidRDefault="00F50B6D">
      <w:pPr>
        <w:rPr>
          <w:rFonts w:ascii="Arial" w:hAnsi="Arial" w:cs="Arial"/>
        </w:rPr>
      </w:pPr>
    </w:p>
    <w:p w14:paraId="53728C3B" w14:textId="77777777" w:rsidR="00F50B6D" w:rsidRPr="00AB3749" w:rsidRDefault="00F50B6D">
      <w:pPr>
        <w:rPr>
          <w:rFonts w:ascii="Arial" w:hAnsi="Arial" w:cs="Arial"/>
        </w:rPr>
      </w:pPr>
    </w:p>
    <w:p w14:paraId="389279AD" w14:textId="77777777" w:rsidR="00F50B6D" w:rsidRPr="00AB3749" w:rsidRDefault="00F50B6D">
      <w:pPr>
        <w:rPr>
          <w:rFonts w:ascii="Arial" w:hAnsi="Arial" w:cs="Arial"/>
        </w:rPr>
      </w:pPr>
    </w:p>
    <w:p w14:paraId="0BAA06A2" w14:textId="77777777" w:rsidR="00F50B6D" w:rsidRPr="00AB3749" w:rsidRDefault="00F50B6D">
      <w:pPr>
        <w:rPr>
          <w:rFonts w:ascii="Arial" w:hAnsi="Arial" w:cs="Arial"/>
        </w:rPr>
      </w:pPr>
    </w:p>
    <w:p w14:paraId="20D84A6D" w14:textId="77777777" w:rsidR="00F50B6D" w:rsidRPr="00AB3749" w:rsidRDefault="00F50B6D">
      <w:pPr>
        <w:rPr>
          <w:rFonts w:ascii="Arial" w:hAnsi="Arial" w:cs="Arial"/>
        </w:rPr>
      </w:pPr>
    </w:p>
    <w:p w14:paraId="75F82072" w14:textId="77777777" w:rsidR="00F50B6D" w:rsidRPr="00AB3749" w:rsidRDefault="00F50B6D">
      <w:pPr>
        <w:rPr>
          <w:rFonts w:ascii="Arial" w:hAnsi="Arial" w:cs="Arial"/>
        </w:rPr>
      </w:pPr>
    </w:p>
    <w:p w14:paraId="1AA44B87" w14:textId="77777777" w:rsidR="00F50B6D" w:rsidRPr="00AB3749" w:rsidRDefault="00F50B6D">
      <w:pPr>
        <w:rPr>
          <w:rFonts w:ascii="Arial" w:hAnsi="Arial" w:cs="Arial"/>
        </w:rPr>
      </w:pPr>
    </w:p>
    <w:p w14:paraId="085E0FBD" w14:textId="77777777" w:rsidR="00F50B6D" w:rsidRPr="00AB3749" w:rsidRDefault="00F50B6D">
      <w:pPr>
        <w:rPr>
          <w:rFonts w:ascii="Arial" w:hAnsi="Arial" w:cs="Arial"/>
        </w:rPr>
      </w:pPr>
    </w:p>
    <w:p w14:paraId="418B7E7E" w14:textId="77777777" w:rsidR="00AB3749" w:rsidRPr="00AB3749" w:rsidRDefault="00AB3749" w:rsidP="00F50B6D">
      <w:pPr>
        <w:jc w:val="center"/>
        <w:rPr>
          <w:rFonts w:ascii="Arial" w:hAnsi="Arial" w:cs="Arial"/>
        </w:rPr>
      </w:pPr>
    </w:p>
    <w:p w14:paraId="1DABF039" w14:textId="77777777" w:rsidR="00AB3749" w:rsidRPr="00AB3749" w:rsidRDefault="00AB3749" w:rsidP="00F50B6D">
      <w:pPr>
        <w:jc w:val="center"/>
        <w:rPr>
          <w:rFonts w:ascii="Arial" w:hAnsi="Arial" w:cs="Arial"/>
        </w:rPr>
      </w:pPr>
    </w:p>
    <w:p w14:paraId="653D3219" w14:textId="77777777" w:rsidR="00AB3749" w:rsidRPr="00AB3749" w:rsidRDefault="00AB3749" w:rsidP="00F50B6D">
      <w:pPr>
        <w:jc w:val="center"/>
        <w:rPr>
          <w:rFonts w:ascii="Arial" w:hAnsi="Arial" w:cs="Arial"/>
        </w:rPr>
      </w:pPr>
    </w:p>
    <w:p w14:paraId="6255AB88" w14:textId="77777777" w:rsidR="00AB3749" w:rsidRPr="00AB3749" w:rsidRDefault="00AB3749" w:rsidP="00F50B6D">
      <w:pPr>
        <w:jc w:val="center"/>
        <w:rPr>
          <w:rFonts w:ascii="Arial" w:hAnsi="Arial" w:cs="Arial"/>
        </w:rPr>
      </w:pPr>
    </w:p>
    <w:p w14:paraId="6F6FA8EB" w14:textId="77777777" w:rsidR="00AB3749" w:rsidRPr="00AB3749" w:rsidRDefault="00AB3749" w:rsidP="00F50B6D">
      <w:pPr>
        <w:jc w:val="center"/>
        <w:rPr>
          <w:rFonts w:ascii="Arial" w:hAnsi="Arial" w:cs="Arial"/>
        </w:rPr>
      </w:pPr>
    </w:p>
    <w:p w14:paraId="12CFDB38" w14:textId="0BA260FE" w:rsidR="00F50B6D" w:rsidRPr="00AB3749" w:rsidRDefault="00F50B6D" w:rsidP="00F50B6D">
      <w:pPr>
        <w:jc w:val="center"/>
        <w:rPr>
          <w:rFonts w:ascii="Arial" w:hAnsi="Arial" w:cs="Arial"/>
        </w:rPr>
      </w:pPr>
      <w:r w:rsidRPr="00AB3749">
        <w:rPr>
          <w:rFonts w:ascii="Arial" w:hAnsi="Arial" w:cs="Arial"/>
        </w:rPr>
        <w:lastRenderedPageBreak/>
        <w:t>Component 2-</w:t>
      </w:r>
    </w:p>
    <w:p w14:paraId="3EA835BE" w14:textId="4B199DFA" w:rsidR="00F50B6D" w:rsidRPr="00AB3749" w:rsidRDefault="00F50B6D" w:rsidP="00F50B6D">
      <w:pPr>
        <w:jc w:val="center"/>
        <w:rPr>
          <w:rFonts w:ascii="Arial" w:hAnsi="Arial" w:cs="Arial"/>
        </w:rPr>
      </w:pPr>
      <w:r w:rsidRPr="00AB3749">
        <w:rPr>
          <w:rFonts w:ascii="Arial" w:hAnsi="Arial" w:cs="Arial"/>
        </w:rPr>
        <w:t>Individual Report</w:t>
      </w:r>
    </w:p>
    <w:p w14:paraId="7BD1A29A" w14:textId="77777777" w:rsidR="00F50B6D" w:rsidRPr="00AB3749" w:rsidRDefault="00F50B6D" w:rsidP="00F50B6D">
      <w:pPr>
        <w:jc w:val="center"/>
        <w:rPr>
          <w:rFonts w:ascii="Arial" w:hAnsi="Arial" w:cs="Arial"/>
        </w:rPr>
      </w:pPr>
    </w:p>
    <w:p w14:paraId="3A9757DA" w14:textId="77777777" w:rsidR="005C215D" w:rsidRPr="00AB3749" w:rsidRDefault="005C215D" w:rsidP="005C215D">
      <w:pPr>
        <w:rPr>
          <w:rFonts w:ascii="Arial" w:hAnsi="Arial" w:cs="Arial"/>
        </w:rPr>
      </w:pPr>
      <w:r w:rsidRPr="00AB3749">
        <w:rPr>
          <w:rFonts w:ascii="Arial" w:hAnsi="Arial" w:cs="Arial"/>
        </w:rPr>
        <w:t>Introduction</w:t>
      </w:r>
    </w:p>
    <w:p w14:paraId="5B1212C5" w14:textId="77777777" w:rsidR="005C215D" w:rsidRPr="00AB3749" w:rsidRDefault="005C215D" w:rsidP="005C215D">
      <w:pPr>
        <w:rPr>
          <w:rFonts w:ascii="Arial" w:hAnsi="Arial" w:cs="Arial"/>
        </w:rPr>
      </w:pPr>
      <w:r w:rsidRPr="00AB3749">
        <w:rPr>
          <w:rFonts w:ascii="Arial" w:hAnsi="Arial" w:cs="Arial"/>
        </w:rPr>
        <w:t xml:space="preserve"> The landscape of human resources among early years providers in the UK has undergone a significant transformation as organisations adjust to digital advancements, shifts in business practices, and evolving expectations for flexible work arrangements.  In the HR department at Busy Bees, it has become evident that both external and internal pressures have contributed to a rise in grievances, employee dissatisfaction, and operational inconsistencies. This report aims to investigate the primary factors of transformation currently impacting Busy Bees, assess contemporary HR practices suitable to address each factor, and critically evaluate how departmental managers can facilitate prompt and effective implementation. Recommendations and conclusions will be provided to support a sustainable and future-oriented HR strategy.</w:t>
      </w:r>
    </w:p>
    <w:p w14:paraId="620D502E" w14:textId="77777777" w:rsidR="00E775E0" w:rsidRPr="00AB3749" w:rsidRDefault="00E775E0" w:rsidP="005C215D">
      <w:pPr>
        <w:rPr>
          <w:rFonts w:ascii="Arial" w:hAnsi="Arial" w:cs="Arial"/>
        </w:rPr>
      </w:pPr>
    </w:p>
    <w:p w14:paraId="4B15DFFC" w14:textId="77777777" w:rsidR="00E775E0" w:rsidRPr="00AB3749" w:rsidRDefault="00E775E0" w:rsidP="00E775E0">
      <w:pPr>
        <w:rPr>
          <w:rFonts w:ascii="Arial" w:hAnsi="Arial" w:cs="Arial"/>
        </w:rPr>
      </w:pPr>
      <w:r w:rsidRPr="00AB3749">
        <w:rPr>
          <w:rFonts w:ascii="Arial" w:hAnsi="Arial" w:cs="Arial"/>
        </w:rPr>
        <w:t xml:space="preserve">The early years sector in the United Kingdom is experiencing significant changes driven by economic challenges, workforce shortages, regulatory shifts, and advancements in technology. As a newly appointed HR professional at Busy Bees, one of the largest childcare providers in the UK, it has become evident that these transformative forces have led to a considerable number of staff grievances and low morale. The intricate task of balancing business modernisation, digitalisation, and employee well-being necessitates strategic HR leadership grounded in evidence-based practices. </w:t>
      </w:r>
    </w:p>
    <w:p w14:paraId="213EA961" w14:textId="77777777" w:rsidR="00E775E0" w:rsidRPr="00AB3749" w:rsidRDefault="00E775E0" w:rsidP="00E775E0">
      <w:pPr>
        <w:rPr>
          <w:rFonts w:ascii="Arial" w:hAnsi="Arial" w:cs="Arial"/>
        </w:rPr>
      </w:pPr>
    </w:p>
    <w:p w14:paraId="7BF4B81D" w14:textId="77777777" w:rsidR="00E775E0" w:rsidRPr="00AB3749" w:rsidRDefault="00E775E0" w:rsidP="00E775E0">
      <w:pPr>
        <w:rPr>
          <w:rFonts w:ascii="Arial" w:hAnsi="Arial" w:cs="Arial"/>
        </w:rPr>
      </w:pPr>
      <w:r w:rsidRPr="00AB3749">
        <w:rPr>
          <w:rFonts w:ascii="Arial" w:hAnsi="Arial" w:cs="Arial"/>
        </w:rPr>
        <w:t>This report provides a critical analysis of the primary factors influencing business transformation, the adoption of digital technologies, and the implementation of flexible working arrangements at Busy Bees. It subsequently assesses contemporary HR practices that can effectively address these challenges, followed by an examination of how departmental managers can facilitate their swift implementation. The report utilises key theoretical frameworks, including Lewin’s Change Model (1951), Ulrich’s HR Business Partner Model (1997), the Technology Acceptance Model (Davis, 1989), and Herzberg’s Motivation-Hygiene Theory (1959), to illustrate a comprehensive understanding. The objective is to propose a cohesive HR strategy that enhances engagement, mitigates grievances, and positions Busy Bees for enduring success in a digitally enabled, flexible working landscape.</w:t>
      </w:r>
    </w:p>
    <w:p w14:paraId="748DC0C9" w14:textId="77777777" w:rsidR="00EB6488" w:rsidRPr="00AB3749" w:rsidRDefault="00EB6488" w:rsidP="005C215D">
      <w:pPr>
        <w:rPr>
          <w:rFonts w:ascii="Arial" w:hAnsi="Arial" w:cs="Arial"/>
        </w:rPr>
      </w:pPr>
    </w:p>
    <w:p w14:paraId="3335F635" w14:textId="77777777" w:rsidR="007E4982" w:rsidRPr="00AB3749" w:rsidRDefault="007E4982" w:rsidP="00DE745C">
      <w:pPr>
        <w:rPr>
          <w:rFonts w:ascii="Arial" w:hAnsi="Arial" w:cs="Arial"/>
        </w:rPr>
      </w:pPr>
    </w:p>
    <w:p w14:paraId="4E653D45" w14:textId="71BB0E92" w:rsidR="00307670" w:rsidRPr="00AB3749" w:rsidRDefault="00752609" w:rsidP="00752609">
      <w:pPr>
        <w:rPr>
          <w:rFonts w:ascii="Arial" w:hAnsi="Arial" w:cs="Arial"/>
          <w:b/>
          <w:bCs/>
        </w:rPr>
      </w:pPr>
      <w:r w:rsidRPr="00AB3749">
        <w:rPr>
          <w:rFonts w:ascii="Arial" w:hAnsi="Arial" w:cs="Arial"/>
          <w:b/>
          <w:bCs/>
        </w:rPr>
        <w:lastRenderedPageBreak/>
        <w:t xml:space="preserve">1. </w:t>
      </w:r>
      <w:r w:rsidR="00307670" w:rsidRPr="00AB3749">
        <w:rPr>
          <w:rFonts w:ascii="Arial" w:hAnsi="Arial" w:cs="Arial"/>
          <w:b/>
          <w:bCs/>
        </w:rPr>
        <w:t>Business Transformation Factors</w:t>
      </w:r>
    </w:p>
    <w:p w14:paraId="1CEC6407" w14:textId="77777777" w:rsidR="00307670" w:rsidRPr="00727F2C" w:rsidRDefault="00307670" w:rsidP="00307670">
      <w:pPr>
        <w:rPr>
          <w:rFonts w:ascii="Arial" w:hAnsi="Arial" w:cs="Arial"/>
        </w:rPr>
      </w:pPr>
    </w:p>
    <w:p w14:paraId="33C61080" w14:textId="77777777" w:rsidR="00307670" w:rsidRPr="00AB3749" w:rsidRDefault="00307670" w:rsidP="00307670">
      <w:pPr>
        <w:rPr>
          <w:rFonts w:ascii="Arial" w:hAnsi="Arial" w:cs="Arial"/>
        </w:rPr>
      </w:pPr>
      <w:r w:rsidRPr="00AB3749">
        <w:rPr>
          <w:rFonts w:ascii="Arial" w:hAnsi="Arial" w:cs="Arial"/>
        </w:rPr>
        <w:t>The process of business transformation in childcare environments involves a strategic overhaul of organisational structures, procedures, and cultures aimed at enhancing performance and service quality (PMI, 2021). At Busy Bees, this transformation is shaped by industry challenges, including workforce shortages, rising operational expenses, and elevated standards for quality and safeguarding (DfE, 2023).</w:t>
      </w:r>
    </w:p>
    <w:p w14:paraId="5073BB91" w14:textId="77777777" w:rsidR="00307670" w:rsidRPr="00AB3749" w:rsidRDefault="00307670" w:rsidP="00307670">
      <w:pPr>
        <w:rPr>
          <w:rFonts w:ascii="Arial" w:hAnsi="Arial" w:cs="Arial"/>
        </w:rPr>
      </w:pPr>
      <w:r w:rsidRPr="00AB3749">
        <w:rPr>
          <w:rFonts w:ascii="Arial" w:hAnsi="Arial" w:cs="Arial"/>
        </w:rPr>
        <w:t>Lewin's (1951) three-step change model—unfreeze, change, refreeze—provides insight into the present organisational climate. The initial phase of "unfreezing" has unsettled established routines due to restructuring, centralised decision-making, and the implementation of digital HR systems. Employees facing uncertainty regarding their job security and workload frequently react with anxiety or resistance, which results in a rise in grievances.</w:t>
      </w:r>
    </w:p>
    <w:p w14:paraId="02EF84F1" w14:textId="77777777" w:rsidR="00307670" w:rsidRPr="00AB3749" w:rsidRDefault="00307670" w:rsidP="00307670">
      <w:pPr>
        <w:rPr>
          <w:rFonts w:ascii="Arial" w:hAnsi="Arial" w:cs="Arial"/>
        </w:rPr>
      </w:pPr>
      <w:r w:rsidRPr="00AB3749">
        <w:rPr>
          <w:rFonts w:ascii="Arial" w:hAnsi="Arial" w:cs="Arial"/>
        </w:rPr>
        <w:t>Additionally, Ulrich’s HR Business Partner Model (1997) illustrates the evolution of HR's role from a primarily administrative function to a more strategic one. Nevertheless, this shift can lead to conflict when HR professionals are tasked with both implementing strategic changes and addressing immediate grievances. In early-stage environments, this dual responsibility frequently burdens HR teams, particularly when employee morale is already diminished.</w:t>
      </w:r>
    </w:p>
    <w:p w14:paraId="39CBCE2B" w14:textId="77777777" w:rsidR="00307670" w:rsidRPr="00AB3749" w:rsidRDefault="00307670" w:rsidP="00307670">
      <w:pPr>
        <w:rPr>
          <w:rFonts w:ascii="Arial" w:hAnsi="Arial" w:cs="Arial"/>
        </w:rPr>
      </w:pPr>
      <w:r w:rsidRPr="00AB3749">
        <w:rPr>
          <w:rFonts w:ascii="Arial" w:hAnsi="Arial" w:cs="Arial"/>
        </w:rPr>
        <w:t>A significant transformation challenge pertains to the recruitment crisis in the UK's early years sector. According to the National Day Nurseries Association (NDNA, 2023), 57% of nurseries face difficulties in hiring qualified practitioners, which compels the existing staff to handle increased workloads. The Job Demands–Resources (JD-R) Model (Bakker &amp; Demerouti, 2007) elucidates how high demands (such as child-to-staff ratios and administrative tasks) coupled with insufficient resources (including time and support) can lead to stress and exhaustion.</w:t>
      </w:r>
    </w:p>
    <w:p w14:paraId="515293C8" w14:textId="77777777" w:rsidR="007E4982" w:rsidRPr="00AB3749" w:rsidRDefault="007E4982" w:rsidP="007E4982">
      <w:pPr>
        <w:rPr>
          <w:rFonts w:ascii="Arial" w:hAnsi="Arial" w:cs="Arial"/>
        </w:rPr>
      </w:pPr>
    </w:p>
    <w:p w14:paraId="21A399C4" w14:textId="77777777" w:rsidR="008E1E10" w:rsidRPr="00727F2C" w:rsidRDefault="008E1E10" w:rsidP="008E1E10">
      <w:pPr>
        <w:rPr>
          <w:rFonts w:ascii="Arial" w:hAnsi="Arial" w:cs="Arial"/>
          <w:b/>
          <w:bCs/>
        </w:rPr>
      </w:pPr>
      <w:r w:rsidRPr="00727F2C">
        <w:rPr>
          <w:rFonts w:ascii="Arial" w:hAnsi="Arial" w:cs="Arial"/>
          <w:b/>
          <w:bCs/>
        </w:rPr>
        <w:t>Digital Technology Trends</w:t>
      </w:r>
    </w:p>
    <w:p w14:paraId="1C4EA728" w14:textId="77777777" w:rsidR="008E1E10" w:rsidRPr="00AB3749" w:rsidRDefault="008E1E10" w:rsidP="008E1E10">
      <w:pPr>
        <w:rPr>
          <w:rFonts w:ascii="Arial" w:hAnsi="Arial" w:cs="Arial"/>
        </w:rPr>
      </w:pPr>
    </w:p>
    <w:p w14:paraId="106F70CB" w14:textId="49DB5B66" w:rsidR="008E1E10" w:rsidRPr="00727F2C" w:rsidRDefault="008E1E10" w:rsidP="008E1E10">
      <w:pPr>
        <w:rPr>
          <w:rFonts w:ascii="Arial" w:hAnsi="Arial" w:cs="Arial"/>
        </w:rPr>
      </w:pPr>
      <w:r w:rsidRPr="00AB3749">
        <w:rPr>
          <w:rFonts w:ascii="Arial" w:hAnsi="Arial" w:cs="Arial"/>
        </w:rPr>
        <w:t xml:space="preserve">Digital transformation represents a crucial element </w:t>
      </w:r>
      <w:r w:rsidRPr="00AB3749">
        <w:rPr>
          <w:rFonts w:ascii="Arial" w:hAnsi="Arial" w:cs="Arial"/>
        </w:rPr>
        <w:t xml:space="preserve">in </w:t>
      </w:r>
      <w:r w:rsidRPr="00AB3749">
        <w:rPr>
          <w:rFonts w:ascii="Arial" w:hAnsi="Arial" w:cs="Arial"/>
        </w:rPr>
        <w:t>influencing HR operations. Busy Bees has implemented human resource information systems (HRIS), digital rota planning, e-learning modules, and safeguarding platforms to improve efficiency. Nevertheless, this technological transition has led to digital fatigue among employees who lack confidence in their IT skills.</w:t>
      </w:r>
    </w:p>
    <w:p w14:paraId="1E46C542" w14:textId="77777777" w:rsidR="008E1E10" w:rsidRPr="00AB3749" w:rsidRDefault="008E1E10" w:rsidP="008E1E10">
      <w:pPr>
        <w:rPr>
          <w:rFonts w:ascii="Arial" w:hAnsi="Arial" w:cs="Arial"/>
        </w:rPr>
      </w:pPr>
      <w:r w:rsidRPr="00AB3749">
        <w:rPr>
          <w:rFonts w:ascii="Arial" w:hAnsi="Arial" w:cs="Arial"/>
        </w:rPr>
        <w:t xml:space="preserve">The Technology Acceptance Model (TAM) (Davis, 1989) suggests that employees' willingness to adopt new systems is influenced by their perceptions of usefulness and ease of use. </w:t>
      </w:r>
    </w:p>
    <w:p w14:paraId="1C0A4095" w14:textId="77777777" w:rsidR="008E1E10" w:rsidRPr="00727F2C" w:rsidRDefault="008E1E10" w:rsidP="008E1E10">
      <w:pPr>
        <w:rPr>
          <w:rFonts w:ascii="Arial" w:hAnsi="Arial" w:cs="Arial"/>
        </w:rPr>
      </w:pPr>
      <w:r w:rsidRPr="00AB3749">
        <w:rPr>
          <w:rFonts w:ascii="Arial" w:hAnsi="Arial" w:cs="Arial"/>
        </w:rPr>
        <w:lastRenderedPageBreak/>
        <w:t>Staff complaints frequently occur due to feelings of inadequate competence, lack of training, and apprehensions regarding digital monitoring. Additionally, the socio-technical systems theory (Trist and Emery in 1951) further indicates that the success of technology is contingent upon the interplay among individuals, tools, and processes; overlooking the social dimension can lead to resistance and disengagement.</w:t>
      </w:r>
    </w:p>
    <w:p w14:paraId="505C522B" w14:textId="77777777" w:rsidR="008E1E10" w:rsidRPr="00AB3749" w:rsidRDefault="008E1E10" w:rsidP="008E1E10">
      <w:pPr>
        <w:rPr>
          <w:rFonts w:ascii="Arial" w:hAnsi="Arial" w:cs="Arial"/>
        </w:rPr>
      </w:pPr>
      <w:r w:rsidRPr="00AB3749">
        <w:rPr>
          <w:rFonts w:ascii="Arial" w:hAnsi="Arial" w:cs="Arial"/>
        </w:rPr>
        <w:t>Furthermore, the emergence of digital HR communication, via internal applications and online newsletters, has shifted the volume of in-person interaction. Although this transition enhances efficiency, it may undermine feelings of belonging and psychological safety. According to the psychological contract theory (Rousseau, 1995), when employees sense that implicit promises, like personal support or opportunities for development, are unfulfilled, trust diminishes, leading to formal complaints.</w:t>
      </w:r>
    </w:p>
    <w:p w14:paraId="38F1F381" w14:textId="77777777" w:rsidR="00BA1217" w:rsidRPr="00AB3749" w:rsidRDefault="00BA1217" w:rsidP="008E1E10">
      <w:pPr>
        <w:rPr>
          <w:rFonts w:ascii="Arial" w:hAnsi="Arial" w:cs="Arial"/>
        </w:rPr>
      </w:pPr>
    </w:p>
    <w:p w14:paraId="427066EB" w14:textId="77777777" w:rsidR="00BA1217" w:rsidRPr="00727F2C" w:rsidRDefault="00BA1217" w:rsidP="00BA1217">
      <w:pPr>
        <w:rPr>
          <w:rFonts w:ascii="Arial" w:hAnsi="Arial" w:cs="Arial"/>
          <w:b/>
          <w:bCs/>
        </w:rPr>
      </w:pPr>
      <w:r w:rsidRPr="00727F2C">
        <w:rPr>
          <w:rFonts w:ascii="Arial" w:hAnsi="Arial" w:cs="Arial"/>
          <w:b/>
          <w:bCs/>
        </w:rPr>
        <w:t>Flexible Working Arrangements</w:t>
      </w:r>
    </w:p>
    <w:p w14:paraId="6D2911F2" w14:textId="77777777" w:rsidR="00BA1217" w:rsidRPr="00727F2C" w:rsidRDefault="00BA1217" w:rsidP="00BA1217">
      <w:pPr>
        <w:rPr>
          <w:rFonts w:ascii="Arial" w:hAnsi="Arial" w:cs="Arial"/>
        </w:rPr>
      </w:pPr>
    </w:p>
    <w:p w14:paraId="5BA2632E" w14:textId="77777777" w:rsidR="00BA1217" w:rsidRPr="00727F2C" w:rsidRDefault="00BA1217" w:rsidP="00BA1217">
      <w:pPr>
        <w:rPr>
          <w:rFonts w:ascii="Arial" w:hAnsi="Arial" w:cs="Arial"/>
        </w:rPr>
      </w:pPr>
      <w:r w:rsidRPr="00AB3749">
        <w:rPr>
          <w:rFonts w:ascii="Arial" w:hAnsi="Arial" w:cs="Arial"/>
        </w:rPr>
        <w:t>Flexible working constitutes the third essential element. The Flexible Working (Amendment) Regulations 2024 established a "day-one right" for employees to seek flexibility and expedited responses from employers (ACAS, 2024). In the realm of childcare, this presents difficulties owing to the stringent staff-to-child ratios mandated by the EYFS framework.</w:t>
      </w:r>
    </w:p>
    <w:p w14:paraId="7FC3B5B2" w14:textId="77777777" w:rsidR="00BA1217" w:rsidRPr="00727F2C" w:rsidRDefault="00BA1217" w:rsidP="00BA1217">
      <w:pPr>
        <w:rPr>
          <w:rFonts w:ascii="Arial" w:hAnsi="Arial" w:cs="Arial"/>
        </w:rPr>
      </w:pPr>
      <w:r w:rsidRPr="00AB3749">
        <w:rPr>
          <w:rFonts w:ascii="Arial" w:hAnsi="Arial" w:cs="Arial"/>
        </w:rPr>
        <w:t>The Equity Theory (Adams, 1963) elucidates the reasons behind the frustration stemming from inconsistent decisions regarding flexible working arrangements. Employees assess their contributions (such as experience and commitment) against the outcomes (like the flexibility granted to them), and any perceived inequity results in feelings of resentment. Similarly, Herzberg’s  (Herzberg’s,1959) Two-Factor Theory shows that inadequate rota management or the perception of unfair treatment is considered a "hygiene factor" that contributes to dissatisfaction, even in the presence of other motivating factors.</w:t>
      </w:r>
    </w:p>
    <w:p w14:paraId="121E73A4" w14:textId="28A499FB" w:rsidR="00BA1217" w:rsidRPr="00AB3749" w:rsidRDefault="00B777B2" w:rsidP="00BA1217">
      <w:pPr>
        <w:rPr>
          <w:rFonts w:ascii="Arial" w:hAnsi="Arial" w:cs="Arial"/>
        </w:rPr>
      </w:pPr>
      <w:r w:rsidRPr="00AB3749">
        <w:rPr>
          <w:rFonts w:ascii="Arial" w:hAnsi="Arial" w:cs="Arial"/>
        </w:rPr>
        <w:t>Moreover</w:t>
      </w:r>
      <w:r w:rsidR="00BA1217" w:rsidRPr="00AB3749">
        <w:rPr>
          <w:rFonts w:ascii="Arial" w:hAnsi="Arial" w:cs="Arial"/>
        </w:rPr>
        <w:t>, studies indicate that flexible working arrangements improve employee retention and engagement (CIPD, 2022).</w:t>
      </w:r>
    </w:p>
    <w:p w14:paraId="3547055D" w14:textId="77777777" w:rsidR="00BA1217" w:rsidRPr="00AB3749" w:rsidRDefault="00BA1217" w:rsidP="00BA1217">
      <w:pPr>
        <w:rPr>
          <w:rFonts w:ascii="Arial" w:hAnsi="Arial" w:cs="Arial"/>
        </w:rPr>
      </w:pPr>
      <w:r w:rsidRPr="00AB3749">
        <w:rPr>
          <w:rFonts w:ascii="Arial" w:hAnsi="Arial" w:cs="Arial"/>
        </w:rPr>
        <w:t>For Busy Bees, it is crucial to attain a balance among fairness, compliance, and operational continuity. Discrepancies in application across different branches foster perceptions of favouritism, which in turn leads to diminished trust and increased turnover.</w:t>
      </w:r>
    </w:p>
    <w:p w14:paraId="5C4C8AE1" w14:textId="77777777" w:rsidR="00307670" w:rsidRPr="00AB3749" w:rsidRDefault="00307670" w:rsidP="007E4982">
      <w:pPr>
        <w:rPr>
          <w:rFonts w:ascii="Arial" w:hAnsi="Arial" w:cs="Arial"/>
        </w:rPr>
      </w:pPr>
    </w:p>
    <w:p w14:paraId="0AE06743" w14:textId="1E9B5820" w:rsidR="00CE404A" w:rsidRPr="00727F2C" w:rsidRDefault="00752609" w:rsidP="00CE404A">
      <w:pPr>
        <w:rPr>
          <w:rFonts w:ascii="Arial" w:hAnsi="Arial" w:cs="Arial"/>
          <w:b/>
          <w:bCs/>
        </w:rPr>
      </w:pPr>
      <w:r w:rsidRPr="00AB3749">
        <w:rPr>
          <w:rFonts w:ascii="Arial" w:hAnsi="Arial" w:cs="Arial"/>
          <w:b/>
          <w:bCs/>
        </w:rPr>
        <w:t xml:space="preserve">2. </w:t>
      </w:r>
      <w:r w:rsidR="00CE404A" w:rsidRPr="00727F2C">
        <w:rPr>
          <w:rFonts w:ascii="Arial" w:hAnsi="Arial" w:cs="Arial"/>
          <w:b/>
          <w:bCs/>
        </w:rPr>
        <w:t>Business Transformation Practices</w:t>
      </w:r>
    </w:p>
    <w:p w14:paraId="5DE638DA" w14:textId="77777777" w:rsidR="00CE404A" w:rsidRPr="00727F2C" w:rsidRDefault="00CE404A" w:rsidP="00CE404A">
      <w:pPr>
        <w:rPr>
          <w:rFonts w:ascii="Arial" w:hAnsi="Arial" w:cs="Arial"/>
        </w:rPr>
      </w:pPr>
    </w:p>
    <w:p w14:paraId="641FDB6C" w14:textId="77777777" w:rsidR="00CE404A" w:rsidRPr="00727F2C" w:rsidRDefault="00CE404A" w:rsidP="00CE404A">
      <w:pPr>
        <w:rPr>
          <w:rFonts w:ascii="Arial" w:hAnsi="Arial" w:cs="Arial"/>
        </w:rPr>
      </w:pPr>
      <w:r w:rsidRPr="00AB3749">
        <w:rPr>
          <w:rFonts w:ascii="Arial" w:hAnsi="Arial" w:cs="Arial"/>
        </w:rPr>
        <w:lastRenderedPageBreak/>
        <w:t>Modern Human Resource Management (HRM) highlights the importance of strategically aligning personnel with organisational objectives. To facilitate transformation, Kotter’s (1996) Eight-Step Change Framework offers a systematic methodology. Establishing a sense of urgency, forming a guiding coalition, articulating a vision, and instilling new norms. In the context of Busy Bees, this may entail clear communication regarding the rationale behind restructuring and the implementation of consistent feedback mechanisms with practitioners.</w:t>
      </w:r>
    </w:p>
    <w:p w14:paraId="3531A6AF" w14:textId="77777777" w:rsidR="00CE404A" w:rsidRPr="00727F2C" w:rsidRDefault="00CE404A" w:rsidP="00CE404A">
      <w:pPr>
        <w:rPr>
          <w:rFonts w:ascii="Arial" w:hAnsi="Arial" w:cs="Arial"/>
        </w:rPr>
      </w:pPr>
      <w:r w:rsidRPr="00AB3749">
        <w:rPr>
          <w:rFonts w:ascii="Arial" w:hAnsi="Arial" w:cs="Arial"/>
        </w:rPr>
        <w:t>Innovative HR practices must also emphasise employee engagement and participation. Fundamental components of High-Performance Work Systems (HPWS) (Boxall &amp; Purcell, 2016). Engaging employees in decisions regarding change fosters empowerment and lessens resistance. Regular staff meetings, suggestion boxes, and pulse surveys contribute to alleviating anxiety and enhancing trust.</w:t>
      </w:r>
    </w:p>
    <w:p w14:paraId="4CD4695B" w14:textId="77777777" w:rsidR="00CE404A" w:rsidRPr="00AB3749" w:rsidRDefault="00CE404A" w:rsidP="00CE404A">
      <w:pPr>
        <w:rPr>
          <w:rFonts w:ascii="Arial" w:hAnsi="Arial" w:cs="Arial"/>
        </w:rPr>
      </w:pPr>
      <w:r w:rsidRPr="00AB3749">
        <w:rPr>
          <w:rFonts w:ascii="Arial" w:hAnsi="Arial" w:cs="Arial"/>
        </w:rPr>
        <w:t>Wellbeing mediations represent another critical practice. The CIPD Good Work Framework (2021) defines good work as being " fair, meaningful and healthy." Providing access to counselling, conducting supervision sessions, and performing workload audits can help diminish burnout and absenteeism. Considering the JD-R model, augmenting resources—such as emotional support and training—can mitigate the adverse effects of elevated demands.</w:t>
      </w:r>
    </w:p>
    <w:p w14:paraId="4CC86052" w14:textId="77777777" w:rsidR="008910F3" w:rsidRPr="00AB3749" w:rsidRDefault="008910F3" w:rsidP="00CE404A">
      <w:pPr>
        <w:rPr>
          <w:rFonts w:ascii="Arial" w:hAnsi="Arial" w:cs="Arial"/>
        </w:rPr>
      </w:pPr>
    </w:p>
    <w:p w14:paraId="558A6056" w14:textId="77777777" w:rsidR="008910F3" w:rsidRPr="00727F2C" w:rsidRDefault="008910F3" w:rsidP="008910F3">
      <w:pPr>
        <w:rPr>
          <w:rFonts w:ascii="Arial" w:hAnsi="Arial" w:cs="Arial"/>
          <w:b/>
          <w:bCs/>
        </w:rPr>
      </w:pPr>
      <w:r w:rsidRPr="00727F2C">
        <w:rPr>
          <w:rFonts w:ascii="Arial" w:hAnsi="Arial" w:cs="Arial"/>
          <w:b/>
          <w:bCs/>
        </w:rPr>
        <w:t>Digital HR Practices</w:t>
      </w:r>
    </w:p>
    <w:p w14:paraId="389EA52D" w14:textId="77777777" w:rsidR="008910F3" w:rsidRPr="00727F2C" w:rsidRDefault="008910F3" w:rsidP="008910F3">
      <w:pPr>
        <w:rPr>
          <w:rFonts w:ascii="Arial" w:hAnsi="Arial" w:cs="Arial"/>
        </w:rPr>
      </w:pPr>
    </w:p>
    <w:p w14:paraId="39337256" w14:textId="77777777" w:rsidR="008910F3" w:rsidRPr="00727F2C" w:rsidRDefault="008910F3" w:rsidP="008910F3">
      <w:pPr>
        <w:rPr>
          <w:rFonts w:ascii="Arial" w:hAnsi="Arial" w:cs="Arial"/>
        </w:rPr>
      </w:pPr>
      <w:r w:rsidRPr="00AB3749">
        <w:rPr>
          <w:rFonts w:ascii="Arial" w:hAnsi="Arial" w:cs="Arial"/>
        </w:rPr>
        <w:t>The process of digital transformation requires investment in development capability and in establishing transparent communication. Programs aimed at enhancing digital literacy are essential, aided by microlearning and peer mentoring initiatives. By applying the principles of the Technology Acceptance Model (TAM), Busy Bees should focus on increasing the perceived usefulness of their systems, demonstrating time savings, and ensuring ease of use through hands-on training.</w:t>
      </w:r>
    </w:p>
    <w:p w14:paraId="05B60F8F" w14:textId="77777777" w:rsidR="008910F3" w:rsidRPr="00727F2C" w:rsidRDefault="008910F3" w:rsidP="008910F3">
      <w:pPr>
        <w:rPr>
          <w:rFonts w:ascii="Arial" w:hAnsi="Arial" w:cs="Arial"/>
        </w:rPr>
      </w:pPr>
      <w:r w:rsidRPr="00727F2C">
        <w:rPr>
          <w:rFonts w:ascii="Arial" w:hAnsi="Arial" w:cs="Arial"/>
        </w:rPr>
        <w:t>HR analytics is another contemporary practice. Predictive analytics can identify absenteeism patterns, workload imbalances, and early indicators of disengagement. However, ethical data governance must be emphasised, aligning with GDPR to maintain trust.</w:t>
      </w:r>
    </w:p>
    <w:p w14:paraId="1C00DBB2" w14:textId="25B0CFEE" w:rsidR="008910F3" w:rsidRPr="00727F2C" w:rsidRDefault="008910F3" w:rsidP="008910F3">
      <w:pPr>
        <w:rPr>
          <w:rFonts w:ascii="Arial" w:hAnsi="Arial" w:cs="Arial"/>
        </w:rPr>
      </w:pPr>
      <w:r w:rsidRPr="00AB3749">
        <w:rPr>
          <w:rFonts w:ascii="Arial" w:hAnsi="Arial" w:cs="Arial"/>
        </w:rPr>
        <w:t>Another modern practice within HR is the utilisation of HR analytics. Predictive analytics can identify patterns related to absenteeism, imbalanced workload, and early signs of employee disengagement. Nevertheless, it is imperative to emphasise ethical data governance, ensuring compliance with GDPR to uphold trust among stakeholders.</w:t>
      </w:r>
    </w:p>
    <w:p w14:paraId="67F90757" w14:textId="77777777" w:rsidR="008910F3" w:rsidRPr="00727F2C" w:rsidRDefault="008910F3" w:rsidP="008910F3">
      <w:pPr>
        <w:rPr>
          <w:rFonts w:ascii="Arial" w:hAnsi="Arial" w:cs="Arial"/>
        </w:rPr>
      </w:pPr>
      <w:r w:rsidRPr="00AB3749">
        <w:rPr>
          <w:rFonts w:ascii="Arial" w:hAnsi="Arial" w:cs="Arial"/>
        </w:rPr>
        <w:t xml:space="preserve">The socio-technical method suggests that aligning new HR systems with social elements, such as collaboration and autonomy, ensures that technology serves to </w:t>
      </w:r>
      <w:r w:rsidRPr="00AB3749">
        <w:rPr>
          <w:rFonts w:ascii="Arial" w:hAnsi="Arial" w:cs="Arial"/>
        </w:rPr>
        <w:lastRenderedPageBreak/>
        <w:t>enhance rather than replace human interaction. For example, integrating digital communication tools with regular in-person meetings can help sustain emotional connections among team members.</w:t>
      </w:r>
    </w:p>
    <w:p w14:paraId="579B7FFA" w14:textId="77777777" w:rsidR="008910F3" w:rsidRPr="00727F2C" w:rsidRDefault="008910F3" w:rsidP="008910F3">
      <w:pPr>
        <w:rPr>
          <w:rFonts w:ascii="Arial" w:hAnsi="Arial" w:cs="Arial"/>
        </w:rPr>
      </w:pPr>
      <w:r w:rsidRPr="00AB3749">
        <w:rPr>
          <w:rFonts w:ascii="Arial" w:hAnsi="Arial" w:cs="Arial"/>
        </w:rPr>
        <w:t>Additionally, employee self-service platforms (ESS) significantly improve autonomy and transparency by enabling employees to access their payslips, update personal information, or submit leave requests. Research conducted by Bondarouk and Brewster (2016) indicates that digital HRM enhances employee satisfaction when it fosters empowerment rather than exerting control.</w:t>
      </w:r>
    </w:p>
    <w:p w14:paraId="0869951E" w14:textId="77777777" w:rsidR="008910F3" w:rsidRPr="00AB3749" w:rsidRDefault="008910F3" w:rsidP="00CE404A">
      <w:pPr>
        <w:rPr>
          <w:rFonts w:ascii="Arial" w:hAnsi="Arial" w:cs="Arial"/>
        </w:rPr>
      </w:pPr>
    </w:p>
    <w:p w14:paraId="3ACFFF88" w14:textId="77777777" w:rsidR="00B777B2" w:rsidRPr="00727F2C" w:rsidRDefault="00B777B2" w:rsidP="00B777B2">
      <w:pPr>
        <w:rPr>
          <w:rFonts w:ascii="Arial" w:hAnsi="Arial" w:cs="Arial"/>
          <w:b/>
          <w:bCs/>
        </w:rPr>
      </w:pPr>
      <w:r w:rsidRPr="00727F2C">
        <w:rPr>
          <w:rFonts w:ascii="Arial" w:hAnsi="Arial" w:cs="Arial"/>
          <w:b/>
          <w:bCs/>
        </w:rPr>
        <w:t>Flexible Working Practices</w:t>
      </w:r>
    </w:p>
    <w:p w14:paraId="588AD913" w14:textId="77777777" w:rsidR="00B777B2" w:rsidRPr="00727F2C" w:rsidRDefault="00B777B2" w:rsidP="00B777B2">
      <w:pPr>
        <w:rPr>
          <w:rFonts w:ascii="Arial" w:hAnsi="Arial" w:cs="Arial"/>
        </w:rPr>
      </w:pPr>
    </w:p>
    <w:p w14:paraId="61B6917B" w14:textId="77777777" w:rsidR="00B777B2" w:rsidRPr="00727F2C" w:rsidRDefault="00B777B2" w:rsidP="00B777B2">
      <w:pPr>
        <w:rPr>
          <w:rFonts w:ascii="Arial" w:hAnsi="Arial" w:cs="Arial"/>
        </w:rPr>
      </w:pPr>
      <w:r w:rsidRPr="00AB3749">
        <w:rPr>
          <w:rFonts w:ascii="Arial" w:hAnsi="Arial" w:cs="Arial"/>
        </w:rPr>
        <w:t>Modern HR strategies regarding flexible working should highlight consistency and procedural equity. A well-defined flexible working policy, detailing eligibility criteria, timelines, and appeal processes, is essential. Training line managers to process requests impartially mitigates the potential for bias and legal conflicts.</w:t>
      </w:r>
    </w:p>
    <w:p w14:paraId="33F804E2" w14:textId="77777777" w:rsidR="00B777B2" w:rsidRPr="00727F2C" w:rsidRDefault="00B777B2" w:rsidP="00B777B2">
      <w:pPr>
        <w:rPr>
          <w:rFonts w:ascii="Arial" w:hAnsi="Arial" w:cs="Arial"/>
        </w:rPr>
      </w:pPr>
      <w:r w:rsidRPr="00AB3749">
        <w:rPr>
          <w:rFonts w:ascii="Arial" w:hAnsi="Arial" w:cs="Arial"/>
        </w:rPr>
        <w:t>Rota optimisation implementations can ensure fairness while maintaining operational compliance, enabling e-rostering systems to align availability with ratio demands. The Equity Theory supports the notion that transparent decision-making advances trust.</w:t>
      </w:r>
    </w:p>
    <w:p w14:paraId="4CE02CD7" w14:textId="77777777" w:rsidR="00B777B2" w:rsidRPr="00727F2C" w:rsidRDefault="00B777B2" w:rsidP="00B777B2">
      <w:pPr>
        <w:rPr>
          <w:rFonts w:ascii="Arial" w:hAnsi="Arial" w:cs="Arial"/>
        </w:rPr>
      </w:pPr>
      <w:r w:rsidRPr="00AB3749">
        <w:rPr>
          <w:rFonts w:ascii="Arial" w:hAnsi="Arial" w:cs="Arial"/>
        </w:rPr>
        <w:t>Job redesign and role flexibility can enhance work–life balance. The Job Crafting Model (</w:t>
      </w:r>
      <w:proofErr w:type="spellStart"/>
      <w:r w:rsidRPr="00AB3749">
        <w:rPr>
          <w:rFonts w:ascii="Arial" w:hAnsi="Arial" w:cs="Arial"/>
        </w:rPr>
        <w:t>Wrzesniewski</w:t>
      </w:r>
      <w:proofErr w:type="spellEnd"/>
      <w:r w:rsidRPr="00AB3749">
        <w:rPr>
          <w:rFonts w:ascii="Arial" w:hAnsi="Arial" w:cs="Arial"/>
        </w:rPr>
        <w:t xml:space="preserve"> &amp; Dutton, 2001) advocates for employees to modify tasks or relationships to boost satisfaction. For instance, room leaders could perform administrative duties remotely, facilitating limited hybrid flexibility.</w:t>
      </w:r>
    </w:p>
    <w:p w14:paraId="4F250CAC" w14:textId="77777777" w:rsidR="00B777B2" w:rsidRPr="00AB3749" w:rsidRDefault="00B777B2" w:rsidP="00B777B2">
      <w:pPr>
        <w:rPr>
          <w:rFonts w:ascii="Arial" w:hAnsi="Arial" w:cs="Arial"/>
        </w:rPr>
      </w:pPr>
      <w:r w:rsidRPr="00AB3749">
        <w:rPr>
          <w:rFonts w:ascii="Arial" w:hAnsi="Arial" w:cs="Arial"/>
        </w:rPr>
        <w:t>Furthermore, implementing family-friendly policies, such as phased returns from maternity leave and term-time contracts, corresponds with Herzberg’s motivators of recognition and achievement. Incorporating wellbeing initiatives, such as “mental health days” or peer support, further enhances commitment and diminishes grievances.</w:t>
      </w:r>
    </w:p>
    <w:p w14:paraId="5F6B84BC" w14:textId="77777777" w:rsidR="00B777B2" w:rsidRPr="00727F2C" w:rsidRDefault="00B777B2" w:rsidP="00CE404A">
      <w:pPr>
        <w:rPr>
          <w:rFonts w:ascii="Arial" w:hAnsi="Arial" w:cs="Arial"/>
        </w:rPr>
      </w:pPr>
    </w:p>
    <w:p w14:paraId="356382A1" w14:textId="77777777" w:rsidR="00F50B6D" w:rsidRPr="00AB3749" w:rsidRDefault="00F50B6D" w:rsidP="00F50B6D">
      <w:pPr>
        <w:pStyle w:val="ListParagraph"/>
        <w:rPr>
          <w:rFonts w:ascii="Arial" w:hAnsi="Arial" w:cs="Arial"/>
        </w:rPr>
      </w:pPr>
    </w:p>
    <w:p w14:paraId="51DF6D4B" w14:textId="6584ECEE" w:rsidR="00F50B6D" w:rsidRPr="00AB3749" w:rsidRDefault="00E65F64" w:rsidP="00E65F64">
      <w:pPr>
        <w:rPr>
          <w:rFonts w:ascii="Arial" w:hAnsi="Arial" w:cs="Arial"/>
          <w:b/>
          <w:bCs/>
        </w:rPr>
      </w:pPr>
      <w:r w:rsidRPr="00AB3749">
        <w:rPr>
          <w:rFonts w:ascii="Arial" w:hAnsi="Arial" w:cs="Arial"/>
          <w:b/>
          <w:bCs/>
        </w:rPr>
        <w:t xml:space="preserve">3. Practices </w:t>
      </w:r>
    </w:p>
    <w:p w14:paraId="4F2CEFC1" w14:textId="77777777" w:rsidR="00E65F64" w:rsidRPr="00AB3749" w:rsidRDefault="00E65F64" w:rsidP="00E65F64">
      <w:pPr>
        <w:rPr>
          <w:rFonts w:ascii="Arial" w:hAnsi="Arial" w:cs="Arial"/>
          <w:b/>
          <w:bCs/>
        </w:rPr>
      </w:pPr>
    </w:p>
    <w:p w14:paraId="51CB0FD9" w14:textId="6B52E0BF" w:rsidR="00375851" w:rsidRPr="00AB3749" w:rsidRDefault="00375851" w:rsidP="00375851">
      <w:pPr>
        <w:rPr>
          <w:rFonts w:ascii="Arial" w:hAnsi="Arial" w:cs="Arial"/>
        </w:rPr>
      </w:pPr>
      <w:r w:rsidRPr="00AB3749">
        <w:rPr>
          <w:rFonts w:ascii="Arial" w:hAnsi="Arial" w:cs="Arial"/>
        </w:rPr>
        <w:t xml:space="preserve">Managers play a pivotal role in converting HR strategy into actionable practices. The effective and prompt execution of these strategies relies on leadership skills, effective communication, and a sense of accountability. </w:t>
      </w:r>
    </w:p>
    <w:p w14:paraId="762BD843" w14:textId="77777777" w:rsidR="00375851" w:rsidRPr="00AB3749" w:rsidRDefault="00375851" w:rsidP="00375851">
      <w:pPr>
        <w:rPr>
          <w:rFonts w:ascii="Arial" w:hAnsi="Arial" w:cs="Arial"/>
        </w:rPr>
      </w:pPr>
    </w:p>
    <w:p w14:paraId="0B1479C7" w14:textId="77777777" w:rsidR="00375851" w:rsidRPr="00727F2C" w:rsidRDefault="00375851" w:rsidP="00375851">
      <w:pPr>
        <w:rPr>
          <w:rFonts w:ascii="Arial" w:hAnsi="Arial" w:cs="Arial"/>
          <w:b/>
          <w:bCs/>
        </w:rPr>
      </w:pPr>
      <w:r w:rsidRPr="00727F2C">
        <w:rPr>
          <w:rFonts w:ascii="Arial" w:hAnsi="Arial" w:cs="Arial"/>
          <w:b/>
          <w:bCs/>
        </w:rPr>
        <w:lastRenderedPageBreak/>
        <w:t>Leadership Styles and Change Readiness</w:t>
      </w:r>
    </w:p>
    <w:p w14:paraId="2B908F73" w14:textId="77777777" w:rsidR="00375851" w:rsidRPr="00727F2C" w:rsidRDefault="00375851" w:rsidP="00375851">
      <w:pPr>
        <w:rPr>
          <w:rFonts w:ascii="Arial" w:hAnsi="Arial" w:cs="Arial"/>
        </w:rPr>
      </w:pPr>
    </w:p>
    <w:p w14:paraId="63DC058B" w14:textId="77777777" w:rsidR="00375851" w:rsidRPr="00727F2C" w:rsidRDefault="00375851" w:rsidP="00375851">
      <w:pPr>
        <w:rPr>
          <w:rFonts w:ascii="Arial" w:hAnsi="Arial" w:cs="Arial"/>
        </w:rPr>
      </w:pPr>
      <w:r w:rsidRPr="00AB3749">
        <w:rPr>
          <w:rFonts w:ascii="Arial" w:hAnsi="Arial" w:cs="Arial"/>
        </w:rPr>
        <w:t>Transformational leadership (Bass, 1990) is essential during periods of organisational change. Such leaders motivate their teams, demonstrate positive behaviours, and offer personalised support, thereby alleviating fear and resistance. In contrast, transactional leadership, which emphasises adherence to rules, may maintain short-term stability but does not foster long-term commitment. Consequently, managers at Busy Bees should integrate transformational leadership with situational adaptability (Hersey and Blanchard,1982), modifying their approach according to the team's readiness and digital proficiency.</w:t>
      </w:r>
    </w:p>
    <w:p w14:paraId="0ACD8C60" w14:textId="77777777" w:rsidR="00375851" w:rsidRPr="00AB3749" w:rsidRDefault="00375851" w:rsidP="00375851">
      <w:pPr>
        <w:rPr>
          <w:rFonts w:ascii="Arial" w:hAnsi="Arial" w:cs="Arial"/>
        </w:rPr>
      </w:pPr>
      <w:r w:rsidRPr="00AB3749">
        <w:rPr>
          <w:rFonts w:ascii="Arial" w:hAnsi="Arial" w:cs="Arial"/>
        </w:rPr>
        <w:t>To ensure a sense of urgency, managers must "create a sense of necessity" (Kotter, 1996). This requires clear communication regarding the importance of the changes, connecting the transformation to the organisation's mission of delivering high-quality childcare. Regular team meetings, sharing success stories, and open Q&amp;A sessions can help maintain momentum.</w:t>
      </w:r>
    </w:p>
    <w:p w14:paraId="0AB6C27E" w14:textId="77777777" w:rsidR="00D84155" w:rsidRPr="00AB3749" w:rsidRDefault="00D84155" w:rsidP="00375851">
      <w:pPr>
        <w:rPr>
          <w:rFonts w:ascii="Arial" w:hAnsi="Arial" w:cs="Arial"/>
        </w:rPr>
      </w:pPr>
    </w:p>
    <w:p w14:paraId="4CA8A0E8" w14:textId="77777777" w:rsidR="00D84155" w:rsidRPr="00727F2C" w:rsidRDefault="00D84155" w:rsidP="00D84155">
      <w:pPr>
        <w:rPr>
          <w:rFonts w:ascii="Arial" w:hAnsi="Arial" w:cs="Arial"/>
          <w:b/>
          <w:bCs/>
        </w:rPr>
      </w:pPr>
      <w:r w:rsidRPr="00727F2C">
        <w:rPr>
          <w:rFonts w:ascii="Arial" w:hAnsi="Arial" w:cs="Arial"/>
          <w:b/>
          <w:bCs/>
        </w:rPr>
        <w:t>Evidence-Based Decision-Making</w:t>
      </w:r>
    </w:p>
    <w:p w14:paraId="7C31C263" w14:textId="77777777" w:rsidR="00D84155" w:rsidRPr="00727F2C" w:rsidRDefault="00D84155" w:rsidP="00D84155">
      <w:pPr>
        <w:rPr>
          <w:rFonts w:ascii="Arial" w:hAnsi="Arial" w:cs="Arial"/>
        </w:rPr>
      </w:pPr>
    </w:p>
    <w:p w14:paraId="1BFB5591" w14:textId="77777777" w:rsidR="00D84155" w:rsidRPr="00727F2C" w:rsidRDefault="00D84155" w:rsidP="00D84155">
      <w:pPr>
        <w:rPr>
          <w:rFonts w:ascii="Arial" w:hAnsi="Arial" w:cs="Arial"/>
        </w:rPr>
      </w:pPr>
      <w:r w:rsidRPr="00AB3749">
        <w:rPr>
          <w:rFonts w:ascii="Arial" w:hAnsi="Arial" w:cs="Arial"/>
        </w:rPr>
        <w:t xml:space="preserve">Managers need to utilise HR analytics and grievance data to determine the priority of interventions. Evidence-based HR (Briner, 2016) integrates data, professional knowledge, and stakeholder feedback to facilitate logical decision-making. For instance, examining trends in flexible working grievances may uncover specific issues at sites or inconsistencies in management practices. </w:t>
      </w:r>
    </w:p>
    <w:p w14:paraId="140E4A0F" w14:textId="77777777" w:rsidR="00D84155" w:rsidRPr="00AB3749" w:rsidRDefault="00D84155" w:rsidP="00D84155">
      <w:pPr>
        <w:rPr>
          <w:rFonts w:ascii="Arial" w:hAnsi="Arial" w:cs="Arial"/>
        </w:rPr>
      </w:pPr>
      <w:r w:rsidRPr="00AB3749">
        <w:rPr>
          <w:rFonts w:ascii="Arial" w:hAnsi="Arial" w:cs="Arial"/>
        </w:rPr>
        <w:t>Additionally, managers ought to implement the Balanced Scorecard (Kaplan &amp; Norton, 1992) to monitor four key areas: employee satisfaction, completion of training programs, rates of digital adoption, and overall operational performance. This measurable strategy creates accountability and ensures that HR metrics are aligned with organisational outcomes.</w:t>
      </w:r>
    </w:p>
    <w:p w14:paraId="44C6DAF5" w14:textId="77777777" w:rsidR="005A5B31" w:rsidRPr="00AB3749" w:rsidRDefault="005A5B31" w:rsidP="00D84155">
      <w:pPr>
        <w:rPr>
          <w:rFonts w:ascii="Arial" w:hAnsi="Arial" w:cs="Arial"/>
        </w:rPr>
      </w:pPr>
    </w:p>
    <w:p w14:paraId="0366A368" w14:textId="77777777" w:rsidR="005A5B31" w:rsidRPr="00AB3749" w:rsidRDefault="005A5B31" w:rsidP="005A5B31">
      <w:pPr>
        <w:rPr>
          <w:rFonts w:ascii="Arial" w:hAnsi="Arial" w:cs="Arial"/>
          <w:b/>
          <w:bCs/>
        </w:rPr>
      </w:pPr>
      <w:r w:rsidRPr="00727F2C">
        <w:rPr>
          <w:rFonts w:ascii="Arial" w:hAnsi="Arial" w:cs="Arial"/>
          <w:b/>
          <w:bCs/>
        </w:rPr>
        <w:t>Building a Supportive Implementation Climate</w:t>
      </w:r>
    </w:p>
    <w:p w14:paraId="13977C11" w14:textId="77777777" w:rsidR="005A5B31" w:rsidRPr="00727F2C" w:rsidRDefault="005A5B31" w:rsidP="005A5B31">
      <w:pPr>
        <w:rPr>
          <w:rFonts w:ascii="Arial" w:hAnsi="Arial" w:cs="Arial"/>
          <w:b/>
          <w:bCs/>
        </w:rPr>
      </w:pPr>
    </w:p>
    <w:p w14:paraId="357F4B44" w14:textId="77777777" w:rsidR="005A5B31" w:rsidRPr="00AB3749" w:rsidRDefault="005A5B31" w:rsidP="005A5B31">
      <w:pPr>
        <w:rPr>
          <w:rFonts w:ascii="Arial" w:hAnsi="Arial" w:cs="Arial"/>
        </w:rPr>
      </w:pPr>
      <w:r w:rsidRPr="00AB3749">
        <w:rPr>
          <w:rFonts w:ascii="Arial" w:hAnsi="Arial" w:cs="Arial"/>
        </w:rPr>
        <w:t>The necessity for prompt implementation hinges on a supportive environment founded on trust and psychological safety. It is essential to reaffirm the psychological contract, as employees ought to feel respected, well-informed, and treated equitably. Managers who neglect to recognise concerns regarding workload or well-being may inadvertently intensify grievances.</w:t>
      </w:r>
    </w:p>
    <w:p w14:paraId="6F772E01" w14:textId="77777777" w:rsidR="005A5B31" w:rsidRPr="00AB3749" w:rsidRDefault="005A5B31" w:rsidP="005A5B31">
      <w:pPr>
        <w:rPr>
          <w:rFonts w:ascii="Arial" w:hAnsi="Arial" w:cs="Arial"/>
        </w:rPr>
      </w:pPr>
      <w:r w:rsidRPr="00AB3749">
        <w:rPr>
          <w:rFonts w:ascii="Arial" w:hAnsi="Arial" w:cs="Arial"/>
        </w:rPr>
        <w:lastRenderedPageBreak/>
        <w:t>Coaching and mentoring serve as vital mechanisms. Leadership through coaching promotes reflection and autonomy (Whitmore, 2017). When managers adopt a coaching approach instead of a commanding one, employees are empowered to adjust to new technologies and work patterns.</w:t>
      </w:r>
    </w:p>
    <w:p w14:paraId="45B1D1D1" w14:textId="77777777" w:rsidR="00375851" w:rsidRPr="00AB3749" w:rsidRDefault="00375851" w:rsidP="00D84155">
      <w:pPr>
        <w:rPr>
          <w:rFonts w:ascii="Arial" w:hAnsi="Arial" w:cs="Arial"/>
        </w:rPr>
      </w:pPr>
    </w:p>
    <w:p w14:paraId="10AB5DDC" w14:textId="77777777" w:rsidR="00731652" w:rsidRPr="00727F2C" w:rsidRDefault="00731652" w:rsidP="00731652">
      <w:pPr>
        <w:rPr>
          <w:rFonts w:ascii="Arial" w:hAnsi="Arial" w:cs="Arial"/>
          <w:b/>
          <w:bCs/>
        </w:rPr>
      </w:pPr>
      <w:r w:rsidRPr="00727F2C">
        <w:rPr>
          <w:rFonts w:ascii="Arial" w:hAnsi="Arial" w:cs="Arial"/>
          <w:b/>
          <w:bCs/>
        </w:rPr>
        <w:t>Overcoming Barriers to Implementation</w:t>
      </w:r>
    </w:p>
    <w:p w14:paraId="193C7287" w14:textId="77777777" w:rsidR="00731652" w:rsidRPr="00727F2C" w:rsidRDefault="00731652" w:rsidP="00731652">
      <w:pPr>
        <w:rPr>
          <w:rFonts w:ascii="Arial" w:hAnsi="Arial" w:cs="Arial"/>
        </w:rPr>
      </w:pPr>
    </w:p>
    <w:p w14:paraId="3F0261F6" w14:textId="77777777" w:rsidR="00731652" w:rsidRPr="00727F2C" w:rsidRDefault="00731652" w:rsidP="00731652">
      <w:pPr>
        <w:rPr>
          <w:rFonts w:ascii="Arial" w:hAnsi="Arial" w:cs="Arial"/>
        </w:rPr>
      </w:pPr>
      <w:r w:rsidRPr="00AB3749">
        <w:rPr>
          <w:rFonts w:ascii="Arial" w:hAnsi="Arial" w:cs="Arial"/>
        </w:rPr>
        <w:t>Common obstacles consist of resistance to change, time constraints, and varying levels of managerial competence. To address these issues, HR should offer change management training, encourage the formation of communities of practice for cross-site learning, and streamline administrative processes to allow managers more time.</w:t>
      </w:r>
    </w:p>
    <w:p w14:paraId="5974E7B1" w14:textId="77777777" w:rsidR="00731652" w:rsidRPr="00727F2C" w:rsidRDefault="00731652" w:rsidP="00731652">
      <w:pPr>
        <w:rPr>
          <w:rFonts w:ascii="Arial" w:hAnsi="Arial" w:cs="Arial"/>
        </w:rPr>
      </w:pPr>
      <w:r w:rsidRPr="00AB3749">
        <w:rPr>
          <w:rFonts w:ascii="Arial" w:hAnsi="Arial" w:cs="Arial"/>
        </w:rPr>
        <w:t>Ultimately, managers need to exemplify fairness in their flexible working decisions. By documenting the rationale behind decisions and engaging in open discussions, both employees and the organisation are legally safeguarded. The Equity Theory (Adams, 1963) supports this concept, perceived fairness enhances cooperation and compliance.</w:t>
      </w:r>
    </w:p>
    <w:p w14:paraId="74E95C85" w14:textId="77777777" w:rsidR="00731652" w:rsidRPr="00AB3749" w:rsidRDefault="00731652" w:rsidP="00731652">
      <w:pPr>
        <w:rPr>
          <w:rFonts w:ascii="Arial" w:hAnsi="Arial" w:cs="Arial"/>
        </w:rPr>
      </w:pPr>
      <w:r w:rsidRPr="00AB3749">
        <w:rPr>
          <w:rFonts w:ascii="Arial" w:hAnsi="Arial" w:cs="Arial"/>
        </w:rPr>
        <w:t>In conclusion, effective leadership, evidence-based management, and ethical consistency are crucial for the urgent yet sustainable implementation of new HR practices.</w:t>
      </w:r>
    </w:p>
    <w:p w14:paraId="30624414" w14:textId="77777777" w:rsidR="00731652" w:rsidRPr="00AB3749" w:rsidRDefault="00731652" w:rsidP="00AB3749">
      <w:pPr>
        <w:rPr>
          <w:rFonts w:ascii="Arial" w:hAnsi="Arial" w:cs="Arial"/>
        </w:rPr>
      </w:pPr>
    </w:p>
    <w:p w14:paraId="79FFAECA" w14:textId="344178E2" w:rsidR="00731652" w:rsidRPr="00727F2C" w:rsidRDefault="00752609" w:rsidP="00731652">
      <w:pPr>
        <w:rPr>
          <w:rFonts w:ascii="Arial" w:hAnsi="Arial" w:cs="Arial"/>
          <w:b/>
          <w:bCs/>
        </w:rPr>
      </w:pPr>
      <w:r w:rsidRPr="00AB3749">
        <w:rPr>
          <w:rFonts w:ascii="Arial" w:hAnsi="Arial" w:cs="Arial"/>
          <w:b/>
          <w:bCs/>
        </w:rPr>
        <w:t xml:space="preserve">4. </w:t>
      </w:r>
      <w:r w:rsidR="00731652" w:rsidRPr="00727F2C">
        <w:rPr>
          <w:rFonts w:ascii="Arial" w:hAnsi="Arial" w:cs="Arial"/>
          <w:b/>
          <w:bCs/>
        </w:rPr>
        <w:t>Conclusion</w:t>
      </w:r>
    </w:p>
    <w:p w14:paraId="60E17B35" w14:textId="77777777" w:rsidR="00731652" w:rsidRPr="00727F2C" w:rsidRDefault="00731652" w:rsidP="00731652">
      <w:pPr>
        <w:rPr>
          <w:rFonts w:ascii="Arial" w:hAnsi="Arial" w:cs="Arial"/>
        </w:rPr>
      </w:pPr>
    </w:p>
    <w:p w14:paraId="45409BF6" w14:textId="77777777" w:rsidR="00731652" w:rsidRPr="00727F2C" w:rsidRDefault="00731652" w:rsidP="00731652">
      <w:pPr>
        <w:rPr>
          <w:rFonts w:ascii="Arial" w:hAnsi="Arial" w:cs="Arial"/>
        </w:rPr>
      </w:pPr>
      <w:r w:rsidRPr="00AB3749">
        <w:rPr>
          <w:rFonts w:ascii="Arial" w:hAnsi="Arial" w:cs="Arial"/>
        </w:rPr>
        <w:t>Busy Bees is confronted with considerable challenges stemming from organisational transformation, digitalisation, and the demands for flexible working. These elements have intensified employee grievances due to uncertainty, inconsistent management practices, and skill deficiencies. Theoretical frameworks, such as Lewin’s Change Model, the JD-R framework, and the Technology Acceptance Model, explain how structural changes, digital anxiety, and workload pressures can collectively undermine trust and engagement.</w:t>
      </w:r>
    </w:p>
    <w:p w14:paraId="5AAC01EF" w14:textId="77777777" w:rsidR="00731652" w:rsidRPr="00AB3749" w:rsidRDefault="00731652" w:rsidP="00731652">
      <w:pPr>
        <w:rPr>
          <w:rFonts w:ascii="Arial" w:hAnsi="Arial" w:cs="Arial"/>
        </w:rPr>
      </w:pPr>
      <w:r w:rsidRPr="00AB3749">
        <w:rPr>
          <w:rFonts w:ascii="Arial" w:hAnsi="Arial" w:cs="Arial"/>
        </w:rPr>
        <w:t>Modern HR practices, such as change communication, wellbeing initiatives, digital capability enhancement, and equitable flexible working frameworks, provide viable solutions. Nevertheless, in the absence of effective managerial leadership and evidence-based implementation, these initiatives may face stagnation. Therefore, a cultural shift towards transformational and coaching leadership, bolstered by HR analytics and transparent processes, is imperative.</w:t>
      </w:r>
    </w:p>
    <w:p w14:paraId="0FBA529B" w14:textId="77777777" w:rsidR="00731652" w:rsidRPr="00AB3749" w:rsidRDefault="00731652" w:rsidP="00DE745C">
      <w:pPr>
        <w:rPr>
          <w:rFonts w:ascii="Arial" w:hAnsi="Arial" w:cs="Arial"/>
        </w:rPr>
      </w:pPr>
    </w:p>
    <w:p w14:paraId="3DC931ED" w14:textId="288AADD8" w:rsidR="00DE745C" w:rsidRPr="00727F2C" w:rsidRDefault="00752609" w:rsidP="00DE745C">
      <w:pPr>
        <w:rPr>
          <w:rFonts w:ascii="Arial" w:hAnsi="Arial" w:cs="Arial"/>
          <w:b/>
          <w:bCs/>
        </w:rPr>
      </w:pPr>
      <w:r w:rsidRPr="00AB3749">
        <w:rPr>
          <w:rFonts w:ascii="Arial" w:hAnsi="Arial" w:cs="Arial"/>
          <w:b/>
          <w:bCs/>
        </w:rPr>
        <w:t xml:space="preserve">5. </w:t>
      </w:r>
      <w:r w:rsidR="00DE745C" w:rsidRPr="00727F2C">
        <w:rPr>
          <w:rFonts w:ascii="Arial" w:hAnsi="Arial" w:cs="Arial"/>
          <w:b/>
          <w:bCs/>
        </w:rPr>
        <w:t>Recommendations</w:t>
      </w:r>
    </w:p>
    <w:p w14:paraId="6A8D2F81" w14:textId="77777777" w:rsidR="00DE745C" w:rsidRPr="00727F2C" w:rsidRDefault="00DE745C" w:rsidP="00DE745C">
      <w:pPr>
        <w:rPr>
          <w:rFonts w:ascii="Arial" w:hAnsi="Arial" w:cs="Arial"/>
        </w:rPr>
      </w:pPr>
    </w:p>
    <w:p w14:paraId="456462F8" w14:textId="77777777" w:rsidR="00DE745C" w:rsidRPr="00727F2C" w:rsidRDefault="00DE745C" w:rsidP="00DE745C">
      <w:pPr>
        <w:rPr>
          <w:rFonts w:ascii="Arial" w:hAnsi="Arial" w:cs="Arial"/>
        </w:rPr>
      </w:pPr>
      <w:r w:rsidRPr="00AB3749">
        <w:rPr>
          <w:rFonts w:ascii="Arial" w:hAnsi="Arial" w:cs="Arial"/>
        </w:rPr>
        <w:t>1. Establish structured change management protocols informed by Lewin (1951) and Kotter (1996) throughout all nurseries to ensure stability during transformation.</w:t>
      </w:r>
    </w:p>
    <w:p w14:paraId="3735AEA5" w14:textId="77777777" w:rsidR="00DE745C" w:rsidRPr="00AB3749" w:rsidRDefault="00DE745C" w:rsidP="00DE745C">
      <w:pPr>
        <w:rPr>
          <w:rFonts w:ascii="Arial" w:hAnsi="Arial" w:cs="Arial"/>
        </w:rPr>
      </w:pPr>
    </w:p>
    <w:p w14:paraId="2179AEA9" w14:textId="77777777" w:rsidR="00DE745C" w:rsidRPr="00727F2C" w:rsidRDefault="00DE745C" w:rsidP="00DE745C">
      <w:pPr>
        <w:rPr>
          <w:rFonts w:ascii="Arial" w:hAnsi="Arial" w:cs="Arial"/>
        </w:rPr>
      </w:pPr>
      <w:r w:rsidRPr="00AB3749">
        <w:rPr>
          <w:rFonts w:ascii="Arial" w:hAnsi="Arial" w:cs="Arial"/>
        </w:rPr>
        <w:t xml:space="preserve">2. Initiate a digital capability programme that aligns with </w:t>
      </w:r>
      <w:proofErr w:type="spellStart"/>
      <w:r w:rsidRPr="00AB3749">
        <w:rPr>
          <w:rFonts w:ascii="Arial" w:hAnsi="Arial" w:cs="Arial"/>
        </w:rPr>
        <w:t>Davis’</w:t>
      </w:r>
      <w:proofErr w:type="spellEnd"/>
      <w:r w:rsidRPr="00AB3749">
        <w:rPr>
          <w:rFonts w:ascii="Arial" w:hAnsi="Arial" w:cs="Arial"/>
        </w:rPr>
        <w:t xml:space="preserve"> (1989) Technology Acceptance Model, bolstered by the presence of "digital champions" in every branch. </w:t>
      </w:r>
    </w:p>
    <w:p w14:paraId="542E3E25" w14:textId="77777777" w:rsidR="00DE745C" w:rsidRPr="00727F2C" w:rsidRDefault="00DE745C" w:rsidP="00DE745C">
      <w:pPr>
        <w:rPr>
          <w:rFonts w:ascii="Arial" w:hAnsi="Arial" w:cs="Arial"/>
        </w:rPr>
      </w:pPr>
    </w:p>
    <w:p w14:paraId="0D12E67D" w14:textId="77777777" w:rsidR="00DE745C" w:rsidRPr="00727F2C" w:rsidRDefault="00DE745C" w:rsidP="00DE745C">
      <w:pPr>
        <w:rPr>
          <w:rFonts w:ascii="Arial" w:hAnsi="Arial" w:cs="Arial"/>
        </w:rPr>
      </w:pPr>
      <w:r w:rsidRPr="00AB3749">
        <w:rPr>
          <w:rFonts w:ascii="Arial" w:hAnsi="Arial" w:cs="Arial"/>
        </w:rPr>
        <w:t xml:space="preserve">3. Create a transparent and flexible working policy that follows the 2024 Regulations, guided by Adams’ Equity Theory. </w:t>
      </w:r>
    </w:p>
    <w:p w14:paraId="2921031B" w14:textId="77777777" w:rsidR="00DE745C" w:rsidRPr="00727F2C" w:rsidRDefault="00DE745C" w:rsidP="00DE745C">
      <w:pPr>
        <w:rPr>
          <w:rFonts w:ascii="Arial" w:hAnsi="Arial" w:cs="Arial"/>
        </w:rPr>
      </w:pPr>
    </w:p>
    <w:p w14:paraId="7280F766" w14:textId="77777777" w:rsidR="00DE745C" w:rsidRPr="00727F2C" w:rsidRDefault="00DE745C" w:rsidP="00DE745C">
      <w:pPr>
        <w:rPr>
          <w:rFonts w:ascii="Arial" w:hAnsi="Arial" w:cs="Arial"/>
        </w:rPr>
      </w:pPr>
      <w:r w:rsidRPr="00AB3749">
        <w:rPr>
          <w:rFonts w:ascii="Arial" w:hAnsi="Arial" w:cs="Arial"/>
        </w:rPr>
        <w:t xml:space="preserve">4. Implement the CIPD Good Work Framework to integrate well-being, fairness, and employee voice into everyday practices. </w:t>
      </w:r>
    </w:p>
    <w:p w14:paraId="58A00707" w14:textId="77777777" w:rsidR="00DE745C" w:rsidRPr="00727F2C" w:rsidRDefault="00DE745C" w:rsidP="00DE745C">
      <w:pPr>
        <w:rPr>
          <w:rFonts w:ascii="Arial" w:hAnsi="Arial" w:cs="Arial"/>
        </w:rPr>
      </w:pPr>
    </w:p>
    <w:p w14:paraId="0E3A84DE" w14:textId="77777777" w:rsidR="00DE745C" w:rsidRPr="00727F2C" w:rsidRDefault="00DE745C" w:rsidP="00DE745C">
      <w:pPr>
        <w:rPr>
          <w:rFonts w:ascii="Arial" w:hAnsi="Arial" w:cs="Arial"/>
        </w:rPr>
      </w:pPr>
      <w:r w:rsidRPr="00AB3749">
        <w:rPr>
          <w:rFonts w:ascii="Arial" w:hAnsi="Arial" w:cs="Arial"/>
        </w:rPr>
        <w:t>5. Develop a Balanced Tally system to evaluate staff satisfaction, decrease grievances, and promote the adoption of HR systems.</w:t>
      </w:r>
    </w:p>
    <w:p w14:paraId="7607ECA5" w14:textId="77777777" w:rsidR="00DE745C" w:rsidRPr="00727F2C" w:rsidRDefault="00DE745C" w:rsidP="00DE745C">
      <w:pPr>
        <w:rPr>
          <w:rFonts w:ascii="Arial" w:hAnsi="Arial" w:cs="Arial"/>
        </w:rPr>
      </w:pPr>
    </w:p>
    <w:p w14:paraId="290E7865" w14:textId="77777777" w:rsidR="00DE745C" w:rsidRPr="00727F2C" w:rsidRDefault="00DE745C" w:rsidP="00DE745C">
      <w:pPr>
        <w:rPr>
          <w:rFonts w:ascii="Arial" w:hAnsi="Arial" w:cs="Arial"/>
        </w:rPr>
      </w:pPr>
      <w:r w:rsidRPr="00AB3749">
        <w:rPr>
          <w:rFonts w:ascii="Arial" w:hAnsi="Arial" w:cs="Arial"/>
        </w:rPr>
        <w:t xml:space="preserve">6. Provide training for managers in transformational and coaching leadership, ensuring it aligns with the situational principles of Hersey and Blanchard. </w:t>
      </w:r>
    </w:p>
    <w:p w14:paraId="2B2D774F" w14:textId="77777777" w:rsidR="00DE745C" w:rsidRPr="00727F2C" w:rsidRDefault="00DE745C" w:rsidP="00DE745C">
      <w:pPr>
        <w:rPr>
          <w:rFonts w:ascii="Arial" w:hAnsi="Arial" w:cs="Arial"/>
        </w:rPr>
      </w:pPr>
    </w:p>
    <w:p w14:paraId="0A46E985" w14:textId="77777777" w:rsidR="00DE745C" w:rsidRPr="00AB3749" w:rsidRDefault="00DE745C" w:rsidP="00DE745C">
      <w:pPr>
        <w:rPr>
          <w:rFonts w:ascii="Arial" w:hAnsi="Arial" w:cs="Arial"/>
        </w:rPr>
      </w:pPr>
      <w:r w:rsidRPr="00AB3749">
        <w:rPr>
          <w:rFonts w:ascii="Arial" w:hAnsi="Arial" w:cs="Arial"/>
        </w:rPr>
        <w:t xml:space="preserve">7. Strengthen the psychological contract by enhancing communication, recognition, and fairness. </w:t>
      </w:r>
    </w:p>
    <w:p w14:paraId="2BB7766B" w14:textId="77777777" w:rsidR="00DE745C" w:rsidRPr="00727F2C" w:rsidRDefault="00DE745C" w:rsidP="00DE745C">
      <w:pPr>
        <w:rPr>
          <w:rFonts w:ascii="Arial" w:hAnsi="Arial" w:cs="Arial"/>
        </w:rPr>
      </w:pPr>
    </w:p>
    <w:p w14:paraId="5D79424C" w14:textId="77777777" w:rsidR="00DE745C" w:rsidRPr="00AB3749" w:rsidRDefault="00DE745C" w:rsidP="00DE745C">
      <w:pPr>
        <w:rPr>
          <w:rFonts w:ascii="Arial" w:hAnsi="Arial" w:cs="Arial"/>
        </w:rPr>
      </w:pPr>
      <w:r w:rsidRPr="00AB3749">
        <w:rPr>
          <w:rFonts w:ascii="Arial" w:hAnsi="Arial" w:cs="Arial"/>
        </w:rPr>
        <w:t xml:space="preserve">8. Establish cross-site communities of practice to facilitate knowledge sharing and ongoing improvement. </w:t>
      </w:r>
    </w:p>
    <w:p w14:paraId="2C2E4074" w14:textId="77777777" w:rsidR="00DE745C" w:rsidRPr="00727F2C" w:rsidRDefault="00DE745C" w:rsidP="00DE745C">
      <w:pPr>
        <w:rPr>
          <w:rFonts w:ascii="Arial" w:hAnsi="Arial" w:cs="Arial"/>
        </w:rPr>
      </w:pPr>
    </w:p>
    <w:p w14:paraId="0FF1332E" w14:textId="056B6D99" w:rsidR="00DE745C" w:rsidRPr="00AB3749" w:rsidRDefault="00DE745C" w:rsidP="00DE745C">
      <w:pPr>
        <w:rPr>
          <w:rFonts w:ascii="Arial" w:hAnsi="Arial" w:cs="Arial"/>
        </w:rPr>
      </w:pPr>
      <w:r w:rsidRPr="00AB3749">
        <w:rPr>
          <w:rFonts w:ascii="Arial" w:hAnsi="Arial" w:cs="Arial"/>
        </w:rPr>
        <w:t>Implementing these recommendations, Busy Bees can mitigate grievances, improve retention, and cultivate a resilient workforce ready for future transformations.</w:t>
      </w:r>
    </w:p>
    <w:p w14:paraId="3D7B49C0" w14:textId="77777777" w:rsidR="00DE745C" w:rsidRPr="00DE745C" w:rsidRDefault="00DE745C" w:rsidP="00DE745C">
      <w:pPr>
        <w:rPr>
          <w:rFonts w:ascii="Arial" w:hAnsi="Arial" w:cs="Arial"/>
        </w:rPr>
      </w:pPr>
    </w:p>
    <w:sectPr w:rsidR="00DE745C" w:rsidRPr="00DE745C" w:rsidSect="00936AD9">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68AD0" w14:textId="77777777" w:rsidR="009A37EF" w:rsidRDefault="009A37EF" w:rsidP="00752609">
      <w:pPr>
        <w:spacing w:after="0" w:line="240" w:lineRule="auto"/>
      </w:pPr>
      <w:r>
        <w:separator/>
      </w:r>
    </w:p>
  </w:endnote>
  <w:endnote w:type="continuationSeparator" w:id="0">
    <w:p w14:paraId="0937BBD1" w14:textId="77777777" w:rsidR="009A37EF" w:rsidRDefault="009A37EF" w:rsidP="00752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93998"/>
      <w:docPartObj>
        <w:docPartGallery w:val="Page Numbers (Bottom of Page)"/>
        <w:docPartUnique/>
      </w:docPartObj>
    </w:sdtPr>
    <w:sdtContent>
      <w:p w14:paraId="39422C3E" w14:textId="58670C62" w:rsidR="00752609" w:rsidRDefault="00752609">
        <w:pPr>
          <w:pStyle w:val="Footer"/>
          <w:jc w:val="right"/>
        </w:pPr>
        <w:r>
          <w:fldChar w:fldCharType="begin"/>
        </w:r>
        <w:r>
          <w:instrText>PAGE   \* MERGEFORMAT</w:instrText>
        </w:r>
        <w:r>
          <w:fldChar w:fldCharType="separate"/>
        </w:r>
        <w:r>
          <w:t>2</w:t>
        </w:r>
        <w:r>
          <w:fldChar w:fldCharType="end"/>
        </w:r>
      </w:p>
    </w:sdtContent>
  </w:sdt>
  <w:p w14:paraId="76F45B8D" w14:textId="77777777" w:rsidR="00752609" w:rsidRDefault="00752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C7D60" w14:textId="77777777" w:rsidR="009A37EF" w:rsidRDefault="009A37EF" w:rsidP="00752609">
      <w:pPr>
        <w:spacing w:after="0" w:line="240" w:lineRule="auto"/>
      </w:pPr>
      <w:r>
        <w:separator/>
      </w:r>
    </w:p>
  </w:footnote>
  <w:footnote w:type="continuationSeparator" w:id="0">
    <w:p w14:paraId="62620599" w14:textId="77777777" w:rsidR="009A37EF" w:rsidRDefault="009A37EF" w:rsidP="00752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8525F"/>
    <w:multiLevelType w:val="hybridMultilevel"/>
    <w:tmpl w:val="A596188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58D7C04"/>
    <w:multiLevelType w:val="hybridMultilevel"/>
    <w:tmpl w:val="92AC5E2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5A3E73"/>
    <w:multiLevelType w:val="hybridMultilevel"/>
    <w:tmpl w:val="EEC21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FA7234"/>
    <w:multiLevelType w:val="hybridMultilevel"/>
    <w:tmpl w:val="3806CE7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6D20DEB"/>
    <w:multiLevelType w:val="hybridMultilevel"/>
    <w:tmpl w:val="C69AA05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786217"/>
    <w:multiLevelType w:val="hybridMultilevel"/>
    <w:tmpl w:val="99DAE57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63F31B6"/>
    <w:multiLevelType w:val="hybridMultilevel"/>
    <w:tmpl w:val="F202ED5E"/>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8F2961"/>
    <w:multiLevelType w:val="hybridMultilevel"/>
    <w:tmpl w:val="610458AE"/>
    <w:lvl w:ilvl="0" w:tplc="0809000B">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8" w15:restartNumberingAfterBreak="0">
    <w:nsid w:val="652A4A1B"/>
    <w:multiLevelType w:val="hybridMultilevel"/>
    <w:tmpl w:val="47E0BC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317B57"/>
    <w:multiLevelType w:val="hybridMultilevel"/>
    <w:tmpl w:val="736218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0179904">
    <w:abstractNumId w:val="4"/>
  </w:num>
  <w:num w:numId="2" w16cid:durableId="448204885">
    <w:abstractNumId w:val="6"/>
  </w:num>
  <w:num w:numId="3" w16cid:durableId="987589275">
    <w:abstractNumId w:val="0"/>
  </w:num>
  <w:num w:numId="4" w16cid:durableId="762844452">
    <w:abstractNumId w:val="5"/>
  </w:num>
  <w:num w:numId="5" w16cid:durableId="924151857">
    <w:abstractNumId w:val="8"/>
  </w:num>
  <w:num w:numId="6" w16cid:durableId="279920793">
    <w:abstractNumId w:val="2"/>
  </w:num>
  <w:num w:numId="7" w16cid:durableId="1598908858">
    <w:abstractNumId w:val="7"/>
  </w:num>
  <w:num w:numId="8" w16cid:durableId="1451583387">
    <w:abstractNumId w:val="9"/>
  </w:num>
  <w:num w:numId="9" w16cid:durableId="837310273">
    <w:abstractNumId w:val="3"/>
  </w:num>
  <w:num w:numId="10" w16cid:durableId="814881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AD9"/>
    <w:rsid w:val="00120AE2"/>
    <w:rsid w:val="00150A03"/>
    <w:rsid w:val="00160071"/>
    <w:rsid w:val="00241626"/>
    <w:rsid w:val="00307670"/>
    <w:rsid w:val="00375851"/>
    <w:rsid w:val="005A5B31"/>
    <w:rsid w:val="005C215D"/>
    <w:rsid w:val="00731652"/>
    <w:rsid w:val="00752609"/>
    <w:rsid w:val="007E4982"/>
    <w:rsid w:val="008910F3"/>
    <w:rsid w:val="008E1E10"/>
    <w:rsid w:val="00936AD9"/>
    <w:rsid w:val="009A37EF"/>
    <w:rsid w:val="00AB3749"/>
    <w:rsid w:val="00B777B2"/>
    <w:rsid w:val="00BA1217"/>
    <w:rsid w:val="00CE404A"/>
    <w:rsid w:val="00D84155"/>
    <w:rsid w:val="00DE745C"/>
    <w:rsid w:val="00E65F64"/>
    <w:rsid w:val="00E775E0"/>
    <w:rsid w:val="00EB6488"/>
    <w:rsid w:val="00F50B6D"/>
    <w:rsid w:val="00FA5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3E25F"/>
  <w15:chartTrackingRefBased/>
  <w15:docId w15:val="{CF8B9DE5-DE66-43DE-9978-B596DA21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A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6A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6A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6A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6A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6A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6A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6A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6A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A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6A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6A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6A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6A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6A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6A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6A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6AD9"/>
    <w:rPr>
      <w:rFonts w:eastAsiaTheme="majorEastAsia" w:cstheme="majorBidi"/>
      <w:color w:val="272727" w:themeColor="text1" w:themeTint="D8"/>
    </w:rPr>
  </w:style>
  <w:style w:type="paragraph" w:styleId="Title">
    <w:name w:val="Title"/>
    <w:basedOn w:val="Normal"/>
    <w:next w:val="Normal"/>
    <w:link w:val="TitleChar"/>
    <w:uiPriority w:val="10"/>
    <w:qFormat/>
    <w:rsid w:val="00936A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A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6A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6A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6AD9"/>
    <w:pPr>
      <w:spacing w:before="160"/>
      <w:jc w:val="center"/>
    </w:pPr>
    <w:rPr>
      <w:i/>
      <w:iCs/>
      <w:color w:val="404040" w:themeColor="text1" w:themeTint="BF"/>
    </w:rPr>
  </w:style>
  <w:style w:type="character" w:customStyle="1" w:styleId="QuoteChar">
    <w:name w:val="Quote Char"/>
    <w:basedOn w:val="DefaultParagraphFont"/>
    <w:link w:val="Quote"/>
    <w:uiPriority w:val="29"/>
    <w:rsid w:val="00936AD9"/>
    <w:rPr>
      <w:i/>
      <w:iCs/>
      <w:color w:val="404040" w:themeColor="text1" w:themeTint="BF"/>
    </w:rPr>
  </w:style>
  <w:style w:type="paragraph" w:styleId="ListParagraph">
    <w:name w:val="List Paragraph"/>
    <w:basedOn w:val="Normal"/>
    <w:uiPriority w:val="34"/>
    <w:qFormat/>
    <w:rsid w:val="00936AD9"/>
    <w:pPr>
      <w:ind w:left="720"/>
      <w:contextualSpacing/>
    </w:pPr>
  </w:style>
  <w:style w:type="character" w:styleId="IntenseEmphasis">
    <w:name w:val="Intense Emphasis"/>
    <w:basedOn w:val="DefaultParagraphFont"/>
    <w:uiPriority w:val="21"/>
    <w:qFormat/>
    <w:rsid w:val="00936AD9"/>
    <w:rPr>
      <w:i/>
      <w:iCs/>
      <w:color w:val="0F4761" w:themeColor="accent1" w:themeShade="BF"/>
    </w:rPr>
  </w:style>
  <w:style w:type="paragraph" w:styleId="IntenseQuote">
    <w:name w:val="Intense Quote"/>
    <w:basedOn w:val="Normal"/>
    <w:next w:val="Normal"/>
    <w:link w:val="IntenseQuoteChar"/>
    <w:uiPriority w:val="30"/>
    <w:qFormat/>
    <w:rsid w:val="00936A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6AD9"/>
    <w:rPr>
      <w:i/>
      <w:iCs/>
      <w:color w:val="0F4761" w:themeColor="accent1" w:themeShade="BF"/>
    </w:rPr>
  </w:style>
  <w:style w:type="character" w:styleId="IntenseReference">
    <w:name w:val="Intense Reference"/>
    <w:basedOn w:val="DefaultParagraphFont"/>
    <w:uiPriority w:val="32"/>
    <w:qFormat/>
    <w:rsid w:val="00936AD9"/>
    <w:rPr>
      <w:b/>
      <w:bCs/>
      <w:smallCaps/>
      <w:color w:val="0F4761" w:themeColor="accent1" w:themeShade="BF"/>
      <w:spacing w:val="5"/>
    </w:rPr>
  </w:style>
  <w:style w:type="paragraph" w:styleId="NoSpacing">
    <w:name w:val="No Spacing"/>
    <w:link w:val="NoSpacingChar"/>
    <w:uiPriority w:val="1"/>
    <w:qFormat/>
    <w:rsid w:val="00936AD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36AD9"/>
    <w:rPr>
      <w:rFonts w:eastAsiaTheme="minorEastAsia"/>
      <w:kern w:val="0"/>
      <w:sz w:val="22"/>
      <w:szCs w:val="22"/>
      <w:lang w:eastAsia="en-GB"/>
      <w14:ligatures w14:val="none"/>
    </w:rPr>
  </w:style>
  <w:style w:type="paragraph" w:styleId="Header">
    <w:name w:val="header"/>
    <w:basedOn w:val="Normal"/>
    <w:link w:val="HeaderChar"/>
    <w:uiPriority w:val="99"/>
    <w:unhideWhenUsed/>
    <w:rsid w:val="00752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609"/>
  </w:style>
  <w:style w:type="paragraph" w:styleId="Footer">
    <w:name w:val="footer"/>
    <w:basedOn w:val="Normal"/>
    <w:link w:val="FooterChar"/>
    <w:uiPriority w:val="99"/>
    <w:unhideWhenUsed/>
    <w:rsid w:val="00752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815</TotalTime>
  <Pages>10</Pages>
  <Words>2664</Words>
  <Characters>15189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BA (HONS) LEADERSHIP AND MANAGEMENT SKILLS FOR THE WORKPLACE.</vt:lpstr>
    </vt:vector>
  </TitlesOfParts>
  <Company/>
  <LinksUpToDate>false</LinksUpToDate>
  <CharactersWithSpaces>17818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LEADERSHIP AND MANAGEMENT SKILLS FOR THE WORKPLACE.</dc:title>
  <dc:subject/>
  <dc:creator>student</dc:creator>
  <cp:keywords/>
  <dc:description/>
  <cp:lastModifiedBy>Sara Watson (2331412)</cp:lastModifiedBy>
  <cp:revision>2</cp:revision>
  <dcterms:created xsi:type="dcterms:W3CDTF">2025-12-02T00:05:00Z</dcterms:created>
  <dcterms:modified xsi:type="dcterms:W3CDTF">2025-12-03T01:15:00Z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d7d0817b-d322-436a-a6d8-14db203c7d93</vt:lpwstr>
  </property>
</Properties>
</file>