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7AB222" w14:textId="5F4D2F5F" w:rsidR="002578C6" w:rsidRPr="002578C6" w:rsidRDefault="002578C6" w:rsidP="002578C6">
      <w:pPr>
        <w:jc w:val="center"/>
        <w:rPr>
          <w:rFonts w:ascii="Arial" w:hAnsi="Arial" w:cs="Arial"/>
          <w:b/>
          <w:lang w:val="en-GB"/>
        </w:rPr>
      </w:pPr>
      <w:r w:rsidRPr="002578C6">
        <w:rPr>
          <w:rFonts w:ascii="Arial" w:hAnsi="Arial" w:cs="Arial"/>
          <w:b/>
          <w:lang w:val="en-GB"/>
        </w:rPr>
        <w:drawing>
          <wp:inline distT="0" distB="0" distL="0" distR="0" wp14:anchorId="5C329493" wp14:editId="27E38AB6">
            <wp:extent cx="3384550" cy="1352550"/>
            <wp:effectExtent l="0" t="0" r="6350" b="0"/>
            <wp:docPr id="14639200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4550" cy="1352550"/>
                    </a:xfrm>
                    <a:prstGeom prst="rect">
                      <a:avLst/>
                    </a:prstGeom>
                    <a:noFill/>
                    <a:ln>
                      <a:noFill/>
                    </a:ln>
                  </pic:spPr>
                </pic:pic>
              </a:graphicData>
            </a:graphic>
          </wp:inline>
        </w:drawing>
      </w:r>
    </w:p>
    <w:p w14:paraId="4D1076F3" w14:textId="77777777" w:rsidR="002578C6" w:rsidRPr="002578C6" w:rsidRDefault="002578C6" w:rsidP="002578C6">
      <w:pPr>
        <w:jc w:val="center"/>
        <w:rPr>
          <w:rFonts w:ascii="Arial" w:hAnsi="Arial" w:cs="Arial"/>
          <w:b/>
          <w:lang w:val="en-GB"/>
        </w:rPr>
      </w:pPr>
    </w:p>
    <w:p w14:paraId="0BB035C0" w14:textId="77777777" w:rsidR="002578C6" w:rsidRPr="002578C6" w:rsidRDefault="002578C6" w:rsidP="002578C6">
      <w:pPr>
        <w:jc w:val="center"/>
        <w:rPr>
          <w:rFonts w:ascii="Arial" w:hAnsi="Arial" w:cs="Arial"/>
          <w:b/>
          <w:bCs/>
          <w:lang w:val="en-GB"/>
        </w:rPr>
      </w:pPr>
      <w:r w:rsidRPr="002578C6">
        <w:rPr>
          <w:rFonts w:ascii="Arial" w:hAnsi="Arial" w:cs="Arial"/>
          <w:b/>
          <w:bCs/>
          <w:lang w:val="en-GB"/>
        </w:rPr>
        <w:t xml:space="preserve">Student Name: Vishal </w:t>
      </w:r>
      <w:proofErr w:type="spellStart"/>
      <w:r w:rsidRPr="002578C6">
        <w:rPr>
          <w:rFonts w:ascii="Arial" w:hAnsi="Arial" w:cs="Arial"/>
          <w:b/>
          <w:bCs/>
          <w:lang w:val="en-GB"/>
        </w:rPr>
        <w:t>Pareshbhai</w:t>
      </w:r>
      <w:proofErr w:type="spellEnd"/>
      <w:r w:rsidRPr="002578C6">
        <w:rPr>
          <w:rFonts w:ascii="Arial" w:hAnsi="Arial" w:cs="Arial"/>
          <w:b/>
          <w:bCs/>
          <w:lang w:val="en-GB"/>
        </w:rPr>
        <w:t xml:space="preserve"> Kathiriya</w:t>
      </w:r>
    </w:p>
    <w:p w14:paraId="020AC8B1" w14:textId="77777777" w:rsidR="002578C6" w:rsidRPr="002578C6" w:rsidRDefault="002578C6" w:rsidP="002578C6">
      <w:pPr>
        <w:jc w:val="center"/>
        <w:rPr>
          <w:rFonts w:ascii="Arial" w:hAnsi="Arial" w:cs="Arial"/>
          <w:b/>
          <w:bCs/>
          <w:lang w:val="en-GB"/>
        </w:rPr>
      </w:pPr>
    </w:p>
    <w:p w14:paraId="72C1DBC8" w14:textId="77777777" w:rsidR="002578C6" w:rsidRPr="002578C6" w:rsidRDefault="002578C6" w:rsidP="002578C6">
      <w:pPr>
        <w:jc w:val="center"/>
        <w:rPr>
          <w:rFonts w:ascii="Arial" w:hAnsi="Arial" w:cs="Arial"/>
          <w:b/>
          <w:bCs/>
          <w:lang w:val="en-GB"/>
        </w:rPr>
      </w:pPr>
      <w:r w:rsidRPr="002578C6">
        <w:rPr>
          <w:rFonts w:ascii="Arial" w:hAnsi="Arial" w:cs="Arial"/>
          <w:b/>
          <w:bCs/>
          <w:lang w:val="en-GB"/>
        </w:rPr>
        <w:t>Student ID: 2528421</w:t>
      </w:r>
    </w:p>
    <w:p w14:paraId="12196B51" w14:textId="77777777" w:rsidR="002578C6" w:rsidRPr="002578C6" w:rsidRDefault="002578C6" w:rsidP="002578C6">
      <w:pPr>
        <w:jc w:val="center"/>
        <w:rPr>
          <w:rFonts w:ascii="Arial" w:hAnsi="Arial" w:cs="Arial"/>
          <w:b/>
          <w:lang w:val="en-GB"/>
        </w:rPr>
      </w:pPr>
    </w:p>
    <w:p w14:paraId="7436BCF1" w14:textId="61770330" w:rsidR="002578C6" w:rsidRDefault="002578C6" w:rsidP="002578C6">
      <w:pPr>
        <w:jc w:val="center"/>
        <w:rPr>
          <w:rStyle w:val="Strong"/>
          <w:rFonts w:ascii="Arial" w:hAnsi="Arial" w:cs="Arial"/>
        </w:rPr>
      </w:pPr>
      <w:r w:rsidRPr="002578C6">
        <w:rPr>
          <w:rFonts w:ascii="Arial" w:hAnsi="Arial" w:cs="Arial"/>
          <w:b/>
          <w:bCs/>
          <w:lang w:val="en-GB"/>
        </w:rPr>
        <w:t xml:space="preserve">Module Name: </w:t>
      </w:r>
      <w:r w:rsidRPr="00A6321A">
        <w:rPr>
          <w:rStyle w:val="Strong"/>
          <w:rFonts w:ascii="Arial" w:hAnsi="Arial" w:cs="Arial"/>
        </w:rPr>
        <w:t>Financial Management</w:t>
      </w:r>
    </w:p>
    <w:p w14:paraId="0C0A65B8" w14:textId="77777777" w:rsidR="002578C6" w:rsidRDefault="002578C6" w:rsidP="002578C6">
      <w:pPr>
        <w:jc w:val="center"/>
        <w:rPr>
          <w:rStyle w:val="Strong"/>
          <w:rFonts w:ascii="Arial" w:hAnsi="Arial" w:cs="Arial"/>
        </w:rPr>
      </w:pPr>
    </w:p>
    <w:p w14:paraId="5EC5C07B" w14:textId="77777777" w:rsidR="002578C6" w:rsidRPr="00A6321A" w:rsidRDefault="002578C6" w:rsidP="002578C6">
      <w:pPr>
        <w:jc w:val="center"/>
        <w:rPr>
          <w:rFonts w:ascii="Arial" w:hAnsi="Arial" w:cs="Arial"/>
        </w:rPr>
      </w:pPr>
      <w:r w:rsidRPr="00A6321A">
        <w:rPr>
          <w:rFonts w:ascii="Arial" w:hAnsi="Arial" w:cs="Arial"/>
        </w:rPr>
        <w:t>Strategic Financial Evaluation, Restructuring</w:t>
      </w:r>
    </w:p>
    <w:p w14:paraId="63762AB0" w14:textId="77777777" w:rsidR="002578C6" w:rsidRPr="00A6321A" w:rsidRDefault="002578C6" w:rsidP="002578C6">
      <w:pPr>
        <w:jc w:val="center"/>
        <w:rPr>
          <w:rFonts w:ascii="Arial" w:hAnsi="Arial" w:cs="Arial"/>
        </w:rPr>
      </w:pPr>
      <w:r w:rsidRPr="00A6321A">
        <w:rPr>
          <w:rFonts w:ascii="Arial" w:hAnsi="Arial" w:cs="Arial"/>
        </w:rPr>
        <w:t>and Investment Appraisal Report</w:t>
      </w:r>
    </w:p>
    <w:p w14:paraId="47509361" w14:textId="77777777" w:rsidR="002578C6" w:rsidRPr="00A6321A" w:rsidRDefault="002578C6" w:rsidP="002578C6">
      <w:pPr>
        <w:jc w:val="center"/>
        <w:rPr>
          <w:rFonts w:ascii="Arial" w:hAnsi="Arial" w:cs="Arial"/>
        </w:rPr>
      </w:pPr>
      <w:r w:rsidRPr="00A6321A">
        <w:rPr>
          <w:rFonts w:ascii="Arial" w:hAnsi="Arial" w:cs="Arial"/>
        </w:rPr>
        <w:t>Prepared from the Perspective of the Chief Financial Officer</w:t>
      </w:r>
    </w:p>
    <w:p w14:paraId="7932CA39" w14:textId="77777777" w:rsidR="002578C6" w:rsidRPr="00A6321A" w:rsidRDefault="002578C6" w:rsidP="002578C6">
      <w:pPr>
        <w:jc w:val="center"/>
        <w:rPr>
          <w:rFonts w:ascii="Arial" w:hAnsi="Arial" w:cs="Arial"/>
        </w:rPr>
      </w:pPr>
      <w:r w:rsidRPr="00A6321A">
        <w:rPr>
          <w:rStyle w:val="Strong"/>
          <w:rFonts w:ascii="Arial" w:hAnsi="Arial" w:cs="Arial"/>
        </w:rPr>
        <w:t>Toyota Motor Corporation</w:t>
      </w:r>
    </w:p>
    <w:p w14:paraId="6CC50E62" w14:textId="77777777" w:rsidR="002578C6" w:rsidRPr="002578C6" w:rsidRDefault="002578C6" w:rsidP="002578C6">
      <w:pPr>
        <w:jc w:val="center"/>
        <w:rPr>
          <w:rFonts w:ascii="Arial" w:hAnsi="Arial" w:cs="Arial"/>
          <w:b/>
          <w:bCs/>
          <w:lang w:val="en-GB"/>
        </w:rPr>
      </w:pPr>
    </w:p>
    <w:p w14:paraId="72FB646E" w14:textId="77777777" w:rsidR="002578C6" w:rsidRPr="002578C6" w:rsidRDefault="002578C6" w:rsidP="002578C6">
      <w:pPr>
        <w:jc w:val="center"/>
        <w:rPr>
          <w:rFonts w:ascii="Arial" w:hAnsi="Arial" w:cs="Arial"/>
          <w:b/>
          <w:bCs/>
          <w:lang w:val="en-GB"/>
        </w:rPr>
      </w:pPr>
    </w:p>
    <w:p w14:paraId="3148CBF8" w14:textId="133B3822" w:rsidR="002578C6" w:rsidRPr="002578C6" w:rsidRDefault="002578C6" w:rsidP="002578C6">
      <w:pPr>
        <w:jc w:val="center"/>
        <w:rPr>
          <w:rFonts w:ascii="Arial" w:hAnsi="Arial" w:cs="Arial"/>
          <w:b/>
          <w:bCs/>
          <w:lang w:val="en-GB"/>
        </w:rPr>
      </w:pPr>
      <w:r w:rsidRPr="002578C6">
        <w:rPr>
          <w:rFonts w:ascii="Arial" w:hAnsi="Arial" w:cs="Arial"/>
          <w:b/>
          <w:bCs/>
          <w:lang w:val="en-GB"/>
        </w:rPr>
        <w:t>Module Code: LCMB70</w:t>
      </w:r>
      <w:r>
        <w:rPr>
          <w:rFonts w:ascii="Arial" w:hAnsi="Arial" w:cs="Arial"/>
          <w:b/>
          <w:bCs/>
          <w:lang w:val="en-GB"/>
        </w:rPr>
        <w:t>02</w:t>
      </w:r>
    </w:p>
    <w:p w14:paraId="50C5B43F" w14:textId="77777777" w:rsidR="002578C6" w:rsidRPr="002578C6" w:rsidRDefault="002578C6" w:rsidP="002578C6">
      <w:pPr>
        <w:jc w:val="center"/>
        <w:rPr>
          <w:rFonts w:ascii="Arial" w:hAnsi="Arial" w:cs="Arial"/>
          <w:b/>
          <w:bCs/>
          <w:lang w:val="en-GB"/>
        </w:rPr>
      </w:pPr>
    </w:p>
    <w:p w14:paraId="4BA0B5D8" w14:textId="51547D01" w:rsidR="002578C6" w:rsidRPr="002578C6" w:rsidRDefault="002578C6" w:rsidP="002578C6">
      <w:pPr>
        <w:jc w:val="center"/>
        <w:rPr>
          <w:rFonts w:ascii="Arial" w:hAnsi="Arial" w:cs="Arial"/>
          <w:b/>
          <w:bCs/>
          <w:lang w:val="en-GB"/>
        </w:rPr>
      </w:pPr>
      <w:r w:rsidRPr="002578C6">
        <w:rPr>
          <w:rFonts w:ascii="Arial" w:hAnsi="Arial" w:cs="Arial"/>
          <w:b/>
          <w:bCs/>
          <w:lang w:val="en-GB"/>
        </w:rPr>
        <w:t xml:space="preserve">Lecturer’s Name: </w:t>
      </w:r>
      <w:r w:rsidRPr="002578C6">
        <w:rPr>
          <w:rFonts w:ascii="Arial" w:hAnsi="Arial" w:cs="Arial"/>
          <w:b/>
          <w:bCs/>
        </w:rPr>
        <w:t xml:space="preserve">Dr </w:t>
      </w:r>
      <w:proofErr w:type="spellStart"/>
      <w:r w:rsidRPr="002578C6">
        <w:rPr>
          <w:rFonts w:ascii="Arial" w:hAnsi="Arial" w:cs="Arial"/>
          <w:b/>
          <w:bCs/>
        </w:rPr>
        <w:t>Shengfeng</w:t>
      </w:r>
      <w:proofErr w:type="spellEnd"/>
      <w:r w:rsidRPr="002578C6">
        <w:rPr>
          <w:rFonts w:ascii="Arial" w:hAnsi="Arial" w:cs="Arial"/>
          <w:b/>
          <w:bCs/>
        </w:rPr>
        <w:t xml:space="preserve"> Mei</w:t>
      </w:r>
    </w:p>
    <w:p w14:paraId="6F6CFAF4" w14:textId="77777777" w:rsidR="002578C6" w:rsidRPr="002578C6" w:rsidRDefault="002578C6" w:rsidP="002578C6">
      <w:pPr>
        <w:jc w:val="center"/>
        <w:rPr>
          <w:rFonts w:ascii="Arial" w:hAnsi="Arial" w:cs="Arial"/>
          <w:b/>
          <w:bCs/>
          <w:lang w:val="en-GB"/>
        </w:rPr>
      </w:pPr>
      <w:r w:rsidRPr="002578C6">
        <w:rPr>
          <w:rFonts w:ascii="Arial" w:hAnsi="Arial" w:cs="Arial"/>
          <w:b/>
          <w:bCs/>
          <w:lang w:val="en-GB"/>
        </w:rPr>
        <w:t xml:space="preserve"> </w:t>
      </w:r>
    </w:p>
    <w:p w14:paraId="43DFF509" w14:textId="42E45A87" w:rsidR="002578C6" w:rsidRDefault="002578C6" w:rsidP="002578C6">
      <w:pPr>
        <w:jc w:val="center"/>
        <w:rPr>
          <w:rFonts w:ascii="Arial" w:hAnsi="Arial" w:cs="Arial"/>
          <w:b/>
        </w:rPr>
      </w:pPr>
      <w:r w:rsidRPr="002578C6">
        <w:rPr>
          <w:rFonts w:ascii="Arial" w:hAnsi="Arial" w:cs="Arial"/>
          <w:b/>
          <w:bCs/>
          <w:lang w:val="en-GB"/>
        </w:rPr>
        <w:t>Term 1</w:t>
      </w:r>
    </w:p>
    <w:p w14:paraId="76256321" w14:textId="77777777" w:rsidR="002578C6" w:rsidRDefault="002578C6">
      <w:pPr>
        <w:spacing w:before="0" w:after="160" w:line="259" w:lineRule="auto"/>
        <w:jc w:val="left"/>
        <w:rPr>
          <w:rFonts w:ascii="Arial" w:hAnsi="Arial" w:cs="Arial"/>
          <w:b/>
        </w:rPr>
      </w:pPr>
      <w:r>
        <w:rPr>
          <w:rFonts w:ascii="Arial" w:hAnsi="Arial" w:cs="Arial"/>
          <w:b/>
        </w:rPr>
        <w:br w:type="page"/>
      </w:r>
    </w:p>
    <w:p w14:paraId="504B3849" w14:textId="01C8244E" w:rsidR="00C43955" w:rsidRDefault="00C43955" w:rsidP="00C43955">
      <w:pPr>
        <w:jc w:val="center"/>
        <w:rPr>
          <w:rFonts w:ascii="Arial" w:hAnsi="Arial" w:cs="Arial"/>
          <w:b/>
        </w:rPr>
      </w:pPr>
      <w:r w:rsidRPr="00C43955">
        <w:rPr>
          <w:rFonts w:ascii="Arial" w:hAnsi="Arial" w:cs="Arial"/>
          <w:b/>
          <w:noProof/>
          <w:lang w:val="en-US"/>
        </w:rPr>
        <w:lastRenderedPageBreak/>
        <w:drawing>
          <wp:inline distT="0" distB="0" distL="0" distR="0" wp14:anchorId="524C45DC" wp14:editId="7DB07D78">
            <wp:extent cx="4236720" cy="1808754"/>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49103" cy="1814041"/>
                    </a:xfrm>
                    <a:prstGeom prst="rect">
                      <a:avLst/>
                    </a:prstGeom>
                  </pic:spPr>
                </pic:pic>
              </a:graphicData>
            </a:graphic>
          </wp:inline>
        </w:drawing>
      </w:r>
    </w:p>
    <w:p w14:paraId="70BB328A" w14:textId="77777777" w:rsidR="0043059F" w:rsidRPr="00A6321A" w:rsidRDefault="0043059F" w:rsidP="0043059F">
      <w:pPr>
        <w:jc w:val="center"/>
        <w:rPr>
          <w:rFonts w:ascii="Arial" w:hAnsi="Arial" w:cs="Arial"/>
          <w:b/>
        </w:rPr>
      </w:pPr>
      <w:r w:rsidRPr="00A6321A">
        <w:rPr>
          <w:rFonts w:ascii="Arial" w:hAnsi="Arial" w:cs="Arial"/>
          <w:b/>
        </w:rPr>
        <w:t>Faculty of Business and Management</w:t>
      </w:r>
    </w:p>
    <w:p w14:paraId="588ED928" w14:textId="77777777" w:rsidR="0043059F" w:rsidRPr="00A6321A" w:rsidRDefault="0043059F" w:rsidP="0043059F">
      <w:pPr>
        <w:jc w:val="center"/>
        <w:rPr>
          <w:rFonts w:ascii="Arial" w:hAnsi="Arial" w:cs="Arial"/>
        </w:rPr>
      </w:pPr>
    </w:p>
    <w:p w14:paraId="7B2DCBA3" w14:textId="77777777" w:rsidR="0043059F" w:rsidRPr="00A6321A" w:rsidRDefault="0043059F" w:rsidP="0043059F">
      <w:pPr>
        <w:jc w:val="center"/>
        <w:rPr>
          <w:rFonts w:ascii="Arial" w:hAnsi="Arial" w:cs="Arial"/>
        </w:rPr>
      </w:pPr>
      <w:r w:rsidRPr="00A6321A">
        <w:rPr>
          <w:rFonts w:ascii="Arial" w:hAnsi="Arial" w:cs="Arial"/>
        </w:rPr>
        <w:t>Module Title</w:t>
      </w:r>
    </w:p>
    <w:p w14:paraId="26EA32F0" w14:textId="77777777" w:rsidR="0043059F" w:rsidRPr="00A6321A" w:rsidRDefault="0043059F" w:rsidP="0043059F">
      <w:pPr>
        <w:jc w:val="center"/>
        <w:rPr>
          <w:rFonts w:ascii="Arial" w:hAnsi="Arial" w:cs="Arial"/>
        </w:rPr>
      </w:pPr>
      <w:r w:rsidRPr="00A6321A">
        <w:rPr>
          <w:rStyle w:val="Strong"/>
          <w:rFonts w:ascii="Arial" w:hAnsi="Arial" w:cs="Arial"/>
        </w:rPr>
        <w:t>Financial Management / Corporate Finance</w:t>
      </w:r>
    </w:p>
    <w:p w14:paraId="01B0EB72" w14:textId="77777777" w:rsidR="006D2A9A" w:rsidRPr="00A6321A" w:rsidRDefault="006D2A9A" w:rsidP="006D2A9A">
      <w:pPr>
        <w:rPr>
          <w:rFonts w:ascii="Arial" w:hAnsi="Arial" w:cs="Arial"/>
        </w:rPr>
      </w:pPr>
    </w:p>
    <w:p w14:paraId="27E480D1" w14:textId="77777777" w:rsidR="002578C6" w:rsidRPr="00A6321A" w:rsidRDefault="002578C6" w:rsidP="002578C6">
      <w:pPr>
        <w:jc w:val="center"/>
        <w:rPr>
          <w:rFonts w:ascii="Arial" w:hAnsi="Arial" w:cs="Arial"/>
        </w:rPr>
      </w:pPr>
      <w:r w:rsidRPr="00A6321A">
        <w:rPr>
          <w:rFonts w:ascii="Arial" w:hAnsi="Arial" w:cs="Arial"/>
        </w:rPr>
        <w:t>Strategic Financial Evaluation, Restructuring</w:t>
      </w:r>
    </w:p>
    <w:p w14:paraId="042EABC5" w14:textId="77777777" w:rsidR="002578C6" w:rsidRPr="00A6321A" w:rsidRDefault="002578C6" w:rsidP="002578C6">
      <w:pPr>
        <w:jc w:val="center"/>
        <w:rPr>
          <w:rFonts w:ascii="Arial" w:hAnsi="Arial" w:cs="Arial"/>
        </w:rPr>
      </w:pPr>
      <w:r w:rsidRPr="00A6321A">
        <w:rPr>
          <w:rFonts w:ascii="Arial" w:hAnsi="Arial" w:cs="Arial"/>
        </w:rPr>
        <w:t>and Investment Appraisal Report</w:t>
      </w:r>
    </w:p>
    <w:p w14:paraId="0D804FE1" w14:textId="77777777" w:rsidR="002578C6" w:rsidRPr="00A6321A" w:rsidRDefault="002578C6" w:rsidP="002578C6">
      <w:pPr>
        <w:jc w:val="center"/>
        <w:rPr>
          <w:rFonts w:ascii="Arial" w:hAnsi="Arial" w:cs="Arial"/>
        </w:rPr>
      </w:pPr>
      <w:r w:rsidRPr="00A6321A">
        <w:rPr>
          <w:rFonts w:ascii="Arial" w:hAnsi="Arial" w:cs="Arial"/>
        </w:rPr>
        <w:t>Prepared from the Perspective of the Chief Financial Officer</w:t>
      </w:r>
    </w:p>
    <w:p w14:paraId="0E851DC5" w14:textId="77777777" w:rsidR="002578C6" w:rsidRPr="00A6321A" w:rsidRDefault="002578C6" w:rsidP="002578C6">
      <w:pPr>
        <w:jc w:val="center"/>
        <w:rPr>
          <w:rFonts w:ascii="Arial" w:hAnsi="Arial" w:cs="Arial"/>
        </w:rPr>
      </w:pPr>
      <w:r w:rsidRPr="00A6321A">
        <w:rPr>
          <w:rStyle w:val="Strong"/>
          <w:rFonts w:ascii="Arial" w:hAnsi="Arial" w:cs="Arial"/>
        </w:rPr>
        <w:t>Toyota Motor Corporation</w:t>
      </w:r>
    </w:p>
    <w:p w14:paraId="37AA1E61" w14:textId="77777777" w:rsidR="0043059F" w:rsidRPr="00A6321A" w:rsidRDefault="0043059F" w:rsidP="0043059F">
      <w:pPr>
        <w:jc w:val="center"/>
        <w:rPr>
          <w:rFonts w:ascii="Arial" w:hAnsi="Arial" w:cs="Arial"/>
        </w:rPr>
      </w:pPr>
    </w:p>
    <w:p w14:paraId="145C4A0E" w14:textId="77777777" w:rsidR="0043059F" w:rsidRPr="00A6321A" w:rsidRDefault="0043059F" w:rsidP="0043059F">
      <w:pPr>
        <w:jc w:val="center"/>
        <w:rPr>
          <w:rFonts w:ascii="Arial" w:hAnsi="Arial" w:cs="Arial"/>
        </w:rPr>
      </w:pPr>
      <w:r w:rsidRPr="00A6321A">
        <w:rPr>
          <w:rFonts w:ascii="Arial" w:hAnsi="Arial" w:cs="Arial"/>
        </w:rPr>
        <w:t xml:space="preserve">Submitted By – </w:t>
      </w:r>
    </w:p>
    <w:p w14:paraId="3391B442" w14:textId="77777777" w:rsidR="0043059F" w:rsidRPr="00A6321A" w:rsidRDefault="0043059F" w:rsidP="0043059F">
      <w:pPr>
        <w:jc w:val="center"/>
        <w:rPr>
          <w:rFonts w:ascii="Arial" w:hAnsi="Arial" w:cs="Arial"/>
        </w:rPr>
      </w:pPr>
      <w:r w:rsidRPr="00A6321A">
        <w:rPr>
          <w:rFonts w:ascii="Arial" w:hAnsi="Arial" w:cs="Arial"/>
        </w:rPr>
        <w:t>Student ID –</w:t>
      </w:r>
    </w:p>
    <w:p w14:paraId="77BD1227" w14:textId="77777777" w:rsidR="0043059F" w:rsidRPr="00A6321A" w:rsidRDefault="0043059F" w:rsidP="0043059F">
      <w:pPr>
        <w:jc w:val="center"/>
        <w:rPr>
          <w:rFonts w:ascii="Arial" w:hAnsi="Arial" w:cs="Arial"/>
        </w:rPr>
      </w:pPr>
      <w:r w:rsidRPr="00A6321A">
        <w:rPr>
          <w:rFonts w:ascii="Arial" w:hAnsi="Arial" w:cs="Arial"/>
        </w:rPr>
        <w:t>Programme –</w:t>
      </w:r>
    </w:p>
    <w:p w14:paraId="2B6E5BA1" w14:textId="77777777" w:rsidR="0043059F" w:rsidRPr="00A6321A" w:rsidRDefault="0043059F" w:rsidP="0043059F">
      <w:pPr>
        <w:jc w:val="center"/>
        <w:rPr>
          <w:rFonts w:ascii="Arial" w:hAnsi="Arial" w:cs="Arial"/>
          <w:b/>
          <w:bCs/>
        </w:rPr>
      </w:pPr>
      <w:r w:rsidRPr="00A6321A">
        <w:rPr>
          <w:rFonts w:ascii="Arial" w:hAnsi="Arial" w:cs="Arial"/>
        </w:rPr>
        <w:t>Module Leader –</w:t>
      </w:r>
    </w:p>
    <w:p w14:paraId="43BDF3E6" w14:textId="77777777" w:rsidR="008817D9" w:rsidRPr="00A6321A" w:rsidRDefault="0043059F" w:rsidP="008817D9">
      <w:pPr>
        <w:jc w:val="center"/>
        <w:rPr>
          <w:rFonts w:ascii="Arial" w:hAnsi="Arial" w:cs="Arial"/>
        </w:rPr>
      </w:pPr>
      <w:r w:rsidRPr="00A6321A">
        <w:rPr>
          <w:rFonts w:ascii="Arial" w:hAnsi="Arial" w:cs="Arial"/>
        </w:rPr>
        <w:t>Academic Year</w:t>
      </w:r>
      <w:r w:rsidR="008817D9" w:rsidRPr="00A6321A">
        <w:rPr>
          <w:rFonts w:ascii="Arial" w:hAnsi="Arial" w:cs="Arial"/>
        </w:rPr>
        <w:t xml:space="preserve"> – 2025/26</w:t>
      </w:r>
    </w:p>
    <w:p w14:paraId="6942922C" w14:textId="77777777" w:rsidR="00334BB7" w:rsidRPr="0043059F" w:rsidRDefault="0043059F" w:rsidP="0043059F">
      <w:pPr>
        <w:jc w:val="center"/>
      </w:pPr>
      <w:r w:rsidRPr="00A6321A">
        <w:rPr>
          <w:rFonts w:ascii="Arial" w:hAnsi="Arial" w:cs="Arial"/>
        </w:rPr>
        <w:t>Submission Date –</w:t>
      </w:r>
      <w:r w:rsidR="00334BB7" w:rsidRPr="00A6321A">
        <w:rPr>
          <w:rFonts w:ascii="Arial" w:hAnsi="Arial" w:cs="Arial"/>
        </w:rPr>
        <w:br/>
      </w:r>
      <w:r w:rsidR="00334BB7" w:rsidRPr="0010446F">
        <w:rPr>
          <w:rFonts w:ascii="Arial" w:hAnsi="Arial" w:cs="Arial"/>
        </w:rPr>
        <w:br/>
      </w:r>
    </w:p>
    <w:p w14:paraId="39EE9719" w14:textId="77777777" w:rsidR="00334BB7" w:rsidRPr="0010446F" w:rsidRDefault="00334BB7" w:rsidP="00334BB7">
      <w:pPr>
        <w:rPr>
          <w:rFonts w:ascii="Arial" w:eastAsiaTheme="majorEastAsia" w:hAnsi="Arial" w:cs="Arial"/>
          <w:color w:val="000000" w:themeColor="text1"/>
          <w:kern w:val="0"/>
          <w:lang w:val="en-US"/>
          <w14:ligatures w14:val="none"/>
        </w:rPr>
      </w:pPr>
      <w:r w:rsidRPr="0010446F">
        <w:rPr>
          <w:rFonts w:ascii="Arial" w:hAnsi="Arial" w:cs="Arial"/>
        </w:rPr>
        <w:br w:type="page"/>
      </w:r>
    </w:p>
    <w:sdt>
      <w:sdtPr>
        <w:rPr>
          <w:rFonts w:ascii="Arial" w:eastAsiaTheme="minorHAnsi" w:hAnsi="Arial" w:cs="Arial"/>
          <w:b/>
          <w:color w:val="0D0D0D" w:themeColor="text1" w:themeTint="F2"/>
          <w:kern w:val="2"/>
          <w:sz w:val="24"/>
          <w:szCs w:val="24"/>
          <w:lang w:val="en-IN"/>
          <w14:ligatures w14:val="standardContextual"/>
        </w:rPr>
        <w:id w:val="26617042"/>
        <w:docPartObj>
          <w:docPartGallery w:val="Table of Contents"/>
          <w:docPartUnique/>
        </w:docPartObj>
      </w:sdtPr>
      <w:sdtEndPr>
        <w:rPr>
          <w:bCs/>
          <w:noProof/>
          <w:color w:val="auto"/>
        </w:rPr>
      </w:sdtEndPr>
      <w:sdtContent>
        <w:p w14:paraId="11277041" w14:textId="77777777" w:rsidR="00334BB7" w:rsidRPr="0010446F" w:rsidRDefault="00334BB7" w:rsidP="00334BB7">
          <w:pPr>
            <w:pStyle w:val="TOCHeading"/>
            <w:jc w:val="center"/>
            <w:rPr>
              <w:rFonts w:ascii="Arial" w:hAnsi="Arial" w:cs="Arial"/>
              <w:b/>
              <w:color w:val="0D0D0D" w:themeColor="text1" w:themeTint="F2"/>
              <w:sz w:val="24"/>
              <w:szCs w:val="24"/>
            </w:rPr>
          </w:pPr>
          <w:r w:rsidRPr="0010446F">
            <w:rPr>
              <w:rFonts w:ascii="Arial" w:hAnsi="Arial" w:cs="Arial"/>
              <w:b/>
              <w:color w:val="0D0D0D" w:themeColor="text1" w:themeTint="F2"/>
              <w:sz w:val="24"/>
              <w:szCs w:val="24"/>
            </w:rPr>
            <w:t>Table of Contents</w:t>
          </w:r>
        </w:p>
        <w:p w14:paraId="310A1CBF" w14:textId="77777777" w:rsidR="00C43955" w:rsidRDefault="00334BB7">
          <w:pPr>
            <w:pStyle w:val="TOC1"/>
            <w:tabs>
              <w:tab w:val="right" w:leader="dot" w:pos="9350"/>
            </w:tabs>
            <w:rPr>
              <w:rFonts w:asciiTheme="minorHAnsi" w:eastAsiaTheme="minorEastAsia" w:hAnsiTheme="minorHAnsi"/>
              <w:noProof/>
              <w:kern w:val="0"/>
              <w:sz w:val="22"/>
              <w:szCs w:val="22"/>
              <w:lang w:val="en-US"/>
              <w14:ligatures w14:val="none"/>
            </w:rPr>
          </w:pPr>
          <w:r w:rsidRPr="0010446F">
            <w:rPr>
              <w:rFonts w:ascii="Arial" w:hAnsi="Arial" w:cs="Arial"/>
            </w:rPr>
            <w:fldChar w:fldCharType="begin"/>
          </w:r>
          <w:r w:rsidRPr="0010446F">
            <w:rPr>
              <w:rFonts w:ascii="Arial" w:hAnsi="Arial" w:cs="Arial"/>
            </w:rPr>
            <w:instrText xml:space="preserve"> TOC \o "1-3" \h \z \u </w:instrText>
          </w:r>
          <w:r w:rsidRPr="0010446F">
            <w:rPr>
              <w:rFonts w:ascii="Arial" w:hAnsi="Arial" w:cs="Arial"/>
            </w:rPr>
            <w:fldChar w:fldCharType="separate"/>
          </w:r>
          <w:hyperlink w:anchor="_Toc227165040" w:history="1">
            <w:r w:rsidR="00C43955" w:rsidRPr="00C3024D">
              <w:rPr>
                <w:rStyle w:val="Hyperlink"/>
                <w:rFonts w:ascii="Arial" w:hAnsi="Arial" w:cs="Arial"/>
                <w:noProof/>
              </w:rPr>
              <w:t>1. Introduction</w:t>
            </w:r>
            <w:r w:rsidR="00C43955">
              <w:rPr>
                <w:noProof/>
                <w:webHidden/>
              </w:rPr>
              <w:tab/>
            </w:r>
            <w:r w:rsidR="00C43955">
              <w:rPr>
                <w:noProof/>
                <w:webHidden/>
              </w:rPr>
              <w:fldChar w:fldCharType="begin"/>
            </w:r>
            <w:r w:rsidR="00C43955">
              <w:rPr>
                <w:noProof/>
                <w:webHidden/>
              </w:rPr>
              <w:instrText xml:space="preserve"> PAGEREF _Toc227165040 \h </w:instrText>
            </w:r>
            <w:r w:rsidR="00C43955">
              <w:rPr>
                <w:noProof/>
                <w:webHidden/>
              </w:rPr>
            </w:r>
            <w:r w:rsidR="00C43955">
              <w:rPr>
                <w:noProof/>
                <w:webHidden/>
              </w:rPr>
              <w:fldChar w:fldCharType="separate"/>
            </w:r>
            <w:r w:rsidR="00C43955">
              <w:rPr>
                <w:noProof/>
                <w:webHidden/>
              </w:rPr>
              <w:t>4</w:t>
            </w:r>
            <w:r w:rsidR="00C43955">
              <w:rPr>
                <w:noProof/>
                <w:webHidden/>
              </w:rPr>
              <w:fldChar w:fldCharType="end"/>
            </w:r>
          </w:hyperlink>
        </w:p>
        <w:p w14:paraId="6BFD8887" w14:textId="77777777" w:rsidR="00C43955" w:rsidRDefault="00C43955">
          <w:pPr>
            <w:pStyle w:val="TOC2"/>
            <w:tabs>
              <w:tab w:val="right" w:leader="dot" w:pos="9350"/>
            </w:tabs>
            <w:rPr>
              <w:rFonts w:asciiTheme="minorHAnsi" w:eastAsiaTheme="minorEastAsia" w:hAnsiTheme="minorHAnsi"/>
              <w:noProof/>
              <w:kern w:val="0"/>
              <w:sz w:val="22"/>
              <w:szCs w:val="22"/>
              <w:lang w:val="en-US"/>
              <w14:ligatures w14:val="none"/>
            </w:rPr>
          </w:pPr>
          <w:hyperlink w:anchor="_Toc227165041" w:history="1">
            <w:r w:rsidRPr="00C3024D">
              <w:rPr>
                <w:rStyle w:val="Hyperlink"/>
                <w:rFonts w:ascii="Arial" w:hAnsi="Arial" w:cs="Arial"/>
                <w:noProof/>
              </w:rPr>
              <w:t>1.1 Company Overview</w:t>
            </w:r>
            <w:r>
              <w:rPr>
                <w:noProof/>
                <w:webHidden/>
              </w:rPr>
              <w:tab/>
            </w:r>
            <w:r>
              <w:rPr>
                <w:noProof/>
                <w:webHidden/>
              </w:rPr>
              <w:fldChar w:fldCharType="begin"/>
            </w:r>
            <w:r>
              <w:rPr>
                <w:noProof/>
                <w:webHidden/>
              </w:rPr>
              <w:instrText xml:space="preserve"> PAGEREF _Toc227165041 \h </w:instrText>
            </w:r>
            <w:r>
              <w:rPr>
                <w:noProof/>
                <w:webHidden/>
              </w:rPr>
            </w:r>
            <w:r>
              <w:rPr>
                <w:noProof/>
                <w:webHidden/>
              </w:rPr>
              <w:fldChar w:fldCharType="separate"/>
            </w:r>
            <w:r>
              <w:rPr>
                <w:noProof/>
                <w:webHidden/>
              </w:rPr>
              <w:t>4</w:t>
            </w:r>
            <w:r>
              <w:rPr>
                <w:noProof/>
                <w:webHidden/>
              </w:rPr>
              <w:fldChar w:fldCharType="end"/>
            </w:r>
          </w:hyperlink>
        </w:p>
        <w:p w14:paraId="786B8545" w14:textId="77777777" w:rsidR="00C43955" w:rsidRDefault="00C43955">
          <w:pPr>
            <w:pStyle w:val="TOC2"/>
            <w:tabs>
              <w:tab w:val="right" w:leader="dot" w:pos="9350"/>
            </w:tabs>
            <w:rPr>
              <w:rFonts w:asciiTheme="minorHAnsi" w:eastAsiaTheme="minorEastAsia" w:hAnsiTheme="minorHAnsi"/>
              <w:noProof/>
              <w:kern w:val="0"/>
              <w:sz w:val="22"/>
              <w:szCs w:val="22"/>
              <w:lang w:val="en-US"/>
              <w14:ligatures w14:val="none"/>
            </w:rPr>
          </w:pPr>
          <w:hyperlink w:anchor="_Toc227165042" w:history="1">
            <w:r w:rsidRPr="00C3024D">
              <w:rPr>
                <w:rStyle w:val="Hyperlink"/>
                <w:rFonts w:ascii="Arial" w:hAnsi="Arial" w:cs="Arial"/>
                <w:noProof/>
              </w:rPr>
              <w:t>1.2 Purpose of Report</w:t>
            </w:r>
            <w:r>
              <w:rPr>
                <w:noProof/>
                <w:webHidden/>
              </w:rPr>
              <w:tab/>
            </w:r>
            <w:r>
              <w:rPr>
                <w:noProof/>
                <w:webHidden/>
              </w:rPr>
              <w:fldChar w:fldCharType="begin"/>
            </w:r>
            <w:r>
              <w:rPr>
                <w:noProof/>
                <w:webHidden/>
              </w:rPr>
              <w:instrText xml:space="preserve"> PAGEREF _Toc227165042 \h </w:instrText>
            </w:r>
            <w:r>
              <w:rPr>
                <w:noProof/>
                <w:webHidden/>
              </w:rPr>
            </w:r>
            <w:r>
              <w:rPr>
                <w:noProof/>
                <w:webHidden/>
              </w:rPr>
              <w:fldChar w:fldCharType="separate"/>
            </w:r>
            <w:r>
              <w:rPr>
                <w:noProof/>
                <w:webHidden/>
              </w:rPr>
              <w:t>4</w:t>
            </w:r>
            <w:r>
              <w:rPr>
                <w:noProof/>
                <w:webHidden/>
              </w:rPr>
              <w:fldChar w:fldCharType="end"/>
            </w:r>
          </w:hyperlink>
        </w:p>
        <w:p w14:paraId="4FE4AD5D" w14:textId="77777777" w:rsidR="00C43955" w:rsidRDefault="00C43955">
          <w:pPr>
            <w:pStyle w:val="TOC1"/>
            <w:tabs>
              <w:tab w:val="right" w:leader="dot" w:pos="9350"/>
            </w:tabs>
            <w:rPr>
              <w:rFonts w:asciiTheme="minorHAnsi" w:eastAsiaTheme="minorEastAsia" w:hAnsiTheme="minorHAnsi"/>
              <w:noProof/>
              <w:kern w:val="0"/>
              <w:sz w:val="22"/>
              <w:szCs w:val="22"/>
              <w:lang w:val="en-US"/>
              <w14:ligatures w14:val="none"/>
            </w:rPr>
          </w:pPr>
          <w:hyperlink w:anchor="_Toc227165043" w:history="1">
            <w:r w:rsidRPr="00C3024D">
              <w:rPr>
                <w:rStyle w:val="Hyperlink"/>
                <w:rFonts w:ascii="Arial" w:hAnsi="Arial" w:cs="Arial"/>
                <w:noProof/>
              </w:rPr>
              <w:t>2. Financial Health Check</w:t>
            </w:r>
            <w:r>
              <w:rPr>
                <w:noProof/>
                <w:webHidden/>
              </w:rPr>
              <w:tab/>
            </w:r>
            <w:r>
              <w:rPr>
                <w:noProof/>
                <w:webHidden/>
              </w:rPr>
              <w:fldChar w:fldCharType="begin"/>
            </w:r>
            <w:r>
              <w:rPr>
                <w:noProof/>
                <w:webHidden/>
              </w:rPr>
              <w:instrText xml:space="preserve"> PAGEREF _Toc227165043 \h </w:instrText>
            </w:r>
            <w:r>
              <w:rPr>
                <w:noProof/>
                <w:webHidden/>
              </w:rPr>
            </w:r>
            <w:r>
              <w:rPr>
                <w:noProof/>
                <w:webHidden/>
              </w:rPr>
              <w:fldChar w:fldCharType="separate"/>
            </w:r>
            <w:r>
              <w:rPr>
                <w:noProof/>
                <w:webHidden/>
              </w:rPr>
              <w:t>5</w:t>
            </w:r>
            <w:r>
              <w:rPr>
                <w:noProof/>
                <w:webHidden/>
              </w:rPr>
              <w:fldChar w:fldCharType="end"/>
            </w:r>
          </w:hyperlink>
        </w:p>
        <w:p w14:paraId="12DBA806" w14:textId="77777777" w:rsidR="00C43955" w:rsidRDefault="00C43955">
          <w:pPr>
            <w:pStyle w:val="TOC2"/>
            <w:tabs>
              <w:tab w:val="right" w:leader="dot" w:pos="9350"/>
            </w:tabs>
            <w:rPr>
              <w:rFonts w:asciiTheme="minorHAnsi" w:eastAsiaTheme="minorEastAsia" w:hAnsiTheme="minorHAnsi"/>
              <w:noProof/>
              <w:kern w:val="0"/>
              <w:sz w:val="22"/>
              <w:szCs w:val="22"/>
              <w:lang w:val="en-US"/>
              <w14:ligatures w14:val="none"/>
            </w:rPr>
          </w:pPr>
          <w:hyperlink w:anchor="_Toc227165044" w:history="1">
            <w:r w:rsidRPr="00C3024D">
              <w:rPr>
                <w:rStyle w:val="Hyperlink"/>
                <w:rFonts w:ascii="Arial" w:hAnsi="Arial" w:cs="Arial"/>
                <w:noProof/>
              </w:rPr>
              <w:t>2.1 Overview of Five-Year Financial Performance</w:t>
            </w:r>
            <w:r>
              <w:rPr>
                <w:noProof/>
                <w:webHidden/>
              </w:rPr>
              <w:tab/>
            </w:r>
            <w:r>
              <w:rPr>
                <w:noProof/>
                <w:webHidden/>
              </w:rPr>
              <w:fldChar w:fldCharType="begin"/>
            </w:r>
            <w:r>
              <w:rPr>
                <w:noProof/>
                <w:webHidden/>
              </w:rPr>
              <w:instrText xml:space="preserve"> PAGEREF _Toc227165044 \h </w:instrText>
            </w:r>
            <w:r>
              <w:rPr>
                <w:noProof/>
                <w:webHidden/>
              </w:rPr>
            </w:r>
            <w:r>
              <w:rPr>
                <w:noProof/>
                <w:webHidden/>
              </w:rPr>
              <w:fldChar w:fldCharType="separate"/>
            </w:r>
            <w:r>
              <w:rPr>
                <w:noProof/>
                <w:webHidden/>
              </w:rPr>
              <w:t>5</w:t>
            </w:r>
            <w:r>
              <w:rPr>
                <w:noProof/>
                <w:webHidden/>
              </w:rPr>
              <w:fldChar w:fldCharType="end"/>
            </w:r>
          </w:hyperlink>
        </w:p>
        <w:p w14:paraId="0FC99C7D" w14:textId="77777777" w:rsidR="00C43955" w:rsidRDefault="00C43955">
          <w:pPr>
            <w:pStyle w:val="TOC2"/>
            <w:tabs>
              <w:tab w:val="right" w:leader="dot" w:pos="9350"/>
            </w:tabs>
            <w:rPr>
              <w:rFonts w:asciiTheme="minorHAnsi" w:eastAsiaTheme="minorEastAsia" w:hAnsiTheme="minorHAnsi"/>
              <w:noProof/>
              <w:kern w:val="0"/>
              <w:sz w:val="22"/>
              <w:szCs w:val="22"/>
              <w:lang w:val="en-US"/>
              <w14:ligatures w14:val="none"/>
            </w:rPr>
          </w:pPr>
          <w:hyperlink w:anchor="_Toc227165045" w:history="1">
            <w:r w:rsidRPr="00C3024D">
              <w:rPr>
                <w:rStyle w:val="Hyperlink"/>
                <w:rFonts w:ascii="Arial" w:hAnsi="Arial" w:cs="Arial"/>
                <w:noProof/>
              </w:rPr>
              <w:t>2.3 Liquidity Analysis</w:t>
            </w:r>
            <w:r>
              <w:rPr>
                <w:noProof/>
                <w:webHidden/>
              </w:rPr>
              <w:tab/>
            </w:r>
            <w:r>
              <w:rPr>
                <w:noProof/>
                <w:webHidden/>
              </w:rPr>
              <w:fldChar w:fldCharType="begin"/>
            </w:r>
            <w:r>
              <w:rPr>
                <w:noProof/>
                <w:webHidden/>
              </w:rPr>
              <w:instrText xml:space="preserve"> PAGEREF _Toc227165045 \h </w:instrText>
            </w:r>
            <w:r>
              <w:rPr>
                <w:noProof/>
                <w:webHidden/>
              </w:rPr>
            </w:r>
            <w:r>
              <w:rPr>
                <w:noProof/>
                <w:webHidden/>
              </w:rPr>
              <w:fldChar w:fldCharType="separate"/>
            </w:r>
            <w:r>
              <w:rPr>
                <w:noProof/>
                <w:webHidden/>
              </w:rPr>
              <w:t>7</w:t>
            </w:r>
            <w:r>
              <w:rPr>
                <w:noProof/>
                <w:webHidden/>
              </w:rPr>
              <w:fldChar w:fldCharType="end"/>
            </w:r>
          </w:hyperlink>
        </w:p>
        <w:p w14:paraId="448524A0" w14:textId="77777777" w:rsidR="00C43955" w:rsidRDefault="00C43955">
          <w:pPr>
            <w:pStyle w:val="TOC2"/>
            <w:tabs>
              <w:tab w:val="right" w:leader="dot" w:pos="9350"/>
            </w:tabs>
            <w:rPr>
              <w:rFonts w:asciiTheme="minorHAnsi" w:eastAsiaTheme="minorEastAsia" w:hAnsiTheme="minorHAnsi"/>
              <w:noProof/>
              <w:kern w:val="0"/>
              <w:sz w:val="22"/>
              <w:szCs w:val="22"/>
              <w:lang w:val="en-US"/>
              <w14:ligatures w14:val="none"/>
            </w:rPr>
          </w:pPr>
          <w:hyperlink w:anchor="_Toc227165046" w:history="1">
            <w:r w:rsidRPr="00C3024D">
              <w:rPr>
                <w:rStyle w:val="Hyperlink"/>
                <w:rFonts w:ascii="Arial" w:hAnsi="Arial" w:cs="Arial"/>
                <w:noProof/>
              </w:rPr>
              <w:t>2.4 Working Capital Efficiency</w:t>
            </w:r>
            <w:r>
              <w:rPr>
                <w:noProof/>
                <w:webHidden/>
              </w:rPr>
              <w:tab/>
            </w:r>
            <w:r>
              <w:rPr>
                <w:noProof/>
                <w:webHidden/>
              </w:rPr>
              <w:fldChar w:fldCharType="begin"/>
            </w:r>
            <w:r>
              <w:rPr>
                <w:noProof/>
                <w:webHidden/>
              </w:rPr>
              <w:instrText xml:space="preserve"> PAGEREF _Toc227165046 \h </w:instrText>
            </w:r>
            <w:r>
              <w:rPr>
                <w:noProof/>
                <w:webHidden/>
              </w:rPr>
            </w:r>
            <w:r>
              <w:rPr>
                <w:noProof/>
                <w:webHidden/>
              </w:rPr>
              <w:fldChar w:fldCharType="separate"/>
            </w:r>
            <w:r>
              <w:rPr>
                <w:noProof/>
                <w:webHidden/>
              </w:rPr>
              <w:t>8</w:t>
            </w:r>
            <w:r>
              <w:rPr>
                <w:noProof/>
                <w:webHidden/>
              </w:rPr>
              <w:fldChar w:fldCharType="end"/>
            </w:r>
          </w:hyperlink>
        </w:p>
        <w:p w14:paraId="42DAF753" w14:textId="77777777" w:rsidR="00C43955" w:rsidRDefault="00C43955">
          <w:pPr>
            <w:pStyle w:val="TOC2"/>
            <w:tabs>
              <w:tab w:val="right" w:leader="dot" w:pos="9350"/>
            </w:tabs>
            <w:rPr>
              <w:rFonts w:asciiTheme="minorHAnsi" w:eastAsiaTheme="minorEastAsia" w:hAnsiTheme="minorHAnsi"/>
              <w:noProof/>
              <w:kern w:val="0"/>
              <w:sz w:val="22"/>
              <w:szCs w:val="22"/>
              <w:lang w:val="en-US"/>
              <w14:ligatures w14:val="none"/>
            </w:rPr>
          </w:pPr>
          <w:hyperlink w:anchor="_Toc227165047" w:history="1">
            <w:r w:rsidRPr="00C3024D">
              <w:rPr>
                <w:rStyle w:val="Hyperlink"/>
                <w:rFonts w:ascii="Arial" w:hAnsi="Arial" w:cs="Arial"/>
                <w:noProof/>
              </w:rPr>
              <w:t>2.5 Capital Structure and Gearing Analysis</w:t>
            </w:r>
            <w:r>
              <w:rPr>
                <w:noProof/>
                <w:webHidden/>
              </w:rPr>
              <w:tab/>
            </w:r>
            <w:r>
              <w:rPr>
                <w:noProof/>
                <w:webHidden/>
              </w:rPr>
              <w:fldChar w:fldCharType="begin"/>
            </w:r>
            <w:r>
              <w:rPr>
                <w:noProof/>
                <w:webHidden/>
              </w:rPr>
              <w:instrText xml:space="preserve"> PAGEREF _Toc227165047 \h </w:instrText>
            </w:r>
            <w:r>
              <w:rPr>
                <w:noProof/>
                <w:webHidden/>
              </w:rPr>
            </w:r>
            <w:r>
              <w:rPr>
                <w:noProof/>
                <w:webHidden/>
              </w:rPr>
              <w:fldChar w:fldCharType="separate"/>
            </w:r>
            <w:r>
              <w:rPr>
                <w:noProof/>
                <w:webHidden/>
              </w:rPr>
              <w:t>9</w:t>
            </w:r>
            <w:r>
              <w:rPr>
                <w:noProof/>
                <w:webHidden/>
              </w:rPr>
              <w:fldChar w:fldCharType="end"/>
            </w:r>
          </w:hyperlink>
        </w:p>
        <w:p w14:paraId="654F05E3" w14:textId="77777777" w:rsidR="00C43955" w:rsidRDefault="00C43955">
          <w:pPr>
            <w:pStyle w:val="TOC2"/>
            <w:tabs>
              <w:tab w:val="right" w:leader="dot" w:pos="9350"/>
            </w:tabs>
            <w:rPr>
              <w:rFonts w:asciiTheme="minorHAnsi" w:eastAsiaTheme="minorEastAsia" w:hAnsiTheme="minorHAnsi"/>
              <w:noProof/>
              <w:kern w:val="0"/>
              <w:sz w:val="22"/>
              <w:szCs w:val="22"/>
              <w:lang w:val="en-US"/>
              <w14:ligatures w14:val="none"/>
            </w:rPr>
          </w:pPr>
          <w:hyperlink w:anchor="_Toc227165048" w:history="1">
            <w:r w:rsidRPr="00C3024D">
              <w:rPr>
                <w:rStyle w:val="Hyperlink"/>
                <w:rFonts w:ascii="Arial" w:hAnsi="Arial" w:cs="Arial"/>
                <w:noProof/>
              </w:rPr>
              <w:t>2.6 Investment and Cash Flow Analysis</w:t>
            </w:r>
            <w:r>
              <w:rPr>
                <w:noProof/>
                <w:webHidden/>
              </w:rPr>
              <w:tab/>
            </w:r>
            <w:r>
              <w:rPr>
                <w:noProof/>
                <w:webHidden/>
              </w:rPr>
              <w:fldChar w:fldCharType="begin"/>
            </w:r>
            <w:r>
              <w:rPr>
                <w:noProof/>
                <w:webHidden/>
              </w:rPr>
              <w:instrText xml:space="preserve"> PAGEREF _Toc227165048 \h </w:instrText>
            </w:r>
            <w:r>
              <w:rPr>
                <w:noProof/>
                <w:webHidden/>
              </w:rPr>
            </w:r>
            <w:r>
              <w:rPr>
                <w:noProof/>
                <w:webHidden/>
              </w:rPr>
              <w:fldChar w:fldCharType="separate"/>
            </w:r>
            <w:r>
              <w:rPr>
                <w:noProof/>
                <w:webHidden/>
              </w:rPr>
              <w:t>10</w:t>
            </w:r>
            <w:r>
              <w:rPr>
                <w:noProof/>
                <w:webHidden/>
              </w:rPr>
              <w:fldChar w:fldCharType="end"/>
            </w:r>
          </w:hyperlink>
        </w:p>
        <w:p w14:paraId="23A1D465" w14:textId="77777777" w:rsidR="00C43955" w:rsidRDefault="00C43955">
          <w:pPr>
            <w:pStyle w:val="TOC2"/>
            <w:tabs>
              <w:tab w:val="right" w:leader="dot" w:pos="9350"/>
            </w:tabs>
            <w:rPr>
              <w:rFonts w:asciiTheme="minorHAnsi" w:eastAsiaTheme="minorEastAsia" w:hAnsiTheme="minorHAnsi"/>
              <w:noProof/>
              <w:kern w:val="0"/>
              <w:sz w:val="22"/>
              <w:szCs w:val="22"/>
              <w:lang w:val="en-US"/>
              <w14:ligatures w14:val="none"/>
            </w:rPr>
          </w:pPr>
          <w:hyperlink w:anchor="_Toc227165049" w:history="1">
            <w:r w:rsidRPr="00C3024D">
              <w:rPr>
                <w:rStyle w:val="Hyperlink"/>
                <w:rFonts w:ascii="Arial" w:hAnsi="Arial" w:cs="Arial"/>
                <w:noProof/>
              </w:rPr>
              <w:t>2.7 Summary of Strengths, Weaknesses, and Threats</w:t>
            </w:r>
            <w:r>
              <w:rPr>
                <w:noProof/>
                <w:webHidden/>
              </w:rPr>
              <w:tab/>
            </w:r>
            <w:r>
              <w:rPr>
                <w:noProof/>
                <w:webHidden/>
              </w:rPr>
              <w:fldChar w:fldCharType="begin"/>
            </w:r>
            <w:r>
              <w:rPr>
                <w:noProof/>
                <w:webHidden/>
              </w:rPr>
              <w:instrText xml:space="preserve"> PAGEREF _Toc227165049 \h </w:instrText>
            </w:r>
            <w:r>
              <w:rPr>
                <w:noProof/>
                <w:webHidden/>
              </w:rPr>
            </w:r>
            <w:r>
              <w:rPr>
                <w:noProof/>
                <w:webHidden/>
              </w:rPr>
              <w:fldChar w:fldCharType="separate"/>
            </w:r>
            <w:r>
              <w:rPr>
                <w:noProof/>
                <w:webHidden/>
              </w:rPr>
              <w:t>11</w:t>
            </w:r>
            <w:r>
              <w:rPr>
                <w:noProof/>
                <w:webHidden/>
              </w:rPr>
              <w:fldChar w:fldCharType="end"/>
            </w:r>
          </w:hyperlink>
        </w:p>
        <w:p w14:paraId="125DF4FF" w14:textId="77777777" w:rsidR="00C43955" w:rsidRDefault="00C43955">
          <w:pPr>
            <w:pStyle w:val="TOC1"/>
            <w:tabs>
              <w:tab w:val="right" w:leader="dot" w:pos="9350"/>
            </w:tabs>
            <w:rPr>
              <w:rFonts w:asciiTheme="minorHAnsi" w:eastAsiaTheme="minorEastAsia" w:hAnsiTheme="minorHAnsi"/>
              <w:noProof/>
              <w:kern w:val="0"/>
              <w:sz w:val="22"/>
              <w:szCs w:val="22"/>
              <w:lang w:val="en-US"/>
              <w14:ligatures w14:val="none"/>
            </w:rPr>
          </w:pPr>
          <w:hyperlink w:anchor="_Toc227165050" w:history="1">
            <w:r w:rsidRPr="00C3024D">
              <w:rPr>
                <w:rStyle w:val="Hyperlink"/>
                <w:rFonts w:ascii="Arial" w:hAnsi="Arial" w:cs="Arial"/>
                <w:noProof/>
              </w:rPr>
              <w:t>3. Working Capital Management Analysis</w:t>
            </w:r>
            <w:r>
              <w:rPr>
                <w:noProof/>
                <w:webHidden/>
              </w:rPr>
              <w:tab/>
            </w:r>
            <w:r>
              <w:rPr>
                <w:noProof/>
                <w:webHidden/>
              </w:rPr>
              <w:fldChar w:fldCharType="begin"/>
            </w:r>
            <w:r>
              <w:rPr>
                <w:noProof/>
                <w:webHidden/>
              </w:rPr>
              <w:instrText xml:space="preserve"> PAGEREF _Toc227165050 \h </w:instrText>
            </w:r>
            <w:r>
              <w:rPr>
                <w:noProof/>
                <w:webHidden/>
              </w:rPr>
            </w:r>
            <w:r>
              <w:rPr>
                <w:noProof/>
                <w:webHidden/>
              </w:rPr>
              <w:fldChar w:fldCharType="separate"/>
            </w:r>
            <w:r>
              <w:rPr>
                <w:noProof/>
                <w:webHidden/>
              </w:rPr>
              <w:t>12</w:t>
            </w:r>
            <w:r>
              <w:rPr>
                <w:noProof/>
                <w:webHidden/>
              </w:rPr>
              <w:fldChar w:fldCharType="end"/>
            </w:r>
          </w:hyperlink>
        </w:p>
        <w:p w14:paraId="398C86FF" w14:textId="77777777" w:rsidR="00C43955" w:rsidRDefault="00C43955">
          <w:pPr>
            <w:pStyle w:val="TOC2"/>
            <w:tabs>
              <w:tab w:val="right" w:leader="dot" w:pos="9350"/>
            </w:tabs>
            <w:rPr>
              <w:rFonts w:asciiTheme="minorHAnsi" w:eastAsiaTheme="minorEastAsia" w:hAnsiTheme="minorHAnsi"/>
              <w:noProof/>
              <w:kern w:val="0"/>
              <w:sz w:val="22"/>
              <w:szCs w:val="22"/>
              <w:lang w:val="en-US"/>
              <w14:ligatures w14:val="none"/>
            </w:rPr>
          </w:pPr>
          <w:hyperlink w:anchor="_Toc227165051" w:history="1">
            <w:r w:rsidRPr="00C3024D">
              <w:rPr>
                <w:rStyle w:val="Hyperlink"/>
                <w:rFonts w:ascii="Arial" w:hAnsi="Arial" w:cs="Arial"/>
                <w:noProof/>
              </w:rPr>
              <w:t>3.1 Cash Operating Cycle Assessment</w:t>
            </w:r>
            <w:r>
              <w:rPr>
                <w:noProof/>
                <w:webHidden/>
              </w:rPr>
              <w:tab/>
            </w:r>
            <w:r>
              <w:rPr>
                <w:noProof/>
                <w:webHidden/>
              </w:rPr>
              <w:fldChar w:fldCharType="begin"/>
            </w:r>
            <w:r>
              <w:rPr>
                <w:noProof/>
                <w:webHidden/>
              </w:rPr>
              <w:instrText xml:space="preserve"> PAGEREF _Toc227165051 \h </w:instrText>
            </w:r>
            <w:r>
              <w:rPr>
                <w:noProof/>
                <w:webHidden/>
              </w:rPr>
            </w:r>
            <w:r>
              <w:rPr>
                <w:noProof/>
                <w:webHidden/>
              </w:rPr>
              <w:fldChar w:fldCharType="separate"/>
            </w:r>
            <w:r>
              <w:rPr>
                <w:noProof/>
                <w:webHidden/>
              </w:rPr>
              <w:t>12</w:t>
            </w:r>
            <w:r>
              <w:rPr>
                <w:noProof/>
                <w:webHidden/>
              </w:rPr>
              <w:fldChar w:fldCharType="end"/>
            </w:r>
          </w:hyperlink>
        </w:p>
        <w:p w14:paraId="5F23AC7E" w14:textId="77777777" w:rsidR="00C43955" w:rsidRDefault="00C43955">
          <w:pPr>
            <w:pStyle w:val="TOC2"/>
            <w:tabs>
              <w:tab w:val="right" w:leader="dot" w:pos="9350"/>
            </w:tabs>
            <w:rPr>
              <w:rFonts w:asciiTheme="minorHAnsi" w:eastAsiaTheme="minorEastAsia" w:hAnsiTheme="minorHAnsi"/>
              <w:noProof/>
              <w:kern w:val="0"/>
              <w:sz w:val="22"/>
              <w:szCs w:val="22"/>
              <w:lang w:val="en-US"/>
              <w14:ligatures w14:val="none"/>
            </w:rPr>
          </w:pPr>
          <w:hyperlink w:anchor="_Toc227165052" w:history="1">
            <w:r w:rsidRPr="00C3024D">
              <w:rPr>
                <w:rStyle w:val="Hyperlink"/>
                <w:rFonts w:ascii="Arial" w:hAnsi="Arial" w:cs="Arial"/>
                <w:noProof/>
              </w:rPr>
              <w:t>3.2 Working Capital Problems Identified</w:t>
            </w:r>
            <w:r>
              <w:rPr>
                <w:noProof/>
                <w:webHidden/>
              </w:rPr>
              <w:tab/>
            </w:r>
            <w:r>
              <w:rPr>
                <w:noProof/>
                <w:webHidden/>
              </w:rPr>
              <w:fldChar w:fldCharType="begin"/>
            </w:r>
            <w:r>
              <w:rPr>
                <w:noProof/>
                <w:webHidden/>
              </w:rPr>
              <w:instrText xml:space="preserve"> PAGEREF _Toc227165052 \h </w:instrText>
            </w:r>
            <w:r>
              <w:rPr>
                <w:noProof/>
                <w:webHidden/>
              </w:rPr>
            </w:r>
            <w:r>
              <w:rPr>
                <w:noProof/>
                <w:webHidden/>
              </w:rPr>
              <w:fldChar w:fldCharType="separate"/>
            </w:r>
            <w:r>
              <w:rPr>
                <w:noProof/>
                <w:webHidden/>
              </w:rPr>
              <w:t>13</w:t>
            </w:r>
            <w:r>
              <w:rPr>
                <w:noProof/>
                <w:webHidden/>
              </w:rPr>
              <w:fldChar w:fldCharType="end"/>
            </w:r>
          </w:hyperlink>
        </w:p>
        <w:p w14:paraId="769D3F07" w14:textId="77777777" w:rsidR="00C43955" w:rsidRDefault="00C43955">
          <w:pPr>
            <w:pStyle w:val="TOC2"/>
            <w:tabs>
              <w:tab w:val="right" w:leader="dot" w:pos="9350"/>
            </w:tabs>
            <w:rPr>
              <w:rFonts w:asciiTheme="minorHAnsi" w:eastAsiaTheme="minorEastAsia" w:hAnsiTheme="minorHAnsi"/>
              <w:noProof/>
              <w:kern w:val="0"/>
              <w:sz w:val="22"/>
              <w:szCs w:val="22"/>
              <w:lang w:val="en-US"/>
              <w14:ligatures w14:val="none"/>
            </w:rPr>
          </w:pPr>
          <w:hyperlink w:anchor="_Toc227165053" w:history="1">
            <w:r w:rsidRPr="00C3024D">
              <w:rPr>
                <w:rStyle w:val="Hyperlink"/>
                <w:rFonts w:ascii="Arial" w:hAnsi="Arial" w:cs="Arial"/>
                <w:noProof/>
              </w:rPr>
              <w:t>3.3 Working Capital Improvement Strategies</w:t>
            </w:r>
            <w:r>
              <w:rPr>
                <w:noProof/>
                <w:webHidden/>
              </w:rPr>
              <w:tab/>
            </w:r>
            <w:r>
              <w:rPr>
                <w:noProof/>
                <w:webHidden/>
              </w:rPr>
              <w:fldChar w:fldCharType="begin"/>
            </w:r>
            <w:r>
              <w:rPr>
                <w:noProof/>
                <w:webHidden/>
              </w:rPr>
              <w:instrText xml:space="preserve"> PAGEREF _Toc227165053 \h </w:instrText>
            </w:r>
            <w:r>
              <w:rPr>
                <w:noProof/>
                <w:webHidden/>
              </w:rPr>
            </w:r>
            <w:r>
              <w:rPr>
                <w:noProof/>
                <w:webHidden/>
              </w:rPr>
              <w:fldChar w:fldCharType="separate"/>
            </w:r>
            <w:r>
              <w:rPr>
                <w:noProof/>
                <w:webHidden/>
              </w:rPr>
              <w:t>13</w:t>
            </w:r>
            <w:r>
              <w:rPr>
                <w:noProof/>
                <w:webHidden/>
              </w:rPr>
              <w:fldChar w:fldCharType="end"/>
            </w:r>
          </w:hyperlink>
        </w:p>
        <w:p w14:paraId="0987E6E8" w14:textId="77777777" w:rsidR="00C43955" w:rsidRDefault="00C43955">
          <w:pPr>
            <w:pStyle w:val="TOC2"/>
            <w:tabs>
              <w:tab w:val="right" w:leader="dot" w:pos="9350"/>
            </w:tabs>
            <w:rPr>
              <w:rFonts w:asciiTheme="minorHAnsi" w:eastAsiaTheme="minorEastAsia" w:hAnsiTheme="minorHAnsi"/>
              <w:noProof/>
              <w:kern w:val="0"/>
              <w:sz w:val="22"/>
              <w:szCs w:val="22"/>
              <w:lang w:val="en-US"/>
              <w14:ligatures w14:val="none"/>
            </w:rPr>
          </w:pPr>
          <w:hyperlink w:anchor="_Toc227165054" w:history="1">
            <w:r w:rsidRPr="00C3024D">
              <w:rPr>
                <w:rStyle w:val="Hyperlink"/>
                <w:rFonts w:ascii="Arial" w:hAnsi="Arial" w:cs="Arial"/>
                <w:noProof/>
              </w:rPr>
              <w:t>3.4 Short-Term vs Long-Term Financing Comparison</w:t>
            </w:r>
            <w:r>
              <w:rPr>
                <w:noProof/>
                <w:webHidden/>
              </w:rPr>
              <w:tab/>
            </w:r>
            <w:r>
              <w:rPr>
                <w:noProof/>
                <w:webHidden/>
              </w:rPr>
              <w:fldChar w:fldCharType="begin"/>
            </w:r>
            <w:r>
              <w:rPr>
                <w:noProof/>
                <w:webHidden/>
              </w:rPr>
              <w:instrText xml:space="preserve"> PAGEREF _Toc227165054 \h </w:instrText>
            </w:r>
            <w:r>
              <w:rPr>
                <w:noProof/>
                <w:webHidden/>
              </w:rPr>
            </w:r>
            <w:r>
              <w:rPr>
                <w:noProof/>
                <w:webHidden/>
              </w:rPr>
              <w:fldChar w:fldCharType="separate"/>
            </w:r>
            <w:r>
              <w:rPr>
                <w:noProof/>
                <w:webHidden/>
              </w:rPr>
              <w:t>14</w:t>
            </w:r>
            <w:r>
              <w:rPr>
                <w:noProof/>
                <w:webHidden/>
              </w:rPr>
              <w:fldChar w:fldCharType="end"/>
            </w:r>
          </w:hyperlink>
        </w:p>
        <w:p w14:paraId="3DB21365" w14:textId="77777777" w:rsidR="00C43955" w:rsidRDefault="00C43955">
          <w:pPr>
            <w:pStyle w:val="TOC1"/>
            <w:tabs>
              <w:tab w:val="right" w:leader="dot" w:pos="9350"/>
            </w:tabs>
            <w:rPr>
              <w:rFonts w:asciiTheme="minorHAnsi" w:eastAsiaTheme="minorEastAsia" w:hAnsiTheme="minorHAnsi"/>
              <w:noProof/>
              <w:kern w:val="0"/>
              <w:sz w:val="22"/>
              <w:szCs w:val="22"/>
              <w:lang w:val="en-US"/>
              <w14:ligatures w14:val="none"/>
            </w:rPr>
          </w:pPr>
          <w:hyperlink w:anchor="_Toc227165055" w:history="1">
            <w:r w:rsidRPr="00C3024D">
              <w:rPr>
                <w:rStyle w:val="Hyperlink"/>
                <w:rFonts w:ascii="Arial" w:hAnsi="Arial" w:cs="Arial"/>
                <w:noProof/>
              </w:rPr>
              <w:t>4. Strategic Financial Restructuring Plan</w:t>
            </w:r>
            <w:r>
              <w:rPr>
                <w:noProof/>
                <w:webHidden/>
              </w:rPr>
              <w:tab/>
            </w:r>
            <w:r>
              <w:rPr>
                <w:noProof/>
                <w:webHidden/>
              </w:rPr>
              <w:fldChar w:fldCharType="begin"/>
            </w:r>
            <w:r>
              <w:rPr>
                <w:noProof/>
                <w:webHidden/>
              </w:rPr>
              <w:instrText xml:space="preserve"> PAGEREF _Toc227165055 \h </w:instrText>
            </w:r>
            <w:r>
              <w:rPr>
                <w:noProof/>
                <w:webHidden/>
              </w:rPr>
            </w:r>
            <w:r>
              <w:rPr>
                <w:noProof/>
                <w:webHidden/>
              </w:rPr>
              <w:fldChar w:fldCharType="separate"/>
            </w:r>
            <w:r>
              <w:rPr>
                <w:noProof/>
                <w:webHidden/>
              </w:rPr>
              <w:t>15</w:t>
            </w:r>
            <w:r>
              <w:rPr>
                <w:noProof/>
                <w:webHidden/>
              </w:rPr>
              <w:fldChar w:fldCharType="end"/>
            </w:r>
          </w:hyperlink>
        </w:p>
        <w:p w14:paraId="739EDD9C" w14:textId="77777777" w:rsidR="00C43955" w:rsidRDefault="00C43955">
          <w:pPr>
            <w:pStyle w:val="TOC2"/>
            <w:tabs>
              <w:tab w:val="right" w:leader="dot" w:pos="9350"/>
            </w:tabs>
            <w:rPr>
              <w:rFonts w:asciiTheme="minorHAnsi" w:eastAsiaTheme="minorEastAsia" w:hAnsiTheme="minorHAnsi"/>
              <w:noProof/>
              <w:kern w:val="0"/>
              <w:sz w:val="22"/>
              <w:szCs w:val="22"/>
              <w:lang w:val="en-US"/>
              <w14:ligatures w14:val="none"/>
            </w:rPr>
          </w:pPr>
          <w:hyperlink w:anchor="_Toc227165056" w:history="1">
            <w:r w:rsidRPr="00C3024D">
              <w:rPr>
                <w:rStyle w:val="Hyperlink"/>
                <w:rFonts w:ascii="Arial" w:hAnsi="Arial" w:cs="Arial"/>
                <w:noProof/>
              </w:rPr>
              <w:t>4.1 Need for Financial Restructuring</w:t>
            </w:r>
            <w:r>
              <w:rPr>
                <w:noProof/>
                <w:webHidden/>
              </w:rPr>
              <w:tab/>
            </w:r>
            <w:r>
              <w:rPr>
                <w:noProof/>
                <w:webHidden/>
              </w:rPr>
              <w:fldChar w:fldCharType="begin"/>
            </w:r>
            <w:r>
              <w:rPr>
                <w:noProof/>
                <w:webHidden/>
              </w:rPr>
              <w:instrText xml:space="preserve"> PAGEREF _Toc227165056 \h </w:instrText>
            </w:r>
            <w:r>
              <w:rPr>
                <w:noProof/>
                <w:webHidden/>
              </w:rPr>
            </w:r>
            <w:r>
              <w:rPr>
                <w:noProof/>
                <w:webHidden/>
              </w:rPr>
              <w:fldChar w:fldCharType="separate"/>
            </w:r>
            <w:r>
              <w:rPr>
                <w:noProof/>
                <w:webHidden/>
              </w:rPr>
              <w:t>15</w:t>
            </w:r>
            <w:r>
              <w:rPr>
                <w:noProof/>
                <w:webHidden/>
              </w:rPr>
              <w:fldChar w:fldCharType="end"/>
            </w:r>
          </w:hyperlink>
        </w:p>
        <w:p w14:paraId="30A8944C" w14:textId="77777777" w:rsidR="00C43955" w:rsidRDefault="00C43955">
          <w:pPr>
            <w:pStyle w:val="TOC2"/>
            <w:tabs>
              <w:tab w:val="right" w:leader="dot" w:pos="9350"/>
            </w:tabs>
            <w:rPr>
              <w:rFonts w:asciiTheme="minorHAnsi" w:eastAsiaTheme="minorEastAsia" w:hAnsiTheme="minorHAnsi"/>
              <w:noProof/>
              <w:kern w:val="0"/>
              <w:sz w:val="22"/>
              <w:szCs w:val="22"/>
              <w:lang w:val="en-US"/>
              <w14:ligatures w14:val="none"/>
            </w:rPr>
          </w:pPr>
          <w:hyperlink w:anchor="_Toc227165057" w:history="1">
            <w:r w:rsidRPr="00C3024D">
              <w:rPr>
                <w:rStyle w:val="Hyperlink"/>
                <w:rFonts w:ascii="Arial" w:hAnsi="Arial" w:cs="Arial"/>
                <w:noProof/>
              </w:rPr>
              <w:t>4.2 Recommended Restructuring Strategy 1 – Divestiture of Non-Core Assets</w:t>
            </w:r>
            <w:r>
              <w:rPr>
                <w:noProof/>
                <w:webHidden/>
              </w:rPr>
              <w:tab/>
            </w:r>
            <w:r>
              <w:rPr>
                <w:noProof/>
                <w:webHidden/>
              </w:rPr>
              <w:fldChar w:fldCharType="begin"/>
            </w:r>
            <w:r>
              <w:rPr>
                <w:noProof/>
                <w:webHidden/>
              </w:rPr>
              <w:instrText xml:space="preserve"> PAGEREF _Toc227165057 \h </w:instrText>
            </w:r>
            <w:r>
              <w:rPr>
                <w:noProof/>
                <w:webHidden/>
              </w:rPr>
            </w:r>
            <w:r>
              <w:rPr>
                <w:noProof/>
                <w:webHidden/>
              </w:rPr>
              <w:fldChar w:fldCharType="separate"/>
            </w:r>
            <w:r>
              <w:rPr>
                <w:noProof/>
                <w:webHidden/>
              </w:rPr>
              <w:t>16</w:t>
            </w:r>
            <w:r>
              <w:rPr>
                <w:noProof/>
                <w:webHidden/>
              </w:rPr>
              <w:fldChar w:fldCharType="end"/>
            </w:r>
          </w:hyperlink>
        </w:p>
        <w:p w14:paraId="4E4DED5E" w14:textId="77777777" w:rsidR="00C43955" w:rsidRDefault="00C43955">
          <w:pPr>
            <w:pStyle w:val="TOC2"/>
            <w:tabs>
              <w:tab w:val="right" w:leader="dot" w:pos="9350"/>
            </w:tabs>
            <w:rPr>
              <w:rFonts w:asciiTheme="minorHAnsi" w:eastAsiaTheme="minorEastAsia" w:hAnsiTheme="minorHAnsi"/>
              <w:noProof/>
              <w:kern w:val="0"/>
              <w:sz w:val="22"/>
              <w:szCs w:val="22"/>
              <w:lang w:val="en-US"/>
              <w14:ligatures w14:val="none"/>
            </w:rPr>
          </w:pPr>
          <w:hyperlink w:anchor="_Toc227165058" w:history="1">
            <w:r w:rsidRPr="00C3024D">
              <w:rPr>
                <w:rStyle w:val="Hyperlink"/>
                <w:rFonts w:ascii="Arial" w:hAnsi="Arial" w:cs="Arial"/>
                <w:noProof/>
              </w:rPr>
              <w:t>4.3 Recommended Restructuring Strategy 2 – Equity Injection and Retained Earnings Reinvestment</w:t>
            </w:r>
            <w:r>
              <w:rPr>
                <w:noProof/>
                <w:webHidden/>
              </w:rPr>
              <w:tab/>
            </w:r>
            <w:r>
              <w:rPr>
                <w:noProof/>
                <w:webHidden/>
              </w:rPr>
              <w:fldChar w:fldCharType="begin"/>
            </w:r>
            <w:r>
              <w:rPr>
                <w:noProof/>
                <w:webHidden/>
              </w:rPr>
              <w:instrText xml:space="preserve"> PAGEREF _Toc227165058 \h </w:instrText>
            </w:r>
            <w:r>
              <w:rPr>
                <w:noProof/>
                <w:webHidden/>
              </w:rPr>
            </w:r>
            <w:r>
              <w:rPr>
                <w:noProof/>
                <w:webHidden/>
              </w:rPr>
              <w:fldChar w:fldCharType="separate"/>
            </w:r>
            <w:r>
              <w:rPr>
                <w:noProof/>
                <w:webHidden/>
              </w:rPr>
              <w:t>16</w:t>
            </w:r>
            <w:r>
              <w:rPr>
                <w:noProof/>
                <w:webHidden/>
              </w:rPr>
              <w:fldChar w:fldCharType="end"/>
            </w:r>
          </w:hyperlink>
        </w:p>
        <w:p w14:paraId="1E980D1C" w14:textId="77777777" w:rsidR="00C43955" w:rsidRDefault="00C43955">
          <w:pPr>
            <w:pStyle w:val="TOC2"/>
            <w:tabs>
              <w:tab w:val="right" w:leader="dot" w:pos="9350"/>
            </w:tabs>
            <w:rPr>
              <w:rFonts w:asciiTheme="minorHAnsi" w:eastAsiaTheme="minorEastAsia" w:hAnsiTheme="minorHAnsi"/>
              <w:noProof/>
              <w:kern w:val="0"/>
              <w:sz w:val="22"/>
              <w:szCs w:val="22"/>
              <w:lang w:val="en-US"/>
              <w14:ligatures w14:val="none"/>
            </w:rPr>
          </w:pPr>
          <w:hyperlink w:anchor="_Toc227165059" w:history="1">
            <w:r w:rsidRPr="00C3024D">
              <w:rPr>
                <w:rStyle w:val="Hyperlink"/>
                <w:rFonts w:ascii="Arial" w:hAnsi="Arial" w:cs="Arial"/>
                <w:noProof/>
              </w:rPr>
              <w:t>4.4 Recommended Restructuring Strategy 3 – Strategic Partnerships, Joint Ventures, and Alliances</w:t>
            </w:r>
            <w:r>
              <w:rPr>
                <w:noProof/>
                <w:webHidden/>
              </w:rPr>
              <w:tab/>
            </w:r>
            <w:r>
              <w:rPr>
                <w:noProof/>
                <w:webHidden/>
              </w:rPr>
              <w:fldChar w:fldCharType="begin"/>
            </w:r>
            <w:r>
              <w:rPr>
                <w:noProof/>
                <w:webHidden/>
              </w:rPr>
              <w:instrText xml:space="preserve"> PAGEREF _Toc227165059 \h </w:instrText>
            </w:r>
            <w:r>
              <w:rPr>
                <w:noProof/>
                <w:webHidden/>
              </w:rPr>
            </w:r>
            <w:r>
              <w:rPr>
                <w:noProof/>
                <w:webHidden/>
              </w:rPr>
              <w:fldChar w:fldCharType="separate"/>
            </w:r>
            <w:r>
              <w:rPr>
                <w:noProof/>
                <w:webHidden/>
              </w:rPr>
              <w:t>17</w:t>
            </w:r>
            <w:r>
              <w:rPr>
                <w:noProof/>
                <w:webHidden/>
              </w:rPr>
              <w:fldChar w:fldCharType="end"/>
            </w:r>
          </w:hyperlink>
        </w:p>
        <w:p w14:paraId="4A3BBC78" w14:textId="77777777" w:rsidR="00C43955" w:rsidRDefault="00C43955">
          <w:pPr>
            <w:pStyle w:val="TOC2"/>
            <w:tabs>
              <w:tab w:val="right" w:leader="dot" w:pos="9350"/>
            </w:tabs>
            <w:rPr>
              <w:rFonts w:asciiTheme="minorHAnsi" w:eastAsiaTheme="minorEastAsia" w:hAnsiTheme="minorHAnsi"/>
              <w:noProof/>
              <w:kern w:val="0"/>
              <w:sz w:val="22"/>
              <w:szCs w:val="22"/>
              <w:lang w:val="en-US"/>
              <w14:ligatures w14:val="none"/>
            </w:rPr>
          </w:pPr>
          <w:hyperlink w:anchor="_Toc227165060" w:history="1">
            <w:r w:rsidRPr="00C3024D">
              <w:rPr>
                <w:rStyle w:val="Hyperlink"/>
                <w:rFonts w:ascii="Arial" w:hAnsi="Arial" w:cs="Arial"/>
                <w:noProof/>
              </w:rPr>
              <w:t>4.5 Impact Assessment of Restructuring Recommendations</w:t>
            </w:r>
            <w:r>
              <w:rPr>
                <w:noProof/>
                <w:webHidden/>
              </w:rPr>
              <w:tab/>
            </w:r>
            <w:r>
              <w:rPr>
                <w:noProof/>
                <w:webHidden/>
              </w:rPr>
              <w:fldChar w:fldCharType="begin"/>
            </w:r>
            <w:r>
              <w:rPr>
                <w:noProof/>
                <w:webHidden/>
              </w:rPr>
              <w:instrText xml:space="preserve"> PAGEREF _Toc227165060 \h </w:instrText>
            </w:r>
            <w:r>
              <w:rPr>
                <w:noProof/>
                <w:webHidden/>
              </w:rPr>
            </w:r>
            <w:r>
              <w:rPr>
                <w:noProof/>
                <w:webHidden/>
              </w:rPr>
              <w:fldChar w:fldCharType="separate"/>
            </w:r>
            <w:r>
              <w:rPr>
                <w:noProof/>
                <w:webHidden/>
              </w:rPr>
              <w:t>18</w:t>
            </w:r>
            <w:r>
              <w:rPr>
                <w:noProof/>
                <w:webHidden/>
              </w:rPr>
              <w:fldChar w:fldCharType="end"/>
            </w:r>
          </w:hyperlink>
        </w:p>
        <w:p w14:paraId="70BA2481" w14:textId="77777777" w:rsidR="00C43955" w:rsidRDefault="00C43955">
          <w:pPr>
            <w:pStyle w:val="TOC2"/>
            <w:tabs>
              <w:tab w:val="right" w:leader="dot" w:pos="9350"/>
            </w:tabs>
            <w:rPr>
              <w:rFonts w:asciiTheme="minorHAnsi" w:eastAsiaTheme="minorEastAsia" w:hAnsiTheme="minorHAnsi"/>
              <w:noProof/>
              <w:kern w:val="0"/>
              <w:sz w:val="22"/>
              <w:szCs w:val="22"/>
              <w:lang w:val="en-US"/>
              <w14:ligatures w14:val="none"/>
            </w:rPr>
          </w:pPr>
          <w:hyperlink w:anchor="_Toc227165061" w:history="1">
            <w:r w:rsidRPr="00C3024D">
              <w:rPr>
                <w:rStyle w:val="Hyperlink"/>
                <w:rFonts w:ascii="Arial" w:hAnsi="Arial" w:cs="Arial"/>
                <w:noProof/>
              </w:rPr>
              <w:t>4.6 International and Ethical Considerations</w:t>
            </w:r>
            <w:r>
              <w:rPr>
                <w:noProof/>
                <w:webHidden/>
              </w:rPr>
              <w:tab/>
            </w:r>
            <w:r>
              <w:rPr>
                <w:noProof/>
                <w:webHidden/>
              </w:rPr>
              <w:fldChar w:fldCharType="begin"/>
            </w:r>
            <w:r>
              <w:rPr>
                <w:noProof/>
                <w:webHidden/>
              </w:rPr>
              <w:instrText xml:space="preserve"> PAGEREF _Toc227165061 \h </w:instrText>
            </w:r>
            <w:r>
              <w:rPr>
                <w:noProof/>
                <w:webHidden/>
              </w:rPr>
            </w:r>
            <w:r>
              <w:rPr>
                <w:noProof/>
                <w:webHidden/>
              </w:rPr>
              <w:fldChar w:fldCharType="separate"/>
            </w:r>
            <w:r>
              <w:rPr>
                <w:noProof/>
                <w:webHidden/>
              </w:rPr>
              <w:t>18</w:t>
            </w:r>
            <w:r>
              <w:rPr>
                <w:noProof/>
                <w:webHidden/>
              </w:rPr>
              <w:fldChar w:fldCharType="end"/>
            </w:r>
          </w:hyperlink>
        </w:p>
        <w:p w14:paraId="30174BB2" w14:textId="77777777" w:rsidR="00C43955" w:rsidRDefault="00C43955">
          <w:pPr>
            <w:pStyle w:val="TOC1"/>
            <w:tabs>
              <w:tab w:val="right" w:leader="dot" w:pos="9350"/>
            </w:tabs>
            <w:rPr>
              <w:rFonts w:asciiTheme="minorHAnsi" w:eastAsiaTheme="minorEastAsia" w:hAnsiTheme="minorHAnsi"/>
              <w:noProof/>
              <w:kern w:val="0"/>
              <w:sz w:val="22"/>
              <w:szCs w:val="22"/>
              <w:lang w:val="en-US"/>
              <w14:ligatures w14:val="none"/>
            </w:rPr>
          </w:pPr>
          <w:hyperlink w:anchor="_Toc227165062" w:history="1">
            <w:r w:rsidRPr="00C3024D">
              <w:rPr>
                <w:rStyle w:val="Hyperlink"/>
                <w:rFonts w:ascii="Arial" w:hAnsi="Arial" w:cs="Arial"/>
                <w:noProof/>
              </w:rPr>
              <w:t>5. Investment Appraisal and Capital Budgeting</w:t>
            </w:r>
            <w:r>
              <w:rPr>
                <w:noProof/>
                <w:webHidden/>
              </w:rPr>
              <w:tab/>
            </w:r>
            <w:r>
              <w:rPr>
                <w:noProof/>
                <w:webHidden/>
              </w:rPr>
              <w:fldChar w:fldCharType="begin"/>
            </w:r>
            <w:r>
              <w:rPr>
                <w:noProof/>
                <w:webHidden/>
              </w:rPr>
              <w:instrText xml:space="preserve"> PAGEREF _Toc227165062 \h </w:instrText>
            </w:r>
            <w:r>
              <w:rPr>
                <w:noProof/>
                <w:webHidden/>
              </w:rPr>
            </w:r>
            <w:r>
              <w:rPr>
                <w:noProof/>
                <w:webHidden/>
              </w:rPr>
              <w:fldChar w:fldCharType="separate"/>
            </w:r>
            <w:r>
              <w:rPr>
                <w:noProof/>
                <w:webHidden/>
              </w:rPr>
              <w:t>19</w:t>
            </w:r>
            <w:r>
              <w:rPr>
                <w:noProof/>
                <w:webHidden/>
              </w:rPr>
              <w:fldChar w:fldCharType="end"/>
            </w:r>
          </w:hyperlink>
        </w:p>
        <w:p w14:paraId="08BFB59F" w14:textId="77777777" w:rsidR="00C43955" w:rsidRDefault="00C43955">
          <w:pPr>
            <w:pStyle w:val="TOC2"/>
            <w:tabs>
              <w:tab w:val="right" w:leader="dot" w:pos="9350"/>
            </w:tabs>
            <w:rPr>
              <w:rFonts w:asciiTheme="minorHAnsi" w:eastAsiaTheme="minorEastAsia" w:hAnsiTheme="minorHAnsi"/>
              <w:noProof/>
              <w:kern w:val="0"/>
              <w:sz w:val="22"/>
              <w:szCs w:val="22"/>
              <w:lang w:val="en-US"/>
              <w14:ligatures w14:val="none"/>
            </w:rPr>
          </w:pPr>
          <w:hyperlink w:anchor="_Toc227165063" w:history="1">
            <w:r w:rsidRPr="00C3024D">
              <w:rPr>
                <w:rStyle w:val="Hyperlink"/>
                <w:rFonts w:ascii="Arial" w:hAnsi="Arial" w:cs="Arial"/>
                <w:noProof/>
              </w:rPr>
              <w:t>5.1 Investment Appraisal Methodology</w:t>
            </w:r>
            <w:r>
              <w:rPr>
                <w:noProof/>
                <w:webHidden/>
              </w:rPr>
              <w:tab/>
            </w:r>
            <w:r>
              <w:rPr>
                <w:noProof/>
                <w:webHidden/>
              </w:rPr>
              <w:fldChar w:fldCharType="begin"/>
            </w:r>
            <w:r>
              <w:rPr>
                <w:noProof/>
                <w:webHidden/>
              </w:rPr>
              <w:instrText xml:space="preserve"> PAGEREF _Toc227165063 \h </w:instrText>
            </w:r>
            <w:r>
              <w:rPr>
                <w:noProof/>
                <w:webHidden/>
              </w:rPr>
            </w:r>
            <w:r>
              <w:rPr>
                <w:noProof/>
                <w:webHidden/>
              </w:rPr>
              <w:fldChar w:fldCharType="separate"/>
            </w:r>
            <w:r>
              <w:rPr>
                <w:noProof/>
                <w:webHidden/>
              </w:rPr>
              <w:t>19</w:t>
            </w:r>
            <w:r>
              <w:rPr>
                <w:noProof/>
                <w:webHidden/>
              </w:rPr>
              <w:fldChar w:fldCharType="end"/>
            </w:r>
          </w:hyperlink>
        </w:p>
        <w:p w14:paraId="3DA752F4" w14:textId="77777777" w:rsidR="00C43955" w:rsidRDefault="00C43955">
          <w:pPr>
            <w:pStyle w:val="TOC2"/>
            <w:tabs>
              <w:tab w:val="right" w:leader="dot" w:pos="9350"/>
            </w:tabs>
            <w:rPr>
              <w:rFonts w:asciiTheme="minorHAnsi" w:eastAsiaTheme="minorEastAsia" w:hAnsiTheme="minorHAnsi"/>
              <w:noProof/>
              <w:kern w:val="0"/>
              <w:sz w:val="22"/>
              <w:szCs w:val="22"/>
              <w:lang w:val="en-US"/>
              <w14:ligatures w14:val="none"/>
            </w:rPr>
          </w:pPr>
          <w:hyperlink w:anchor="_Toc227165064" w:history="1">
            <w:r w:rsidRPr="00C3024D">
              <w:rPr>
                <w:rStyle w:val="Hyperlink"/>
                <w:rFonts w:ascii="Arial" w:hAnsi="Arial" w:cs="Arial"/>
                <w:noProof/>
              </w:rPr>
              <w:t>5.2 Appraisal Results and Interpretation</w:t>
            </w:r>
            <w:r>
              <w:rPr>
                <w:noProof/>
                <w:webHidden/>
              </w:rPr>
              <w:tab/>
            </w:r>
            <w:r>
              <w:rPr>
                <w:noProof/>
                <w:webHidden/>
              </w:rPr>
              <w:fldChar w:fldCharType="begin"/>
            </w:r>
            <w:r>
              <w:rPr>
                <w:noProof/>
                <w:webHidden/>
              </w:rPr>
              <w:instrText xml:space="preserve"> PAGEREF _Toc227165064 \h </w:instrText>
            </w:r>
            <w:r>
              <w:rPr>
                <w:noProof/>
                <w:webHidden/>
              </w:rPr>
            </w:r>
            <w:r>
              <w:rPr>
                <w:noProof/>
                <w:webHidden/>
              </w:rPr>
              <w:fldChar w:fldCharType="separate"/>
            </w:r>
            <w:r>
              <w:rPr>
                <w:noProof/>
                <w:webHidden/>
              </w:rPr>
              <w:t>20</w:t>
            </w:r>
            <w:r>
              <w:rPr>
                <w:noProof/>
                <w:webHidden/>
              </w:rPr>
              <w:fldChar w:fldCharType="end"/>
            </w:r>
          </w:hyperlink>
        </w:p>
        <w:p w14:paraId="57262B56" w14:textId="77777777" w:rsidR="00C43955" w:rsidRDefault="00C43955">
          <w:pPr>
            <w:pStyle w:val="TOC2"/>
            <w:tabs>
              <w:tab w:val="right" w:leader="dot" w:pos="9350"/>
            </w:tabs>
            <w:rPr>
              <w:rFonts w:asciiTheme="minorHAnsi" w:eastAsiaTheme="minorEastAsia" w:hAnsiTheme="minorHAnsi"/>
              <w:noProof/>
              <w:kern w:val="0"/>
              <w:sz w:val="22"/>
              <w:szCs w:val="22"/>
              <w:lang w:val="en-US"/>
              <w14:ligatures w14:val="none"/>
            </w:rPr>
          </w:pPr>
          <w:hyperlink w:anchor="_Toc227165065" w:history="1">
            <w:r w:rsidRPr="00C3024D">
              <w:rPr>
                <w:rStyle w:val="Hyperlink"/>
                <w:rFonts w:ascii="Arial" w:hAnsi="Arial" w:cs="Arial"/>
                <w:noProof/>
              </w:rPr>
              <w:t>5.3 Recommended Single Project</w:t>
            </w:r>
            <w:r>
              <w:rPr>
                <w:noProof/>
                <w:webHidden/>
              </w:rPr>
              <w:tab/>
            </w:r>
            <w:r>
              <w:rPr>
                <w:noProof/>
                <w:webHidden/>
              </w:rPr>
              <w:fldChar w:fldCharType="begin"/>
            </w:r>
            <w:r>
              <w:rPr>
                <w:noProof/>
                <w:webHidden/>
              </w:rPr>
              <w:instrText xml:space="preserve"> PAGEREF _Toc227165065 \h </w:instrText>
            </w:r>
            <w:r>
              <w:rPr>
                <w:noProof/>
                <w:webHidden/>
              </w:rPr>
            </w:r>
            <w:r>
              <w:rPr>
                <w:noProof/>
                <w:webHidden/>
              </w:rPr>
              <w:fldChar w:fldCharType="separate"/>
            </w:r>
            <w:r>
              <w:rPr>
                <w:noProof/>
                <w:webHidden/>
              </w:rPr>
              <w:t>21</w:t>
            </w:r>
            <w:r>
              <w:rPr>
                <w:noProof/>
                <w:webHidden/>
              </w:rPr>
              <w:fldChar w:fldCharType="end"/>
            </w:r>
          </w:hyperlink>
        </w:p>
        <w:p w14:paraId="6E597421" w14:textId="77777777" w:rsidR="00C43955" w:rsidRDefault="00C43955">
          <w:pPr>
            <w:pStyle w:val="TOC2"/>
            <w:tabs>
              <w:tab w:val="right" w:leader="dot" w:pos="9350"/>
            </w:tabs>
            <w:rPr>
              <w:rFonts w:asciiTheme="minorHAnsi" w:eastAsiaTheme="minorEastAsia" w:hAnsiTheme="minorHAnsi"/>
              <w:noProof/>
              <w:kern w:val="0"/>
              <w:sz w:val="22"/>
              <w:szCs w:val="22"/>
              <w:lang w:val="en-US"/>
              <w14:ligatures w14:val="none"/>
            </w:rPr>
          </w:pPr>
          <w:hyperlink w:anchor="_Toc227165066" w:history="1">
            <w:r w:rsidRPr="00C3024D">
              <w:rPr>
                <w:rStyle w:val="Hyperlink"/>
                <w:rFonts w:ascii="Arial" w:hAnsi="Arial" w:cs="Arial"/>
                <w:noProof/>
              </w:rPr>
              <w:t>5.4 Non-Financial Risk Assessment</w:t>
            </w:r>
            <w:r>
              <w:rPr>
                <w:noProof/>
                <w:webHidden/>
              </w:rPr>
              <w:tab/>
            </w:r>
            <w:r>
              <w:rPr>
                <w:noProof/>
                <w:webHidden/>
              </w:rPr>
              <w:fldChar w:fldCharType="begin"/>
            </w:r>
            <w:r>
              <w:rPr>
                <w:noProof/>
                <w:webHidden/>
              </w:rPr>
              <w:instrText xml:space="preserve"> PAGEREF _Toc227165066 \h </w:instrText>
            </w:r>
            <w:r>
              <w:rPr>
                <w:noProof/>
                <w:webHidden/>
              </w:rPr>
            </w:r>
            <w:r>
              <w:rPr>
                <w:noProof/>
                <w:webHidden/>
              </w:rPr>
              <w:fldChar w:fldCharType="separate"/>
            </w:r>
            <w:r>
              <w:rPr>
                <w:noProof/>
                <w:webHidden/>
              </w:rPr>
              <w:t>22</w:t>
            </w:r>
            <w:r>
              <w:rPr>
                <w:noProof/>
                <w:webHidden/>
              </w:rPr>
              <w:fldChar w:fldCharType="end"/>
            </w:r>
          </w:hyperlink>
        </w:p>
        <w:p w14:paraId="78C919C9" w14:textId="77777777" w:rsidR="00C43955" w:rsidRDefault="00C43955">
          <w:pPr>
            <w:pStyle w:val="TOC2"/>
            <w:tabs>
              <w:tab w:val="right" w:leader="dot" w:pos="9350"/>
            </w:tabs>
            <w:rPr>
              <w:rFonts w:asciiTheme="minorHAnsi" w:eastAsiaTheme="minorEastAsia" w:hAnsiTheme="minorHAnsi"/>
              <w:noProof/>
              <w:kern w:val="0"/>
              <w:sz w:val="22"/>
              <w:szCs w:val="22"/>
              <w:lang w:val="en-US"/>
              <w14:ligatures w14:val="none"/>
            </w:rPr>
          </w:pPr>
          <w:hyperlink w:anchor="_Toc227165067" w:history="1">
            <w:r w:rsidRPr="00C3024D">
              <w:rPr>
                <w:rStyle w:val="Hyperlink"/>
                <w:rFonts w:ascii="Arial" w:hAnsi="Arial" w:cs="Arial"/>
                <w:noProof/>
              </w:rPr>
              <w:t>5.5 Capital Rationing Analysis</w:t>
            </w:r>
            <w:r>
              <w:rPr>
                <w:noProof/>
                <w:webHidden/>
              </w:rPr>
              <w:tab/>
            </w:r>
            <w:r>
              <w:rPr>
                <w:noProof/>
                <w:webHidden/>
              </w:rPr>
              <w:fldChar w:fldCharType="begin"/>
            </w:r>
            <w:r>
              <w:rPr>
                <w:noProof/>
                <w:webHidden/>
              </w:rPr>
              <w:instrText xml:space="preserve"> PAGEREF _Toc227165067 \h </w:instrText>
            </w:r>
            <w:r>
              <w:rPr>
                <w:noProof/>
                <w:webHidden/>
              </w:rPr>
            </w:r>
            <w:r>
              <w:rPr>
                <w:noProof/>
                <w:webHidden/>
              </w:rPr>
              <w:fldChar w:fldCharType="separate"/>
            </w:r>
            <w:r>
              <w:rPr>
                <w:noProof/>
                <w:webHidden/>
              </w:rPr>
              <w:t>23</w:t>
            </w:r>
            <w:r>
              <w:rPr>
                <w:noProof/>
                <w:webHidden/>
              </w:rPr>
              <w:fldChar w:fldCharType="end"/>
            </w:r>
          </w:hyperlink>
        </w:p>
        <w:p w14:paraId="55EF2157" w14:textId="77777777" w:rsidR="00C43955" w:rsidRDefault="00C43955">
          <w:pPr>
            <w:pStyle w:val="TOC2"/>
            <w:tabs>
              <w:tab w:val="right" w:leader="dot" w:pos="9350"/>
            </w:tabs>
            <w:rPr>
              <w:rFonts w:asciiTheme="minorHAnsi" w:eastAsiaTheme="minorEastAsia" w:hAnsiTheme="minorHAnsi"/>
              <w:noProof/>
              <w:kern w:val="0"/>
              <w:sz w:val="22"/>
              <w:szCs w:val="22"/>
              <w:lang w:val="en-US"/>
              <w14:ligatures w14:val="none"/>
            </w:rPr>
          </w:pPr>
          <w:hyperlink w:anchor="_Toc227165068" w:history="1">
            <w:r w:rsidRPr="00C3024D">
              <w:rPr>
                <w:rStyle w:val="Hyperlink"/>
                <w:rFonts w:ascii="Arial" w:hAnsi="Arial" w:cs="Arial"/>
                <w:noProof/>
              </w:rPr>
              <w:t>5.6 Final Investment Recommendation</w:t>
            </w:r>
            <w:r>
              <w:rPr>
                <w:noProof/>
                <w:webHidden/>
              </w:rPr>
              <w:tab/>
            </w:r>
            <w:r>
              <w:rPr>
                <w:noProof/>
                <w:webHidden/>
              </w:rPr>
              <w:fldChar w:fldCharType="begin"/>
            </w:r>
            <w:r>
              <w:rPr>
                <w:noProof/>
                <w:webHidden/>
              </w:rPr>
              <w:instrText xml:space="preserve"> PAGEREF _Toc227165068 \h </w:instrText>
            </w:r>
            <w:r>
              <w:rPr>
                <w:noProof/>
                <w:webHidden/>
              </w:rPr>
            </w:r>
            <w:r>
              <w:rPr>
                <w:noProof/>
                <w:webHidden/>
              </w:rPr>
              <w:fldChar w:fldCharType="separate"/>
            </w:r>
            <w:r>
              <w:rPr>
                <w:noProof/>
                <w:webHidden/>
              </w:rPr>
              <w:t>23</w:t>
            </w:r>
            <w:r>
              <w:rPr>
                <w:noProof/>
                <w:webHidden/>
              </w:rPr>
              <w:fldChar w:fldCharType="end"/>
            </w:r>
          </w:hyperlink>
        </w:p>
        <w:p w14:paraId="51DEE10B" w14:textId="77777777" w:rsidR="00C43955" w:rsidRDefault="00C43955">
          <w:pPr>
            <w:pStyle w:val="TOC1"/>
            <w:tabs>
              <w:tab w:val="right" w:leader="dot" w:pos="9350"/>
            </w:tabs>
            <w:rPr>
              <w:rFonts w:asciiTheme="minorHAnsi" w:eastAsiaTheme="minorEastAsia" w:hAnsiTheme="minorHAnsi"/>
              <w:noProof/>
              <w:kern w:val="0"/>
              <w:sz w:val="22"/>
              <w:szCs w:val="22"/>
              <w:lang w:val="en-US"/>
              <w14:ligatures w14:val="none"/>
            </w:rPr>
          </w:pPr>
          <w:hyperlink w:anchor="_Toc227165069" w:history="1">
            <w:r w:rsidRPr="00C3024D">
              <w:rPr>
                <w:rStyle w:val="Hyperlink"/>
                <w:rFonts w:ascii="Arial" w:hAnsi="Arial" w:cs="Arial"/>
                <w:noProof/>
              </w:rPr>
              <w:t>6. Conclusion</w:t>
            </w:r>
            <w:r>
              <w:rPr>
                <w:noProof/>
                <w:webHidden/>
              </w:rPr>
              <w:tab/>
            </w:r>
            <w:r>
              <w:rPr>
                <w:noProof/>
                <w:webHidden/>
              </w:rPr>
              <w:fldChar w:fldCharType="begin"/>
            </w:r>
            <w:r>
              <w:rPr>
                <w:noProof/>
                <w:webHidden/>
              </w:rPr>
              <w:instrText xml:space="preserve"> PAGEREF _Toc227165069 \h </w:instrText>
            </w:r>
            <w:r>
              <w:rPr>
                <w:noProof/>
                <w:webHidden/>
              </w:rPr>
            </w:r>
            <w:r>
              <w:rPr>
                <w:noProof/>
                <w:webHidden/>
              </w:rPr>
              <w:fldChar w:fldCharType="separate"/>
            </w:r>
            <w:r>
              <w:rPr>
                <w:noProof/>
                <w:webHidden/>
              </w:rPr>
              <w:t>24</w:t>
            </w:r>
            <w:r>
              <w:rPr>
                <w:noProof/>
                <w:webHidden/>
              </w:rPr>
              <w:fldChar w:fldCharType="end"/>
            </w:r>
          </w:hyperlink>
        </w:p>
        <w:p w14:paraId="6E6C460C" w14:textId="77777777" w:rsidR="00C43955" w:rsidRDefault="00C43955">
          <w:pPr>
            <w:pStyle w:val="TOC1"/>
            <w:tabs>
              <w:tab w:val="right" w:leader="dot" w:pos="9350"/>
            </w:tabs>
            <w:rPr>
              <w:rFonts w:asciiTheme="minorHAnsi" w:eastAsiaTheme="minorEastAsia" w:hAnsiTheme="minorHAnsi"/>
              <w:noProof/>
              <w:kern w:val="0"/>
              <w:sz w:val="22"/>
              <w:szCs w:val="22"/>
              <w:lang w:val="en-US"/>
              <w14:ligatures w14:val="none"/>
            </w:rPr>
          </w:pPr>
          <w:hyperlink w:anchor="_Toc227165070" w:history="1">
            <w:r w:rsidRPr="00C3024D">
              <w:rPr>
                <w:rStyle w:val="Hyperlink"/>
                <w:rFonts w:ascii="Arial" w:hAnsi="Arial" w:cs="Arial"/>
                <w:noProof/>
              </w:rPr>
              <w:t>7. References</w:t>
            </w:r>
            <w:r>
              <w:rPr>
                <w:noProof/>
                <w:webHidden/>
              </w:rPr>
              <w:tab/>
            </w:r>
            <w:r>
              <w:rPr>
                <w:noProof/>
                <w:webHidden/>
              </w:rPr>
              <w:fldChar w:fldCharType="begin"/>
            </w:r>
            <w:r>
              <w:rPr>
                <w:noProof/>
                <w:webHidden/>
              </w:rPr>
              <w:instrText xml:space="preserve"> PAGEREF _Toc227165070 \h </w:instrText>
            </w:r>
            <w:r>
              <w:rPr>
                <w:noProof/>
                <w:webHidden/>
              </w:rPr>
            </w:r>
            <w:r>
              <w:rPr>
                <w:noProof/>
                <w:webHidden/>
              </w:rPr>
              <w:fldChar w:fldCharType="separate"/>
            </w:r>
            <w:r>
              <w:rPr>
                <w:noProof/>
                <w:webHidden/>
              </w:rPr>
              <w:t>25</w:t>
            </w:r>
            <w:r>
              <w:rPr>
                <w:noProof/>
                <w:webHidden/>
              </w:rPr>
              <w:fldChar w:fldCharType="end"/>
            </w:r>
          </w:hyperlink>
        </w:p>
        <w:p w14:paraId="4AC83F82" w14:textId="77777777" w:rsidR="00334BB7" w:rsidRPr="0010446F" w:rsidRDefault="00334BB7">
          <w:pPr>
            <w:rPr>
              <w:rFonts w:ascii="Arial" w:hAnsi="Arial" w:cs="Arial"/>
            </w:rPr>
          </w:pPr>
          <w:r w:rsidRPr="0010446F">
            <w:rPr>
              <w:rFonts w:ascii="Arial" w:hAnsi="Arial" w:cs="Arial"/>
              <w:b/>
              <w:bCs/>
              <w:noProof/>
            </w:rPr>
            <w:fldChar w:fldCharType="end"/>
          </w:r>
        </w:p>
      </w:sdtContent>
    </w:sdt>
    <w:p w14:paraId="7F392F85" w14:textId="77777777" w:rsidR="002541D0" w:rsidRDefault="002541D0">
      <w:pPr>
        <w:spacing w:before="0" w:after="160" w:line="259" w:lineRule="auto"/>
        <w:jc w:val="left"/>
        <w:rPr>
          <w:rFonts w:ascii="Arial" w:hAnsi="Arial" w:cs="Arial"/>
        </w:rPr>
      </w:pPr>
    </w:p>
    <w:p w14:paraId="4FE10497" w14:textId="77777777" w:rsidR="002541D0" w:rsidRPr="002541D0" w:rsidRDefault="002541D0" w:rsidP="002541D0">
      <w:pPr>
        <w:spacing w:before="0" w:after="160" w:line="259" w:lineRule="auto"/>
        <w:jc w:val="center"/>
        <w:rPr>
          <w:rFonts w:ascii="Arial" w:hAnsi="Arial" w:cs="Arial"/>
          <w:b/>
        </w:rPr>
      </w:pPr>
      <w:r w:rsidRPr="002541D0">
        <w:rPr>
          <w:rFonts w:ascii="Arial" w:hAnsi="Arial" w:cs="Arial"/>
          <w:b/>
        </w:rPr>
        <w:t>Table of Figures</w:t>
      </w:r>
    </w:p>
    <w:p w14:paraId="0679F7B1" w14:textId="77777777" w:rsidR="002541D0" w:rsidRDefault="002541D0">
      <w:pPr>
        <w:pStyle w:val="TableofFigures"/>
        <w:tabs>
          <w:tab w:val="right" w:leader="dot" w:pos="9350"/>
        </w:tabs>
        <w:rPr>
          <w:noProof/>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227165080" w:history="1">
        <w:r w:rsidRPr="00C0408F">
          <w:rPr>
            <w:rStyle w:val="Hyperlink"/>
            <w:rFonts w:ascii="Arial" w:hAnsi="Arial" w:cs="Arial"/>
            <w:noProof/>
          </w:rPr>
          <w:t>Figure 1: Revenue and Net Profit Trend (FY2021–FY2025)</w:t>
        </w:r>
        <w:r>
          <w:rPr>
            <w:noProof/>
            <w:webHidden/>
          </w:rPr>
          <w:tab/>
        </w:r>
        <w:r>
          <w:rPr>
            <w:noProof/>
            <w:webHidden/>
          </w:rPr>
          <w:fldChar w:fldCharType="begin"/>
        </w:r>
        <w:r>
          <w:rPr>
            <w:noProof/>
            <w:webHidden/>
          </w:rPr>
          <w:instrText xml:space="preserve"> PAGEREF _Toc227165080 \h </w:instrText>
        </w:r>
        <w:r>
          <w:rPr>
            <w:noProof/>
            <w:webHidden/>
          </w:rPr>
        </w:r>
        <w:r>
          <w:rPr>
            <w:noProof/>
            <w:webHidden/>
          </w:rPr>
          <w:fldChar w:fldCharType="separate"/>
        </w:r>
        <w:r>
          <w:rPr>
            <w:noProof/>
            <w:webHidden/>
          </w:rPr>
          <w:t>5</w:t>
        </w:r>
        <w:r>
          <w:rPr>
            <w:noProof/>
            <w:webHidden/>
          </w:rPr>
          <w:fldChar w:fldCharType="end"/>
        </w:r>
      </w:hyperlink>
    </w:p>
    <w:p w14:paraId="101FE4D2" w14:textId="77777777" w:rsidR="002541D0" w:rsidRDefault="002541D0">
      <w:pPr>
        <w:pStyle w:val="TableofFigures"/>
        <w:tabs>
          <w:tab w:val="right" w:leader="dot" w:pos="9350"/>
        </w:tabs>
        <w:rPr>
          <w:noProof/>
        </w:rPr>
      </w:pPr>
      <w:hyperlink w:anchor="_Toc227165081" w:history="1">
        <w:r w:rsidRPr="00C0408F">
          <w:rPr>
            <w:rStyle w:val="Hyperlink"/>
            <w:rFonts w:ascii="Arial" w:hAnsi="Arial" w:cs="Arial"/>
            <w:noProof/>
          </w:rPr>
          <w:t>Figure 2: Profitability Ratio Trend (FY2021–FY2025)</w:t>
        </w:r>
        <w:r>
          <w:rPr>
            <w:noProof/>
            <w:webHidden/>
          </w:rPr>
          <w:tab/>
        </w:r>
        <w:r>
          <w:rPr>
            <w:noProof/>
            <w:webHidden/>
          </w:rPr>
          <w:fldChar w:fldCharType="begin"/>
        </w:r>
        <w:r>
          <w:rPr>
            <w:noProof/>
            <w:webHidden/>
          </w:rPr>
          <w:instrText xml:space="preserve"> PAGEREF _Toc227165081 \h </w:instrText>
        </w:r>
        <w:r>
          <w:rPr>
            <w:noProof/>
            <w:webHidden/>
          </w:rPr>
        </w:r>
        <w:r>
          <w:rPr>
            <w:noProof/>
            <w:webHidden/>
          </w:rPr>
          <w:fldChar w:fldCharType="separate"/>
        </w:r>
        <w:r>
          <w:rPr>
            <w:noProof/>
            <w:webHidden/>
          </w:rPr>
          <w:t>6</w:t>
        </w:r>
        <w:r>
          <w:rPr>
            <w:noProof/>
            <w:webHidden/>
          </w:rPr>
          <w:fldChar w:fldCharType="end"/>
        </w:r>
      </w:hyperlink>
    </w:p>
    <w:p w14:paraId="329A0383" w14:textId="77777777" w:rsidR="002541D0" w:rsidRDefault="002541D0">
      <w:pPr>
        <w:pStyle w:val="TableofFigures"/>
        <w:tabs>
          <w:tab w:val="right" w:leader="dot" w:pos="9350"/>
        </w:tabs>
        <w:rPr>
          <w:noProof/>
        </w:rPr>
      </w:pPr>
      <w:hyperlink w:anchor="_Toc227165082" w:history="1">
        <w:r w:rsidRPr="00C0408F">
          <w:rPr>
            <w:rStyle w:val="Hyperlink"/>
            <w:rFonts w:ascii="Arial" w:hAnsi="Arial" w:cs="Arial"/>
            <w:noProof/>
          </w:rPr>
          <w:t>Figure 3: Liquidity Analysis</w:t>
        </w:r>
        <w:r>
          <w:rPr>
            <w:noProof/>
            <w:webHidden/>
          </w:rPr>
          <w:tab/>
        </w:r>
        <w:r>
          <w:rPr>
            <w:noProof/>
            <w:webHidden/>
          </w:rPr>
          <w:fldChar w:fldCharType="begin"/>
        </w:r>
        <w:r>
          <w:rPr>
            <w:noProof/>
            <w:webHidden/>
          </w:rPr>
          <w:instrText xml:space="preserve"> PAGEREF _Toc227165082 \h </w:instrText>
        </w:r>
        <w:r>
          <w:rPr>
            <w:noProof/>
            <w:webHidden/>
          </w:rPr>
        </w:r>
        <w:r>
          <w:rPr>
            <w:noProof/>
            <w:webHidden/>
          </w:rPr>
          <w:fldChar w:fldCharType="separate"/>
        </w:r>
        <w:r>
          <w:rPr>
            <w:noProof/>
            <w:webHidden/>
          </w:rPr>
          <w:t>7</w:t>
        </w:r>
        <w:r>
          <w:rPr>
            <w:noProof/>
            <w:webHidden/>
          </w:rPr>
          <w:fldChar w:fldCharType="end"/>
        </w:r>
      </w:hyperlink>
    </w:p>
    <w:p w14:paraId="59858D68" w14:textId="77777777" w:rsidR="002541D0" w:rsidRDefault="002541D0">
      <w:pPr>
        <w:pStyle w:val="TableofFigures"/>
        <w:tabs>
          <w:tab w:val="right" w:leader="dot" w:pos="9350"/>
        </w:tabs>
        <w:rPr>
          <w:noProof/>
        </w:rPr>
      </w:pPr>
      <w:hyperlink w:anchor="_Toc227165083" w:history="1">
        <w:r w:rsidRPr="00C0408F">
          <w:rPr>
            <w:rStyle w:val="Hyperlink"/>
            <w:rFonts w:ascii="Arial" w:hAnsi="Arial" w:cs="Arial"/>
            <w:noProof/>
          </w:rPr>
          <w:t>Figure 4: Working Capital Management Analysis</w:t>
        </w:r>
        <w:r>
          <w:rPr>
            <w:noProof/>
            <w:webHidden/>
          </w:rPr>
          <w:tab/>
        </w:r>
        <w:r>
          <w:rPr>
            <w:noProof/>
            <w:webHidden/>
          </w:rPr>
          <w:fldChar w:fldCharType="begin"/>
        </w:r>
        <w:r>
          <w:rPr>
            <w:noProof/>
            <w:webHidden/>
          </w:rPr>
          <w:instrText xml:space="preserve"> PAGEREF _Toc227165083 \h </w:instrText>
        </w:r>
        <w:r>
          <w:rPr>
            <w:noProof/>
            <w:webHidden/>
          </w:rPr>
        </w:r>
        <w:r>
          <w:rPr>
            <w:noProof/>
            <w:webHidden/>
          </w:rPr>
          <w:fldChar w:fldCharType="separate"/>
        </w:r>
        <w:r>
          <w:rPr>
            <w:noProof/>
            <w:webHidden/>
          </w:rPr>
          <w:t>8</w:t>
        </w:r>
        <w:r>
          <w:rPr>
            <w:noProof/>
            <w:webHidden/>
          </w:rPr>
          <w:fldChar w:fldCharType="end"/>
        </w:r>
      </w:hyperlink>
    </w:p>
    <w:p w14:paraId="738EC04B" w14:textId="77777777" w:rsidR="002541D0" w:rsidRDefault="002541D0">
      <w:pPr>
        <w:pStyle w:val="TableofFigures"/>
        <w:tabs>
          <w:tab w:val="right" w:leader="dot" w:pos="9350"/>
        </w:tabs>
        <w:rPr>
          <w:noProof/>
        </w:rPr>
      </w:pPr>
      <w:hyperlink w:anchor="_Toc227165084" w:history="1">
        <w:r w:rsidRPr="00C0408F">
          <w:rPr>
            <w:rStyle w:val="Hyperlink"/>
            <w:rFonts w:ascii="Arial" w:hAnsi="Arial" w:cs="Arial"/>
            <w:noProof/>
          </w:rPr>
          <w:t>Figure 5: Capital Structure and Gearing Analysis</w:t>
        </w:r>
        <w:r>
          <w:rPr>
            <w:noProof/>
            <w:webHidden/>
          </w:rPr>
          <w:tab/>
        </w:r>
        <w:r>
          <w:rPr>
            <w:noProof/>
            <w:webHidden/>
          </w:rPr>
          <w:fldChar w:fldCharType="begin"/>
        </w:r>
        <w:r>
          <w:rPr>
            <w:noProof/>
            <w:webHidden/>
          </w:rPr>
          <w:instrText xml:space="preserve"> PAGEREF _Toc227165084 \h </w:instrText>
        </w:r>
        <w:r>
          <w:rPr>
            <w:noProof/>
            <w:webHidden/>
          </w:rPr>
        </w:r>
        <w:r>
          <w:rPr>
            <w:noProof/>
            <w:webHidden/>
          </w:rPr>
          <w:fldChar w:fldCharType="separate"/>
        </w:r>
        <w:r>
          <w:rPr>
            <w:noProof/>
            <w:webHidden/>
          </w:rPr>
          <w:t>9</w:t>
        </w:r>
        <w:r>
          <w:rPr>
            <w:noProof/>
            <w:webHidden/>
          </w:rPr>
          <w:fldChar w:fldCharType="end"/>
        </w:r>
      </w:hyperlink>
    </w:p>
    <w:p w14:paraId="46740491" w14:textId="77777777" w:rsidR="00334BB7" w:rsidRPr="0010446F" w:rsidRDefault="002541D0">
      <w:pPr>
        <w:spacing w:before="0" w:after="160" w:line="259" w:lineRule="auto"/>
        <w:jc w:val="left"/>
        <w:rPr>
          <w:rFonts w:ascii="Arial" w:eastAsiaTheme="majorEastAsia" w:hAnsi="Arial" w:cs="Arial"/>
          <w:b/>
          <w:color w:val="000000" w:themeColor="text1"/>
          <w:kern w:val="0"/>
          <w:lang w:val="en-US"/>
          <w14:ligatures w14:val="none"/>
        </w:rPr>
      </w:pPr>
      <w:r>
        <w:rPr>
          <w:rFonts w:ascii="Arial" w:hAnsi="Arial" w:cs="Arial"/>
        </w:rPr>
        <w:fldChar w:fldCharType="end"/>
      </w:r>
      <w:r w:rsidR="00334BB7" w:rsidRPr="0010446F">
        <w:rPr>
          <w:rFonts w:ascii="Arial" w:hAnsi="Arial" w:cs="Arial"/>
        </w:rPr>
        <w:br w:type="page"/>
      </w:r>
    </w:p>
    <w:p w14:paraId="6BE00A50" w14:textId="77777777" w:rsidR="00AE6A16" w:rsidRPr="0010446F" w:rsidRDefault="00AE6A16" w:rsidP="00AE6A16">
      <w:pPr>
        <w:pStyle w:val="Heading1"/>
        <w:rPr>
          <w:rFonts w:ascii="Arial" w:hAnsi="Arial" w:cs="Arial"/>
          <w:szCs w:val="24"/>
        </w:rPr>
      </w:pPr>
      <w:bookmarkStart w:id="0" w:name="_Toc227165040"/>
      <w:r w:rsidRPr="0010446F">
        <w:rPr>
          <w:rFonts w:ascii="Arial" w:hAnsi="Arial" w:cs="Arial"/>
          <w:szCs w:val="24"/>
        </w:rPr>
        <w:lastRenderedPageBreak/>
        <w:t>1. Introduction</w:t>
      </w:r>
      <w:bookmarkEnd w:id="0"/>
    </w:p>
    <w:p w14:paraId="0CF87E86" w14:textId="77777777" w:rsidR="00AE6A16" w:rsidRPr="0010446F" w:rsidRDefault="00AE6A16" w:rsidP="00AE6A16">
      <w:pPr>
        <w:pStyle w:val="Heading2"/>
        <w:rPr>
          <w:rFonts w:ascii="Arial" w:hAnsi="Arial" w:cs="Arial"/>
          <w:szCs w:val="24"/>
        </w:rPr>
      </w:pPr>
      <w:bookmarkStart w:id="1" w:name="_Toc227165041"/>
      <w:r w:rsidRPr="0010446F">
        <w:rPr>
          <w:rFonts w:ascii="Arial" w:hAnsi="Arial" w:cs="Arial"/>
          <w:szCs w:val="24"/>
        </w:rPr>
        <w:t>1.1 Company Overview</w:t>
      </w:r>
      <w:bookmarkEnd w:id="1"/>
    </w:p>
    <w:p w14:paraId="341A9E0B" w14:textId="77777777" w:rsidR="00AE6A16" w:rsidRPr="0010446F" w:rsidRDefault="00AE6A16" w:rsidP="00AE6A16">
      <w:pPr>
        <w:rPr>
          <w:rFonts w:ascii="Arial" w:hAnsi="Arial" w:cs="Arial"/>
          <w:lang w:val="en-US"/>
        </w:rPr>
      </w:pPr>
      <w:r w:rsidRPr="0010446F">
        <w:rPr>
          <w:rFonts w:ascii="Arial" w:hAnsi="Arial" w:cs="Arial"/>
          <w:lang w:val="en-US"/>
        </w:rPr>
        <w:t xml:space="preserve">Toyota Motor Corporation is one of the world’s largest automotive manufacturers and a globally </w:t>
      </w:r>
      <w:proofErr w:type="spellStart"/>
      <w:r w:rsidRPr="0010446F">
        <w:rPr>
          <w:rFonts w:ascii="Arial" w:hAnsi="Arial" w:cs="Arial"/>
          <w:lang w:val="en-US"/>
        </w:rPr>
        <w:t>recognised</w:t>
      </w:r>
      <w:proofErr w:type="spellEnd"/>
      <w:r w:rsidRPr="0010446F">
        <w:rPr>
          <w:rFonts w:ascii="Arial" w:hAnsi="Arial" w:cs="Arial"/>
          <w:lang w:val="en-US"/>
        </w:rPr>
        <w:t xml:space="preserve"> leader in the automotive and electric vehicle (EV) industry</w:t>
      </w:r>
      <w:r w:rsidR="00C7346B" w:rsidRPr="0010446F">
        <w:rPr>
          <w:rFonts w:ascii="Arial" w:hAnsi="Arial" w:cs="Arial"/>
          <w:lang w:val="en-US"/>
        </w:rPr>
        <w:t xml:space="preserve"> (Toyota, 2026)</w:t>
      </w:r>
      <w:r w:rsidRPr="0010446F">
        <w:rPr>
          <w:rFonts w:ascii="Arial" w:hAnsi="Arial" w:cs="Arial"/>
          <w:lang w:val="en-US"/>
        </w:rPr>
        <w:t>. Headquartered in Japan, Toyota operates across more than 170 countries and regions, supported by an extensive manufacturing, distribution, and supply chain network. The company maintains a strong global market position through its diversified portfolio of passenger vehicles, hybrid vehicles, battery electric vehicles, and commercial transport solutions. Toyota’s long-standing reputation for quality, innovation, and operational efficiency has enabled it to remain highly competitive within the rapidly evolving automotive sector. However, the accelerating global shift toward electrification has increased strategic pressure on the company to expand its EV capabilities, invest in battery technologies, and adapt its financial strategy to remain competitive against pure EV manufacturers such as Tesla and BYD.</w:t>
      </w:r>
    </w:p>
    <w:p w14:paraId="7C2DCAC8" w14:textId="77777777" w:rsidR="00AE6A16" w:rsidRPr="0010446F" w:rsidRDefault="00AE6A16" w:rsidP="00AE6A16">
      <w:pPr>
        <w:pStyle w:val="Heading2"/>
        <w:rPr>
          <w:rFonts w:ascii="Arial" w:hAnsi="Arial" w:cs="Arial"/>
          <w:szCs w:val="24"/>
        </w:rPr>
      </w:pPr>
      <w:bookmarkStart w:id="2" w:name="_Toc227165042"/>
      <w:r w:rsidRPr="0010446F">
        <w:rPr>
          <w:rFonts w:ascii="Arial" w:hAnsi="Arial" w:cs="Arial"/>
          <w:szCs w:val="24"/>
        </w:rPr>
        <w:t>1.2 Purpose of Report</w:t>
      </w:r>
      <w:bookmarkEnd w:id="2"/>
    </w:p>
    <w:p w14:paraId="03C9631B" w14:textId="77777777" w:rsidR="00AE6A16" w:rsidRPr="0010446F" w:rsidRDefault="00AE6A16" w:rsidP="00AE6A16">
      <w:pPr>
        <w:rPr>
          <w:rFonts w:ascii="Arial" w:hAnsi="Arial" w:cs="Arial"/>
          <w:lang w:val="en-US"/>
        </w:rPr>
      </w:pPr>
      <w:r w:rsidRPr="0010446F">
        <w:rPr>
          <w:rFonts w:ascii="Arial" w:hAnsi="Arial" w:cs="Arial"/>
          <w:lang w:val="en-US"/>
        </w:rPr>
        <w:t xml:space="preserve">This report is prepared from the perspective of the Chief Financial Officer to critically evaluate Toyota’s financial performance over the past five years and assess its overall financial health. The analysis applies comprehensive financial statement and ratio analysis to identify key trends, operational strengths, financial weaknesses, and emerging strategic risks affecting the </w:t>
      </w:r>
      <w:proofErr w:type="spellStart"/>
      <w:r w:rsidRPr="0010446F">
        <w:rPr>
          <w:rFonts w:ascii="Arial" w:hAnsi="Arial" w:cs="Arial"/>
          <w:lang w:val="en-US"/>
        </w:rPr>
        <w:t>organisation</w:t>
      </w:r>
      <w:proofErr w:type="spellEnd"/>
      <w:r w:rsidRPr="0010446F">
        <w:rPr>
          <w:rFonts w:ascii="Arial" w:hAnsi="Arial" w:cs="Arial"/>
          <w:lang w:val="en-US"/>
        </w:rPr>
        <w:t xml:space="preserve">. In addition, the report evaluates Toyota’s working capital efficiency and proposes practical strategies to improve liquidity and </w:t>
      </w:r>
      <w:proofErr w:type="spellStart"/>
      <w:r w:rsidRPr="0010446F">
        <w:rPr>
          <w:rFonts w:ascii="Arial" w:hAnsi="Arial" w:cs="Arial"/>
          <w:lang w:val="en-US"/>
        </w:rPr>
        <w:t>optimise</w:t>
      </w:r>
      <w:proofErr w:type="spellEnd"/>
      <w:r w:rsidRPr="0010446F">
        <w:rPr>
          <w:rFonts w:ascii="Arial" w:hAnsi="Arial" w:cs="Arial"/>
          <w:lang w:val="en-US"/>
        </w:rPr>
        <w:t xml:space="preserve"> short-term financial management. Strategic financial restructuring options are also recommended to enhance capital structure, operational flexibility, and shareholder value. Finally, investment appraisal and capital budgeting techniques are applied to assess proposed investment opportunities and identify the most financially viable projects to support Toyota’s long-term strategic growth in the global EV market.</w:t>
      </w:r>
    </w:p>
    <w:p w14:paraId="5FEBAD71" w14:textId="77777777" w:rsidR="00C7346B" w:rsidRPr="0010446F" w:rsidRDefault="007C3064" w:rsidP="00C7346B">
      <w:pPr>
        <w:pStyle w:val="Heading1"/>
        <w:rPr>
          <w:rFonts w:ascii="Arial" w:hAnsi="Arial" w:cs="Arial"/>
          <w:szCs w:val="24"/>
        </w:rPr>
      </w:pPr>
      <w:bookmarkStart w:id="3" w:name="_Toc227165043"/>
      <w:r w:rsidRPr="0010446F">
        <w:rPr>
          <w:rFonts w:ascii="Arial" w:hAnsi="Arial" w:cs="Arial"/>
          <w:szCs w:val="24"/>
        </w:rPr>
        <w:lastRenderedPageBreak/>
        <w:t>2. F</w:t>
      </w:r>
      <w:r w:rsidR="00C7346B" w:rsidRPr="0010446F">
        <w:rPr>
          <w:rFonts w:ascii="Arial" w:hAnsi="Arial" w:cs="Arial"/>
          <w:szCs w:val="24"/>
        </w:rPr>
        <w:t>inancial Health Check</w:t>
      </w:r>
      <w:bookmarkEnd w:id="3"/>
    </w:p>
    <w:p w14:paraId="6F69AF73" w14:textId="77777777" w:rsidR="007C3064" w:rsidRPr="0010446F" w:rsidRDefault="007C3064" w:rsidP="00180094">
      <w:pPr>
        <w:pStyle w:val="Heading2"/>
        <w:rPr>
          <w:rFonts w:ascii="Arial" w:hAnsi="Arial" w:cs="Arial"/>
          <w:szCs w:val="24"/>
        </w:rPr>
      </w:pPr>
      <w:bookmarkStart w:id="4" w:name="_Toc227165044"/>
      <w:r w:rsidRPr="0010446F">
        <w:rPr>
          <w:rFonts w:ascii="Arial" w:hAnsi="Arial" w:cs="Arial"/>
          <w:szCs w:val="24"/>
        </w:rPr>
        <w:t xml:space="preserve">2.1 Overview of Five-Year </w:t>
      </w:r>
      <w:r w:rsidRPr="0010446F">
        <w:rPr>
          <w:rStyle w:val="Heading2Char"/>
          <w:rFonts w:ascii="Arial" w:hAnsi="Arial" w:cs="Arial"/>
          <w:szCs w:val="24"/>
        </w:rPr>
        <w:t>Financial</w:t>
      </w:r>
      <w:r w:rsidRPr="0010446F">
        <w:rPr>
          <w:rFonts w:ascii="Arial" w:hAnsi="Arial" w:cs="Arial"/>
          <w:szCs w:val="24"/>
        </w:rPr>
        <w:t xml:space="preserve"> Performance</w:t>
      </w:r>
      <w:bookmarkEnd w:id="4"/>
    </w:p>
    <w:p w14:paraId="447CC218" w14:textId="77777777" w:rsidR="00180094" w:rsidRPr="0010446F" w:rsidRDefault="00180094" w:rsidP="00180094">
      <w:pPr>
        <w:rPr>
          <w:rFonts w:ascii="Arial" w:hAnsi="Arial" w:cs="Arial"/>
          <w:lang w:val="en-US"/>
        </w:rPr>
      </w:pPr>
      <w:r w:rsidRPr="0010446F">
        <w:rPr>
          <w:rFonts w:ascii="Arial" w:hAnsi="Arial" w:cs="Arial"/>
          <w:lang w:val="en-US"/>
        </w:rPr>
        <w:t xml:space="preserve">Toyota Motor Corporation demonstrated strong financial growth over the five-year period from FY2021 to FY2025, reflecting sustained expansion in revenue and profitability. Revenue increased consistently from approximately </w:t>
      </w:r>
      <w:r w:rsidRPr="0010446F">
        <w:rPr>
          <w:rFonts w:ascii="Arial" w:hAnsi="Arial" w:cs="Arial"/>
          <w:b/>
          <w:bCs/>
          <w:lang w:val="en-US"/>
        </w:rPr>
        <w:t>¥2,118,302 million</w:t>
      </w:r>
      <w:r w:rsidRPr="0010446F">
        <w:rPr>
          <w:rFonts w:ascii="Arial" w:hAnsi="Arial" w:cs="Arial"/>
          <w:lang w:val="en-US"/>
        </w:rPr>
        <w:t xml:space="preserve"> in FY2021 to </w:t>
      </w:r>
      <w:r w:rsidRPr="0010446F">
        <w:rPr>
          <w:rFonts w:ascii="Arial" w:hAnsi="Arial" w:cs="Arial"/>
          <w:b/>
          <w:bCs/>
          <w:lang w:val="en-US"/>
        </w:rPr>
        <w:t>¥4,084,984 million</w:t>
      </w:r>
      <w:r w:rsidRPr="0010446F">
        <w:rPr>
          <w:rFonts w:ascii="Arial" w:hAnsi="Arial" w:cs="Arial"/>
          <w:lang w:val="en-US"/>
        </w:rPr>
        <w:t xml:space="preserve"> in FY2025, indicating significant top-line growth driven by higher global vehicle demand, expansion in electrified vehicle offerings, and improved pricing strategies</w:t>
      </w:r>
      <w:r w:rsidR="00B5548F" w:rsidRPr="0010446F">
        <w:rPr>
          <w:rFonts w:ascii="Arial" w:hAnsi="Arial" w:cs="Arial"/>
          <w:lang w:val="en-US"/>
        </w:rPr>
        <w:t xml:space="preserve"> (Toyota, 2025)</w:t>
      </w:r>
      <w:r w:rsidRPr="0010446F">
        <w:rPr>
          <w:rFonts w:ascii="Arial" w:hAnsi="Arial" w:cs="Arial"/>
          <w:lang w:val="en-US"/>
        </w:rPr>
        <w:t>. Net profit also increased steadily during the period, demonstrating Toyota’s ability to maintain profitability despite inflationary pressures and increasing competition within the automotive sector. The positive earnings trend reflects effective operational management and resilient business performance.</w:t>
      </w:r>
    </w:p>
    <w:p w14:paraId="012EDB2E" w14:textId="77777777" w:rsidR="005B57D6" w:rsidRPr="0010446F" w:rsidRDefault="005B57D6" w:rsidP="005B57D6">
      <w:pPr>
        <w:keepNext/>
        <w:jc w:val="center"/>
        <w:rPr>
          <w:rFonts w:ascii="Arial" w:hAnsi="Arial" w:cs="Arial"/>
        </w:rPr>
      </w:pPr>
      <w:r w:rsidRPr="0010446F">
        <w:rPr>
          <w:rFonts w:ascii="Arial" w:hAnsi="Arial" w:cs="Arial"/>
          <w:noProof/>
          <w:lang w:val="en-US"/>
        </w:rPr>
        <w:drawing>
          <wp:inline distT="0" distB="0" distL="0" distR="0" wp14:anchorId="290D9518" wp14:editId="091D8B18">
            <wp:extent cx="4584700" cy="27559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D9B199F" w14:textId="77777777" w:rsidR="00FE0F5E" w:rsidRPr="0010446F" w:rsidRDefault="005B57D6" w:rsidP="005B57D6">
      <w:pPr>
        <w:pStyle w:val="Caption"/>
        <w:jc w:val="center"/>
        <w:rPr>
          <w:rFonts w:ascii="Arial" w:hAnsi="Arial" w:cs="Arial"/>
          <w:color w:val="0D0D0D" w:themeColor="text1" w:themeTint="F2"/>
          <w:sz w:val="24"/>
          <w:szCs w:val="24"/>
        </w:rPr>
      </w:pPr>
      <w:bookmarkStart w:id="5" w:name="_Toc227165080"/>
      <w:r w:rsidRPr="0010446F">
        <w:rPr>
          <w:rFonts w:ascii="Arial" w:hAnsi="Arial" w:cs="Arial"/>
          <w:color w:val="0D0D0D" w:themeColor="text1" w:themeTint="F2"/>
          <w:sz w:val="24"/>
          <w:szCs w:val="24"/>
        </w:rPr>
        <w:t xml:space="preserve">Figure </w:t>
      </w:r>
      <w:r w:rsidRPr="0010446F">
        <w:rPr>
          <w:rFonts w:ascii="Arial" w:hAnsi="Arial" w:cs="Arial"/>
          <w:color w:val="0D0D0D" w:themeColor="text1" w:themeTint="F2"/>
          <w:sz w:val="24"/>
          <w:szCs w:val="24"/>
        </w:rPr>
        <w:fldChar w:fldCharType="begin"/>
      </w:r>
      <w:r w:rsidRPr="0010446F">
        <w:rPr>
          <w:rFonts w:ascii="Arial" w:hAnsi="Arial" w:cs="Arial"/>
          <w:color w:val="0D0D0D" w:themeColor="text1" w:themeTint="F2"/>
          <w:sz w:val="24"/>
          <w:szCs w:val="24"/>
        </w:rPr>
        <w:instrText xml:space="preserve"> SEQ Figure \* ARABIC </w:instrText>
      </w:r>
      <w:r w:rsidRPr="0010446F">
        <w:rPr>
          <w:rFonts w:ascii="Arial" w:hAnsi="Arial" w:cs="Arial"/>
          <w:color w:val="0D0D0D" w:themeColor="text1" w:themeTint="F2"/>
          <w:sz w:val="24"/>
          <w:szCs w:val="24"/>
        </w:rPr>
        <w:fldChar w:fldCharType="separate"/>
      </w:r>
      <w:r w:rsidR="007C6B7D" w:rsidRPr="0010446F">
        <w:rPr>
          <w:rFonts w:ascii="Arial" w:hAnsi="Arial" w:cs="Arial"/>
          <w:noProof/>
          <w:color w:val="0D0D0D" w:themeColor="text1" w:themeTint="F2"/>
          <w:sz w:val="24"/>
          <w:szCs w:val="24"/>
        </w:rPr>
        <w:t>1</w:t>
      </w:r>
      <w:r w:rsidRPr="0010446F">
        <w:rPr>
          <w:rFonts w:ascii="Arial" w:hAnsi="Arial" w:cs="Arial"/>
          <w:color w:val="0D0D0D" w:themeColor="text1" w:themeTint="F2"/>
          <w:sz w:val="24"/>
          <w:szCs w:val="24"/>
        </w:rPr>
        <w:fldChar w:fldCharType="end"/>
      </w:r>
      <w:r w:rsidRPr="0010446F">
        <w:rPr>
          <w:rFonts w:ascii="Arial" w:hAnsi="Arial" w:cs="Arial"/>
          <w:color w:val="0D0D0D" w:themeColor="text1" w:themeTint="F2"/>
          <w:sz w:val="24"/>
          <w:szCs w:val="24"/>
        </w:rPr>
        <w:t>: Revenue and Net Profit Trend (FY2021–FY2025)</w:t>
      </w:r>
      <w:bookmarkEnd w:id="5"/>
    </w:p>
    <w:p w14:paraId="4232E585" w14:textId="77777777" w:rsidR="00237F11" w:rsidRPr="0010446F" w:rsidRDefault="00237F11" w:rsidP="00237F11">
      <w:pPr>
        <w:rPr>
          <w:rFonts w:ascii="Arial" w:hAnsi="Arial" w:cs="Arial"/>
          <w:b/>
          <w:bCs/>
          <w:lang w:val="en-US"/>
        </w:rPr>
      </w:pPr>
      <w:r w:rsidRPr="0010446F">
        <w:rPr>
          <w:rFonts w:ascii="Arial" w:hAnsi="Arial" w:cs="Arial"/>
          <w:b/>
          <w:bCs/>
          <w:lang w:val="en-US"/>
        </w:rPr>
        <w:t>2.2 Profitability Analysis</w:t>
      </w:r>
    </w:p>
    <w:p w14:paraId="359BEEF7" w14:textId="77777777" w:rsidR="00237F11" w:rsidRPr="0010446F" w:rsidRDefault="00237F11" w:rsidP="00237F11">
      <w:pPr>
        <w:rPr>
          <w:rFonts w:ascii="Arial" w:hAnsi="Arial" w:cs="Arial"/>
          <w:lang w:val="en-US"/>
        </w:rPr>
      </w:pPr>
      <w:r w:rsidRPr="0010446F">
        <w:rPr>
          <w:rFonts w:ascii="Arial" w:hAnsi="Arial" w:cs="Arial"/>
          <w:lang w:val="en-US"/>
        </w:rPr>
        <w:t xml:space="preserve">Toyota Motor Corporation maintained relatively stable profitability throughout the FY2021–FY2025 period, indicating resilient operational performance despite growing competitive and cost pressures within the global automotive and electric vehicle (EV) market. Gross profit margin remained consistently strong, fluctuating within a narrow range of 22.37% to 23.51%, which suggests that Toyota effectively controlled production and procurement costs while preserving pricing power across its vehicle portfolio. The </w:t>
      </w:r>
      <w:r w:rsidRPr="0010446F">
        <w:rPr>
          <w:rFonts w:ascii="Arial" w:hAnsi="Arial" w:cs="Arial"/>
          <w:lang w:val="en-US"/>
        </w:rPr>
        <w:lastRenderedPageBreak/>
        <w:t>slight decline in FY2022 and FY2023 may reflect inflationary pressures, semiconductor shortages, and higher raw material costs impacting the automotive industry globally</w:t>
      </w:r>
      <w:r w:rsidR="00B5548F" w:rsidRPr="0010446F">
        <w:rPr>
          <w:rFonts w:ascii="Arial" w:hAnsi="Arial" w:cs="Arial"/>
          <w:lang w:val="en-US"/>
        </w:rPr>
        <w:t xml:space="preserve"> (Toyota, 2023)</w:t>
      </w:r>
      <w:r w:rsidRPr="0010446F">
        <w:rPr>
          <w:rFonts w:ascii="Arial" w:hAnsi="Arial" w:cs="Arial"/>
          <w:lang w:val="en-US"/>
        </w:rPr>
        <w:t>.</w:t>
      </w:r>
    </w:p>
    <w:p w14:paraId="3A2B56CB" w14:textId="77777777" w:rsidR="00237F11" w:rsidRPr="0010446F" w:rsidRDefault="00237F11" w:rsidP="00237F11">
      <w:pPr>
        <w:keepNext/>
        <w:jc w:val="center"/>
        <w:rPr>
          <w:rFonts w:ascii="Arial" w:hAnsi="Arial" w:cs="Arial"/>
        </w:rPr>
      </w:pPr>
      <w:r w:rsidRPr="0010446F">
        <w:rPr>
          <w:rFonts w:ascii="Arial" w:hAnsi="Arial" w:cs="Arial"/>
          <w:noProof/>
          <w:lang w:val="en-US"/>
        </w:rPr>
        <w:drawing>
          <wp:inline distT="0" distB="0" distL="0" distR="0" wp14:anchorId="4D6DD53C" wp14:editId="099A3D83">
            <wp:extent cx="4572635" cy="2743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2635" cy="2743200"/>
                    </a:xfrm>
                    <a:prstGeom prst="rect">
                      <a:avLst/>
                    </a:prstGeom>
                    <a:noFill/>
                  </pic:spPr>
                </pic:pic>
              </a:graphicData>
            </a:graphic>
          </wp:inline>
        </w:drawing>
      </w:r>
    </w:p>
    <w:p w14:paraId="2BAD7427" w14:textId="77777777" w:rsidR="00237F11" w:rsidRPr="0010446F" w:rsidRDefault="00237F11" w:rsidP="00237F11">
      <w:pPr>
        <w:pStyle w:val="Caption"/>
        <w:jc w:val="center"/>
        <w:rPr>
          <w:rFonts w:ascii="Arial" w:hAnsi="Arial" w:cs="Arial"/>
          <w:color w:val="0D0D0D" w:themeColor="text1" w:themeTint="F2"/>
          <w:sz w:val="24"/>
          <w:szCs w:val="24"/>
        </w:rPr>
      </w:pPr>
      <w:bookmarkStart w:id="6" w:name="_Toc227165081"/>
      <w:r w:rsidRPr="0010446F">
        <w:rPr>
          <w:rFonts w:ascii="Arial" w:hAnsi="Arial" w:cs="Arial"/>
          <w:color w:val="0D0D0D" w:themeColor="text1" w:themeTint="F2"/>
          <w:sz w:val="24"/>
          <w:szCs w:val="24"/>
        </w:rPr>
        <w:t xml:space="preserve">Figure </w:t>
      </w:r>
      <w:r w:rsidRPr="0010446F">
        <w:rPr>
          <w:rFonts w:ascii="Arial" w:hAnsi="Arial" w:cs="Arial"/>
          <w:color w:val="0D0D0D" w:themeColor="text1" w:themeTint="F2"/>
          <w:sz w:val="24"/>
          <w:szCs w:val="24"/>
        </w:rPr>
        <w:fldChar w:fldCharType="begin"/>
      </w:r>
      <w:r w:rsidRPr="0010446F">
        <w:rPr>
          <w:rFonts w:ascii="Arial" w:hAnsi="Arial" w:cs="Arial"/>
          <w:color w:val="0D0D0D" w:themeColor="text1" w:themeTint="F2"/>
          <w:sz w:val="24"/>
          <w:szCs w:val="24"/>
        </w:rPr>
        <w:instrText xml:space="preserve"> SEQ Figure \* ARABIC </w:instrText>
      </w:r>
      <w:r w:rsidRPr="0010446F">
        <w:rPr>
          <w:rFonts w:ascii="Arial" w:hAnsi="Arial" w:cs="Arial"/>
          <w:color w:val="0D0D0D" w:themeColor="text1" w:themeTint="F2"/>
          <w:sz w:val="24"/>
          <w:szCs w:val="24"/>
        </w:rPr>
        <w:fldChar w:fldCharType="separate"/>
      </w:r>
      <w:r w:rsidR="007C6B7D" w:rsidRPr="0010446F">
        <w:rPr>
          <w:rFonts w:ascii="Arial" w:hAnsi="Arial" w:cs="Arial"/>
          <w:noProof/>
          <w:color w:val="0D0D0D" w:themeColor="text1" w:themeTint="F2"/>
          <w:sz w:val="24"/>
          <w:szCs w:val="24"/>
        </w:rPr>
        <w:t>2</w:t>
      </w:r>
      <w:r w:rsidRPr="0010446F">
        <w:rPr>
          <w:rFonts w:ascii="Arial" w:hAnsi="Arial" w:cs="Arial"/>
          <w:color w:val="0D0D0D" w:themeColor="text1" w:themeTint="F2"/>
          <w:sz w:val="24"/>
          <w:szCs w:val="24"/>
        </w:rPr>
        <w:fldChar w:fldCharType="end"/>
      </w:r>
      <w:r w:rsidRPr="0010446F">
        <w:rPr>
          <w:rFonts w:ascii="Arial" w:hAnsi="Arial" w:cs="Arial"/>
          <w:color w:val="0D0D0D" w:themeColor="text1" w:themeTint="F2"/>
          <w:sz w:val="24"/>
          <w:szCs w:val="24"/>
        </w:rPr>
        <w:t>: Profitability Ratio Trend (FY2021–FY2025)</w:t>
      </w:r>
      <w:bookmarkEnd w:id="6"/>
    </w:p>
    <w:p w14:paraId="384DBDCE" w14:textId="77777777" w:rsidR="00237F11" w:rsidRPr="0010446F" w:rsidRDefault="00237F11" w:rsidP="00237F11">
      <w:pPr>
        <w:rPr>
          <w:rFonts w:ascii="Arial" w:hAnsi="Arial" w:cs="Arial"/>
          <w:lang w:val="en-US"/>
        </w:rPr>
      </w:pPr>
      <w:r w:rsidRPr="0010446F">
        <w:rPr>
          <w:rFonts w:ascii="Arial" w:hAnsi="Arial" w:cs="Arial"/>
          <w:lang w:val="en-US"/>
        </w:rPr>
        <w:t>Operating profit margin remained more volatile, decreasing from 5.88% in FY2022 to 5.03% in FY2023 before partially recovering to 5.43% in FY2025. This fluctuation indicates pressure from increased selling, administrative, research, and development expenditures, particularly as Toyota expanded investment in EV technology, battery development, and digital transformation initiatives. Net profit margin followed a similar pattern, declining to 5.88% in FY2023 before recovering to 6.64% in FY2025, demonstrating improved bottom-line profitability through stronger operational recovery and financial management.</w:t>
      </w:r>
    </w:p>
    <w:p w14:paraId="1977662C" w14:textId="77777777" w:rsidR="00237F11" w:rsidRPr="0010446F" w:rsidRDefault="00237F11" w:rsidP="00237F11">
      <w:pPr>
        <w:rPr>
          <w:rFonts w:ascii="Arial" w:hAnsi="Arial" w:cs="Arial"/>
          <w:lang w:val="en-US"/>
        </w:rPr>
      </w:pPr>
      <w:r w:rsidRPr="0010446F">
        <w:rPr>
          <w:rFonts w:ascii="Arial" w:hAnsi="Arial" w:cs="Arial"/>
          <w:lang w:val="en-US"/>
        </w:rPr>
        <w:t>Return on Assets (ROA) improved overall from 2.17% in FY2021 to 2.88% in FY2025, suggesting enhanced efficiency in generating earnings from the company’s expanding asset base. Similarly, Return on Equity (ROE) increased from 4.26% to 5.41%, reflecting stronger returns delivered to shareholders over the review period, despite temporary weakness in FY2024</w:t>
      </w:r>
      <w:r w:rsidR="00FB4EEB" w:rsidRPr="0010446F">
        <w:rPr>
          <w:rFonts w:ascii="Arial" w:hAnsi="Arial" w:cs="Arial"/>
          <w:lang w:val="en-US"/>
        </w:rPr>
        <w:t xml:space="preserve"> (Toyota, 2024)</w:t>
      </w:r>
      <w:r w:rsidRPr="0010446F">
        <w:rPr>
          <w:rFonts w:ascii="Arial" w:hAnsi="Arial" w:cs="Arial"/>
          <w:lang w:val="en-US"/>
        </w:rPr>
        <w:t>.</w:t>
      </w:r>
    </w:p>
    <w:p w14:paraId="149773C3" w14:textId="77777777" w:rsidR="00237F11" w:rsidRPr="0010446F" w:rsidRDefault="00165470" w:rsidP="00334BB7">
      <w:pPr>
        <w:pStyle w:val="Heading2"/>
        <w:rPr>
          <w:rFonts w:ascii="Arial" w:hAnsi="Arial" w:cs="Arial"/>
          <w:szCs w:val="24"/>
        </w:rPr>
      </w:pPr>
      <w:bookmarkStart w:id="7" w:name="_Toc227165045"/>
      <w:r w:rsidRPr="0010446F">
        <w:rPr>
          <w:rFonts w:ascii="Arial" w:hAnsi="Arial" w:cs="Arial"/>
          <w:szCs w:val="24"/>
        </w:rPr>
        <w:lastRenderedPageBreak/>
        <w:t>2.3 Liquidity Analysis</w:t>
      </w:r>
      <w:bookmarkEnd w:id="7"/>
    </w:p>
    <w:p w14:paraId="1140C826" w14:textId="77777777" w:rsidR="0047260E" w:rsidRPr="0010446F" w:rsidRDefault="00165470" w:rsidP="0047260E">
      <w:pPr>
        <w:keepNext/>
        <w:jc w:val="center"/>
        <w:rPr>
          <w:rFonts w:ascii="Arial" w:hAnsi="Arial" w:cs="Arial"/>
        </w:rPr>
      </w:pPr>
      <w:r w:rsidRPr="0010446F">
        <w:rPr>
          <w:rFonts w:ascii="Arial" w:hAnsi="Arial" w:cs="Arial"/>
          <w:noProof/>
          <w:lang w:val="en-US"/>
        </w:rPr>
        <w:drawing>
          <wp:inline distT="0" distB="0" distL="0" distR="0" wp14:anchorId="7D366E7A" wp14:editId="2C393EC0">
            <wp:extent cx="4572635" cy="2743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635" cy="2743200"/>
                    </a:xfrm>
                    <a:prstGeom prst="rect">
                      <a:avLst/>
                    </a:prstGeom>
                    <a:noFill/>
                  </pic:spPr>
                </pic:pic>
              </a:graphicData>
            </a:graphic>
          </wp:inline>
        </w:drawing>
      </w:r>
    </w:p>
    <w:p w14:paraId="7D4B1824" w14:textId="77777777" w:rsidR="0047260E" w:rsidRPr="0010446F" w:rsidRDefault="0047260E" w:rsidP="0047260E">
      <w:pPr>
        <w:pStyle w:val="Caption"/>
        <w:jc w:val="center"/>
        <w:rPr>
          <w:rFonts w:ascii="Arial" w:hAnsi="Arial" w:cs="Arial"/>
          <w:color w:val="0D0D0D" w:themeColor="text1" w:themeTint="F2"/>
          <w:sz w:val="24"/>
          <w:szCs w:val="24"/>
        </w:rPr>
      </w:pPr>
      <w:bookmarkStart w:id="8" w:name="_Toc227165082"/>
      <w:r w:rsidRPr="0010446F">
        <w:rPr>
          <w:rFonts w:ascii="Arial" w:hAnsi="Arial" w:cs="Arial"/>
          <w:color w:val="0D0D0D" w:themeColor="text1" w:themeTint="F2"/>
          <w:sz w:val="24"/>
          <w:szCs w:val="24"/>
        </w:rPr>
        <w:t xml:space="preserve">Figure </w:t>
      </w:r>
      <w:r w:rsidRPr="0010446F">
        <w:rPr>
          <w:rFonts w:ascii="Arial" w:hAnsi="Arial" w:cs="Arial"/>
          <w:color w:val="0D0D0D" w:themeColor="text1" w:themeTint="F2"/>
          <w:sz w:val="24"/>
          <w:szCs w:val="24"/>
        </w:rPr>
        <w:fldChar w:fldCharType="begin"/>
      </w:r>
      <w:r w:rsidRPr="0010446F">
        <w:rPr>
          <w:rFonts w:ascii="Arial" w:hAnsi="Arial" w:cs="Arial"/>
          <w:color w:val="0D0D0D" w:themeColor="text1" w:themeTint="F2"/>
          <w:sz w:val="24"/>
          <w:szCs w:val="24"/>
        </w:rPr>
        <w:instrText xml:space="preserve"> SEQ Figure \* ARABIC </w:instrText>
      </w:r>
      <w:r w:rsidRPr="0010446F">
        <w:rPr>
          <w:rFonts w:ascii="Arial" w:hAnsi="Arial" w:cs="Arial"/>
          <w:color w:val="0D0D0D" w:themeColor="text1" w:themeTint="F2"/>
          <w:sz w:val="24"/>
          <w:szCs w:val="24"/>
        </w:rPr>
        <w:fldChar w:fldCharType="separate"/>
      </w:r>
      <w:r w:rsidR="007C6B7D" w:rsidRPr="0010446F">
        <w:rPr>
          <w:rFonts w:ascii="Arial" w:hAnsi="Arial" w:cs="Arial"/>
          <w:noProof/>
          <w:color w:val="0D0D0D" w:themeColor="text1" w:themeTint="F2"/>
          <w:sz w:val="24"/>
          <w:szCs w:val="24"/>
        </w:rPr>
        <w:t>3</w:t>
      </w:r>
      <w:r w:rsidRPr="0010446F">
        <w:rPr>
          <w:rFonts w:ascii="Arial" w:hAnsi="Arial" w:cs="Arial"/>
          <w:color w:val="0D0D0D" w:themeColor="text1" w:themeTint="F2"/>
          <w:sz w:val="24"/>
          <w:szCs w:val="24"/>
        </w:rPr>
        <w:fldChar w:fldCharType="end"/>
      </w:r>
      <w:r w:rsidRPr="0010446F">
        <w:rPr>
          <w:rFonts w:ascii="Arial" w:hAnsi="Arial" w:cs="Arial"/>
          <w:color w:val="0D0D0D" w:themeColor="text1" w:themeTint="F2"/>
          <w:sz w:val="24"/>
          <w:szCs w:val="24"/>
        </w:rPr>
        <w:t>: Liquidity Analysis</w:t>
      </w:r>
      <w:bookmarkEnd w:id="8"/>
    </w:p>
    <w:p w14:paraId="44EA2213" w14:textId="77777777" w:rsidR="00165470" w:rsidRPr="0010446F" w:rsidRDefault="00165470" w:rsidP="00165470">
      <w:pPr>
        <w:rPr>
          <w:rFonts w:ascii="Arial" w:hAnsi="Arial" w:cs="Arial"/>
          <w:lang w:val="en-US"/>
        </w:rPr>
      </w:pPr>
      <w:r w:rsidRPr="0010446F">
        <w:rPr>
          <w:rFonts w:ascii="Arial" w:hAnsi="Arial" w:cs="Arial"/>
          <w:lang w:val="en-US"/>
        </w:rPr>
        <w:t>Toyota Motor Corporation maintained a strong liquidity position throughout the FY2021–FY2025 period, indicating solid short-term solvency and an effective ability to meet current financial obligations. The current ratio improved overall from approximately 1.64 in FY2021 to 1.92 in FY2025, demonstrating that Toyota consistently held sufficient current assets to cover short-term liabilities</w:t>
      </w:r>
      <w:r w:rsidR="00FB4EEB" w:rsidRPr="0010446F">
        <w:rPr>
          <w:rFonts w:ascii="Arial" w:hAnsi="Arial" w:cs="Arial"/>
          <w:lang w:val="en-US"/>
        </w:rPr>
        <w:t xml:space="preserve"> (Toyota, 2021)</w:t>
      </w:r>
      <w:r w:rsidRPr="0010446F">
        <w:rPr>
          <w:rFonts w:ascii="Arial" w:hAnsi="Arial" w:cs="Arial"/>
          <w:lang w:val="en-US"/>
        </w:rPr>
        <w:t>. This suggests a stable working capital base and prudent short-term financial management.</w:t>
      </w:r>
    </w:p>
    <w:p w14:paraId="652A1CA0" w14:textId="77777777" w:rsidR="00165470" w:rsidRPr="0010446F" w:rsidRDefault="00165470" w:rsidP="00165470">
      <w:pPr>
        <w:rPr>
          <w:rFonts w:ascii="Arial" w:hAnsi="Arial" w:cs="Arial"/>
          <w:lang w:val="en-US"/>
        </w:rPr>
      </w:pPr>
      <w:r w:rsidRPr="0010446F">
        <w:rPr>
          <w:rFonts w:ascii="Arial" w:hAnsi="Arial" w:cs="Arial"/>
          <w:lang w:val="en-US"/>
        </w:rPr>
        <w:t>The quick ratio remained particularly strong, ranging between 2.45 and 2.86 over the five-year period, indicating that Toyota maintained substantial liquid assets even after excluding inventory. Such levels reflect strong receivables, cash equivalents, and short-term investments, enhancing the company’s flexibility to meet immediate obligations without relying heavily on inventory liquidation. This is a positive indicator of financial resilience, particularly within the capital-intensive automotive sector.</w:t>
      </w:r>
    </w:p>
    <w:p w14:paraId="1B990B48" w14:textId="77777777" w:rsidR="00165470" w:rsidRPr="0010446F" w:rsidRDefault="00165470" w:rsidP="00165470">
      <w:pPr>
        <w:rPr>
          <w:rFonts w:ascii="Arial" w:hAnsi="Arial" w:cs="Arial"/>
          <w:lang w:val="en-US"/>
        </w:rPr>
      </w:pPr>
      <w:r w:rsidRPr="0010446F">
        <w:rPr>
          <w:rFonts w:ascii="Arial" w:hAnsi="Arial" w:cs="Arial"/>
          <w:lang w:val="en-US"/>
        </w:rPr>
        <w:t xml:space="preserve">However, the cash ratio remained comparatively low throughout the period, fluctuating between 0.14 and 0.31. While this suggests that Toyota does not hold large volumes of cash relative to current liabilities, this is not unusual for large multinational manufacturers that </w:t>
      </w:r>
      <w:proofErr w:type="spellStart"/>
      <w:r w:rsidRPr="0010446F">
        <w:rPr>
          <w:rFonts w:ascii="Arial" w:hAnsi="Arial" w:cs="Arial"/>
          <w:lang w:val="en-US"/>
        </w:rPr>
        <w:t>optimise</w:t>
      </w:r>
      <w:proofErr w:type="spellEnd"/>
      <w:r w:rsidRPr="0010446F">
        <w:rPr>
          <w:rFonts w:ascii="Arial" w:hAnsi="Arial" w:cs="Arial"/>
          <w:lang w:val="en-US"/>
        </w:rPr>
        <w:t xml:space="preserve"> cash deployment through active treasury management and short-term financing arrangements.</w:t>
      </w:r>
    </w:p>
    <w:p w14:paraId="595284DF" w14:textId="77777777" w:rsidR="00165470" w:rsidRPr="0010446F" w:rsidRDefault="00165470" w:rsidP="00165470">
      <w:pPr>
        <w:rPr>
          <w:rFonts w:ascii="Arial" w:hAnsi="Arial" w:cs="Arial"/>
          <w:lang w:val="en-US"/>
        </w:rPr>
      </w:pPr>
      <w:r w:rsidRPr="0010446F">
        <w:rPr>
          <w:rFonts w:ascii="Arial" w:hAnsi="Arial" w:cs="Arial"/>
          <w:lang w:val="en-US"/>
        </w:rPr>
        <w:lastRenderedPageBreak/>
        <w:t>Overall, Toyota’s liquidity ratios indicate a financially secure short-term position with strong working capital coverage and adequate liquid resources. Nevertheless, the relatively low cash ratio highlights the importance of maintaining efficient cash flow forecasting and treasury management to support ongoing operational and investment requirements.</w:t>
      </w:r>
    </w:p>
    <w:p w14:paraId="4DC0564C" w14:textId="77777777" w:rsidR="00165470" w:rsidRPr="0010446F" w:rsidRDefault="007A54D8" w:rsidP="00731434">
      <w:pPr>
        <w:pStyle w:val="Heading2"/>
        <w:rPr>
          <w:rFonts w:ascii="Arial" w:hAnsi="Arial" w:cs="Arial"/>
          <w:szCs w:val="24"/>
        </w:rPr>
      </w:pPr>
      <w:bookmarkStart w:id="9" w:name="_Toc227165046"/>
      <w:r w:rsidRPr="0010446F">
        <w:rPr>
          <w:rFonts w:ascii="Arial" w:hAnsi="Arial" w:cs="Arial"/>
          <w:szCs w:val="24"/>
        </w:rPr>
        <w:t>2.4 Working Capital Efficiency</w:t>
      </w:r>
      <w:bookmarkEnd w:id="9"/>
      <w:r w:rsidRPr="0010446F">
        <w:rPr>
          <w:rFonts w:ascii="Arial" w:hAnsi="Arial" w:cs="Arial"/>
          <w:szCs w:val="24"/>
        </w:rPr>
        <w:t xml:space="preserve"> </w:t>
      </w:r>
    </w:p>
    <w:p w14:paraId="66BB820A" w14:textId="77777777" w:rsidR="00D7663E" w:rsidRPr="0010446F" w:rsidRDefault="007A54D8" w:rsidP="00D7663E">
      <w:pPr>
        <w:keepNext/>
        <w:jc w:val="center"/>
        <w:rPr>
          <w:rFonts w:ascii="Arial" w:hAnsi="Arial" w:cs="Arial"/>
        </w:rPr>
      </w:pPr>
      <w:r w:rsidRPr="0010446F">
        <w:rPr>
          <w:rFonts w:ascii="Arial" w:hAnsi="Arial" w:cs="Arial"/>
          <w:noProof/>
          <w:lang w:val="en-US"/>
        </w:rPr>
        <w:drawing>
          <wp:inline distT="0" distB="0" distL="0" distR="0" wp14:anchorId="2B290C1D" wp14:editId="60C28F7F">
            <wp:extent cx="4572635" cy="2743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635" cy="2743200"/>
                    </a:xfrm>
                    <a:prstGeom prst="rect">
                      <a:avLst/>
                    </a:prstGeom>
                    <a:noFill/>
                  </pic:spPr>
                </pic:pic>
              </a:graphicData>
            </a:graphic>
          </wp:inline>
        </w:drawing>
      </w:r>
    </w:p>
    <w:p w14:paraId="4278B112" w14:textId="77777777" w:rsidR="007C3064" w:rsidRPr="0010446F" w:rsidRDefault="00D7663E" w:rsidP="00D7663E">
      <w:pPr>
        <w:pStyle w:val="Caption"/>
        <w:jc w:val="center"/>
        <w:rPr>
          <w:rFonts w:ascii="Arial" w:hAnsi="Arial" w:cs="Arial"/>
          <w:color w:val="0D0D0D" w:themeColor="text1" w:themeTint="F2"/>
          <w:sz w:val="24"/>
          <w:szCs w:val="24"/>
        </w:rPr>
      </w:pPr>
      <w:bookmarkStart w:id="10" w:name="_Toc227165083"/>
      <w:r w:rsidRPr="0010446F">
        <w:rPr>
          <w:rFonts w:ascii="Arial" w:hAnsi="Arial" w:cs="Arial"/>
          <w:color w:val="0D0D0D" w:themeColor="text1" w:themeTint="F2"/>
          <w:sz w:val="24"/>
          <w:szCs w:val="24"/>
        </w:rPr>
        <w:t xml:space="preserve">Figure </w:t>
      </w:r>
      <w:r w:rsidRPr="0010446F">
        <w:rPr>
          <w:rFonts w:ascii="Arial" w:hAnsi="Arial" w:cs="Arial"/>
          <w:color w:val="0D0D0D" w:themeColor="text1" w:themeTint="F2"/>
          <w:sz w:val="24"/>
          <w:szCs w:val="24"/>
        </w:rPr>
        <w:fldChar w:fldCharType="begin"/>
      </w:r>
      <w:r w:rsidRPr="0010446F">
        <w:rPr>
          <w:rFonts w:ascii="Arial" w:hAnsi="Arial" w:cs="Arial"/>
          <w:color w:val="0D0D0D" w:themeColor="text1" w:themeTint="F2"/>
          <w:sz w:val="24"/>
          <w:szCs w:val="24"/>
        </w:rPr>
        <w:instrText xml:space="preserve"> SEQ Figure \* ARABIC </w:instrText>
      </w:r>
      <w:r w:rsidRPr="0010446F">
        <w:rPr>
          <w:rFonts w:ascii="Arial" w:hAnsi="Arial" w:cs="Arial"/>
          <w:color w:val="0D0D0D" w:themeColor="text1" w:themeTint="F2"/>
          <w:sz w:val="24"/>
          <w:szCs w:val="24"/>
        </w:rPr>
        <w:fldChar w:fldCharType="separate"/>
      </w:r>
      <w:r w:rsidR="007C6B7D" w:rsidRPr="0010446F">
        <w:rPr>
          <w:rFonts w:ascii="Arial" w:hAnsi="Arial" w:cs="Arial"/>
          <w:noProof/>
          <w:color w:val="0D0D0D" w:themeColor="text1" w:themeTint="F2"/>
          <w:sz w:val="24"/>
          <w:szCs w:val="24"/>
        </w:rPr>
        <w:t>4</w:t>
      </w:r>
      <w:r w:rsidRPr="0010446F">
        <w:rPr>
          <w:rFonts w:ascii="Arial" w:hAnsi="Arial" w:cs="Arial"/>
          <w:color w:val="0D0D0D" w:themeColor="text1" w:themeTint="F2"/>
          <w:sz w:val="24"/>
          <w:szCs w:val="24"/>
        </w:rPr>
        <w:fldChar w:fldCharType="end"/>
      </w:r>
      <w:r w:rsidRPr="0010446F">
        <w:rPr>
          <w:rFonts w:ascii="Arial" w:hAnsi="Arial" w:cs="Arial"/>
          <w:color w:val="0D0D0D" w:themeColor="text1" w:themeTint="F2"/>
          <w:sz w:val="24"/>
          <w:szCs w:val="24"/>
        </w:rPr>
        <w:t>: Working Capital Management Analysis</w:t>
      </w:r>
      <w:bookmarkEnd w:id="10"/>
    </w:p>
    <w:p w14:paraId="2B2DC78C" w14:textId="77777777" w:rsidR="00731434" w:rsidRPr="0010446F" w:rsidRDefault="00731434" w:rsidP="00731434">
      <w:pPr>
        <w:rPr>
          <w:rFonts w:ascii="Arial" w:hAnsi="Arial" w:cs="Arial"/>
          <w:lang w:val="en-US"/>
        </w:rPr>
      </w:pPr>
      <w:r w:rsidRPr="0010446F">
        <w:rPr>
          <w:rFonts w:ascii="Arial" w:hAnsi="Arial" w:cs="Arial"/>
          <w:lang w:val="en-US"/>
        </w:rPr>
        <w:t xml:space="preserve">Toyota Motor Corporation’s working capital efficiency deteriorated over the FY2021–FY2025 period, indicating growing pressure on operational cash management and the efficiency of short-term asset </w:t>
      </w:r>
      <w:proofErr w:type="spellStart"/>
      <w:r w:rsidRPr="0010446F">
        <w:rPr>
          <w:rFonts w:ascii="Arial" w:hAnsi="Arial" w:cs="Arial"/>
          <w:lang w:val="en-US"/>
        </w:rPr>
        <w:t>utilisation</w:t>
      </w:r>
      <w:proofErr w:type="spellEnd"/>
      <w:r w:rsidRPr="0010446F">
        <w:rPr>
          <w:rFonts w:ascii="Arial" w:hAnsi="Arial" w:cs="Arial"/>
          <w:lang w:val="en-US"/>
        </w:rPr>
        <w:t>. Inventory days remained relatively stable but elevated, fluctuating between approximately 65 and 77 days, suggesting that Toyota maintained significant inventory holdings throughout the period. While this may reflect the strategic need to support global manufacturing operations and supply chain resilience, persistently high inventory days can increase holding costs and reduce working capital efficiency.</w:t>
      </w:r>
    </w:p>
    <w:p w14:paraId="164D0EB1" w14:textId="77777777" w:rsidR="00731434" w:rsidRPr="0010446F" w:rsidRDefault="00731434" w:rsidP="00731434">
      <w:pPr>
        <w:rPr>
          <w:rFonts w:ascii="Arial" w:hAnsi="Arial" w:cs="Arial"/>
          <w:lang w:val="en-US"/>
        </w:rPr>
      </w:pPr>
      <w:r w:rsidRPr="0010446F">
        <w:rPr>
          <w:rFonts w:ascii="Arial" w:hAnsi="Arial" w:cs="Arial"/>
          <w:lang w:val="en-US"/>
        </w:rPr>
        <w:t xml:space="preserve">Receivable days remained consistently high, averaging above 150 days across the five-year period, indicating a prolonged customer collection cycle. This suggests that a substantial amount of cash is tied up in receivables, potentially reducing liquidity and increasing reliance on external financing to support operations. Such extended receivable </w:t>
      </w:r>
      <w:r w:rsidRPr="0010446F">
        <w:rPr>
          <w:rFonts w:ascii="Arial" w:hAnsi="Arial" w:cs="Arial"/>
          <w:lang w:val="en-US"/>
        </w:rPr>
        <w:lastRenderedPageBreak/>
        <w:t>periods may reflect generous credit terms within Toyota’s dealership and financing operations; however, they nevertheless weaken short-term cash conversion efficiency.</w:t>
      </w:r>
    </w:p>
    <w:p w14:paraId="2539650F" w14:textId="77777777" w:rsidR="00731434" w:rsidRPr="0010446F" w:rsidRDefault="00731434" w:rsidP="00731434">
      <w:pPr>
        <w:rPr>
          <w:rFonts w:ascii="Arial" w:hAnsi="Arial" w:cs="Arial"/>
          <w:lang w:val="en-US"/>
        </w:rPr>
      </w:pPr>
      <w:r w:rsidRPr="0010446F">
        <w:rPr>
          <w:rFonts w:ascii="Arial" w:hAnsi="Arial" w:cs="Arial"/>
          <w:lang w:val="en-US"/>
        </w:rPr>
        <w:t>Conversely, payable days declined significantly from approximately 138 days in FY2021 to 102 days in FY2025, indicating that Toyota has been settling supplier obligations more quickly over time. While faster supplier payments may strengthen supplier relationships, this reduces the company’s ability to preserve cash within the operating cycle.</w:t>
      </w:r>
    </w:p>
    <w:p w14:paraId="25E6B23D" w14:textId="77777777" w:rsidR="007C3064" w:rsidRPr="0010446F" w:rsidRDefault="00731434" w:rsidP="007C3064">
      <w:pPr>
        <w:rPr>
          <w:rFonts w:ascii="Arial" w:hAnsi="Arial" w:cs="Arial"/>
          <w:lang w:val="en-US"/>
        </w:rPr>
      </w:pPr>
      <w:r w:rsidRPr="0010446F">
        <w:rPr>
          <w:rFonts w:ascii="Arial" w:hAnsi="Arial" w:cs="Arial"/>
          <w:lang w:val="en-US"/>
        </w:rPr>
        <w:t>As a result of these combined movements, Toyota’s cash conversion cycle increased materially from 94 days in FY2021 to 124 days in FY2025, demonstrating a deterioration in overall working capital efficiency</w:t>
      </w:r>
      <w:r w:rsidR="008B7D7F" w:rsidRPr="0010446F">
        <w:rPr>
          <w:rFonts w:ascii="Arial" w:hAnsi="Arial" w:cs="Arial"/>
          <w:lang w:val="en-US"/>
        </w:rPr>
        <w:t xml:space="preserve"> (Toyota, 2025 &amp; Toyota, 2021)</w:t>
      </w:r>
      <w:r w:rsidRPr="0010446F">
        <w:rPr>
          <w:rFonts w:ascii="Arial" w:hAnsi="Arial" w:cs="Arial"/>
          <w:lang w:val="en-US"/>
        </w:rPr>
        <w:t xml:space="preserve">. The upward trend indicates that Toyota requires more time to convert operational investments into cash, which may constrain liquidity and increase financing needs. To improve efficiency, Toyota should </w:t>
      </w:r>
      <w:proofErr w:type="spellStart"/>
      <w:r w:rsidRPr="0010446F">
        <w:rPr>
          <w:rFonts w:ascii="Arial" w:hAnsi="Arial" w:cs="Arial"/>
          <w:lang w:val="en-US"/>
        </w:rPr>
        <w:t>optimise</w:t>
      </w:r>
      <w:proofErr w:type="spellEnd"/>
      <w:r w:rsidRPr="0010446F">
        <w:rPr>
          <w:rFonts w:ascii="Arial" w:hAnsi="Arial" w:cs="Arial"/>
          <w:lang w:val="en-US"/>
        </w:rPr>
        <w:t xml:space="preserve"> inventory planning, strengthen receivables management, and renegotiate supplier credit terms to shorten its operating cash cycle.</w:t>
      </w:r>
    </w:p>
    <w:p w14:paraId="1E509412" w14:textId="77777777" w:rsidR="007C3064" w:rsidRPr="0010446F" w:rsidRDefault="00634836" w:rsidP="00634836">
      <w:pPr>
        <w:pStyle w:val="Heading2"/>
        <w:rPr>
          <w:rFonts w:ascii="Arial" w:hAnsi="Arial" w:cs="Arial"/>
          <w:szCs w:val="24"/>
        </w:rPr>
      </w:pPr>
      <w:bookmarkStart w:id="11" w:name="_Toc227165047"/>
      <w:r w:rsidRPr="0010446F">
        <w:rPr>
          <w:rFonts w:ascii="Arial" w:hAnsi="Arial" w:cs="Arial"/>
          <w:szCs w:val="24"/>
        </w:rPr>
        <w:t>2.5 Capital Structure and Gearing Analysis</w:t>
      </w:r>
      <w:bookmarkEnd w:id="11"/>
    </w:p>
    <w:p w14:paraId="144D3C13" w14:textId="77777777" w:rsidR="007C6B7D" w:rsidRPr="0010446F" w:rsidRDefault="00634836" w:rsidP="007C6B7D">
      <w:pPr>
        <w:keepNext/>
        <w:jc w:val="center"/>
        <w:rPr>
          <w:rFonts w:ascii="Arial" w:hAnsi="Arial" w:cs="Arial"/>
        </w:rPr>
      </w:pPr>
      <w:r w:rsidRPr="0010446F">
        <w:rPr>
          <w:rFonts w:ascii="Arial" w:hAnsi="Arial" w:cs="Arial"/>
          <w:noProof/>
          <w:lang w:val="en-US"/>
        </w:rPr>
        <w:drawing>
          <wp:inline distT="0" distB="0" distL="0" distR="0" wp14:anchorId="2307E89C" wp14:editId="01736A9D">
            <wp:extent cx="4584700" cy="2755900"/>
            <wp:effectExtent l="0" t="0" r="635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2066DF4" w14:textId="77777777" w:rsidR="007C6B7D" w:rsidRPr="0010446F" w:rsidRDefault="007C6B7D" w:rsidP="007C6B7D">
      <w:pPr>
        <w:pStyle w:val="Caption"/>
        <w:jc w:val="center"/>
        <w:rPr>
          <w:rFonts w:ascii="Arial" w:hAnsi="Arial" w:cs="Arial"/>
          <w:color w:val="0D0D0D" w:themeColor="text1" w:themeTint="F2"/>
          <w:sz w:val="24"/>
          <w:szCs w:val="24"/>
        </w:rPr>
      </w:pPr>
      <w:bookmarkStart w:id="12" w:name="_Toc227165084"/>
      <w:r w:rsidRPr="0010446F">
        <w:rPr>
          <w:rFonts w:ascii="Arial" w:hAnsi="Arial" w:cs="Arial"/>
          <w:color w:val="0D0D0D" w:themeColor="text1" w:themeTint="F2"/>
          <w:sz w:val="24"/>
          <w:szCs w:val="24"/>
        </w:rPr>
        <w:t xml:space="preserve">Figure </w:t>
      </w:r>
      <w:r w:rsidRPr="0010446F">
        <w:rPr>
          <w:rFonts w:ascii="Arial" w:hAnsi="Arial" w:cs="Arial"/>
          <w:color w:val="0D0D0D" w:themeColor="text1" w:themeTint="F2"/>
          <w:sz w:val="24"/>
          <w:szCs w:val="24"/>
        </w:rPr>
        <w:fldChar w:fldCharType="begin"/>
      </w:r>
      <w:r w:rsidRPr="0010446F">
        <w:rPr>
          <w:rFonts w:ascii="Arial" w:hAnsi="Arial" w:cs="Arial"/>
          <w:color w:val="0D0D0D" w:themeColor="text1" w:themeTint="F2"/>
          <w:sz w:val="24"/>
          <w:szCs w:val="24"/>
        </w:rPr>
        <w:instrText xml:space="preserve"> SEQ Figure \* ARABIC </w:instrText>
      </w:r>
      <w:r w:rsidRPr="0010446F">
        <w:rPr>
          <w:rFonts w:ascii="Arial" w:hAnsi="Arial" w:cs="Arial"/>
          <w:color w:val="0D0D0D" w:themeColor="text1" w:themeTint="F2"/>
          <w:sz w:val="24"/>
          <w:szCs w:val="24"/>
        </w:rPr>
        <w:fldChar w:fldCharType="separate"/>
      </w:r>
      <w:r w:rsidRPr="0010446F">
        <w:rPr>
          <w:rFonts w:ascii="Arial" w:hAnsi="Arial" w:cs="Arial"/>
          <w:noProof/>
          <w:color w:val="0D0D0D" w:themeColor="text1" w:themeTint="F2"/>
          <w:sz w:val="24"/>
          <w:szCs w:val="24"/>
        </w:rPr>
        <w:t>5</w:t>
      </w:r>
      <w:r w:rsidRPr="0010446F">
        <w:rPr>
          <w:rFonts w:ascii="Arial" w:hAnsi="Arial" w:cs="Arial"/>
          <w:color w:val="0D0D0D" w:themeColor="text1" w:themeTint="F2"/>
          <w:sz w:val="24"/>
          <w:szCs w:val="24"/>
        </w:rPr>
        <w:fldChar w:fldCharType="end"/>
      </w:r>
      <w:r w:rsidRPr="0010446F">
        <w:rPr>
          <w:rFonts w:ascii="Arial" w:hAnsi="Arial" w:cs="Arial"/>
          <w:color w:val="0D0D0D" w:themeColor="text1" w:themeTint="F2"/>
          <w:sz w:val="24"/>
          <w:szCs w:val="24"/>
        </w:rPr>
        <w:t>: Capital Structure and Gearing Analysis</w:t>
      </w:r>
      <w:bookmarkEnd w:id="12"/>
    </w:p>
    <w:p w14:paraId="7BB52DA9" w14:textId="77777777" w:rsidR="00634836" w:rsidRPr="0010446F" w:rsidRDefault="00634836" w:rsidP="00634836">
      <w:pPr>
        <w:rPr>
          <w:rFonts w:ascii="Arial" w:hAnsi="Arial" w:cs="Arial"/>
          <w:lang w:val="en-US"/>
        </w:rPr>
      </w:pPr>
      <w:r w:rsidRPr="0010446F">
        <w:rPr>
          <w:rFonts w:ascii="Arial" w:hAnsi="Arial" w:cs="Arial"/>
          <w:lang w:val="en-US"/>
        </w:rPr>
        <w:t xml:space="preserve">Toyota Motor Corporation maintained a relatively conservative and stable capital structure throughout the FY2021–FY2025 period, indicating prudent financial risk management and a balanced approach to leverage. The debt-to-equity ratio remained moderate over the review period, fluctuating between 28% and 43% when converted into percentage </w:t>
      </w:r>
      <w:r w:rsidRPr="0010446F">
        <w:rPr>
          <w:rFonts w:ascii="Arial" w:hAnsi="Arial" w:cs="Arial"/>
          <w:lang w:val="en-US"/>
        </w:rPr>
        <w:lastRenderedPageBreak/>
        <w:t xml:space="preserve">form for graphical consistency. This suggests that Toyota relies more heavily on equity financing than debt financing, thereby reducing exposure to excessive financial leverage and interest burden. The temporary increase in FY2023 indicates a short-term rise in debt </w:t>
      </w:r>
      <w:proofErr w:type="spellStart"/>
      <w:r w:rsidRPr="0010446F">
        <w:rPr>
          <w:rFonts w:ascii="Arial" w:hAnsi="Arial" w:cs="Arial"/>
          <w:lang w:val="en-US"/>
        </w:rPr>
        <w:t>utilisation</w:t>
      </w:r>
      <w:proofErr w:type="spellEnd"/>
      <w:r w:rsidRPr="0010446F">
        <w:rPr>
          <w:rFonts w:ascii="Arial" w:hAnsi="Arial" w:cs="Arial"/>
          <w:lang w:val="en-US"/>
        </w:rPr>
        <w:t>, potentially linked to strategic investment requirements or financing of operational expansion</w:t>
      </w:r>
      <w:r w:rsidR="008B7D7F" w:rsidRPr="0010446F">
        <w:rPr>
          <w:rFonts w:ascii="Arial" w:hAnsi="Arial" w:cs="Arial"/>
          <w:lang w:val="en-US"/>
        </w:rPr>
        <w:t xml:space="preserve"> (Toyota, 2023)</w:t>
      </w:r>
      <w:r w:rsidRPr="0010446F">
        <w:rPr>
          <w:rFonts w:ascii="Arial" w:hAnsi="Arial" w:cs="Arial"/>
          <w:lang w:val="en-US"/>
        </w:rPr>
        <w:t>.</w:t>
      </w:r>
    </w:p>
    <w:p w14:paraId="70A5AEB1" w14:textId="77777777" w:rsidR="00634836" w:rsidRPr="0010446F" w:rsidRDefault="00634836" w:rsidP="00634836">
      <w:pPr>
        <w:rPr>
          <w:rFonts w:ascii="Arial" w:hAnsi="Arial" w:cs="Arial"/>
          <w:lang w:val="en-US"/>
        </w:rPr>
      </w:pPr>
      <w:r w:rsidRPr="0010446F">
        <w:rPr>
          <w:rFonts w:ascii="Arial" w:hAnsi="Arial" w:cs="Arial"/>
          <w:lang w:val="en-US"/>
        </w:rPr>
        <w:t>Debt to capital followed a similar pattern, ranging from 21.71% to 30.16%, demonstrating that debt represented a relatively limited proportion of Toyota’s total capital base. This indicates a financially cautious funding strategy and reflects the company’s strong capacity to finance operations and strategic investments without excessive dependence on borrowing. Furthermore, debt ratio remained below 22% across the five-year period, while equity ratio consistently exceeded 50%, reinforcing the strength of Toyota’s balance sheet and shareholder-funded capital base.</w:t>
      </w:r>
    </w:p>
    <w:p w14:paraId="1F2BB7B6" w14:textId="77777777" w:rsidR="00634836" w:rsidRPr="0010446F" w:rsidRDefault="00634836" w:rsidP="00634836">
      <w:pPr>
        <w:rPr>
          <w:rFonts w:ascii="Arial" w:hAnsi="Arial" w:cs="Arial"/>
          <w:lang w:val="en-US"/>
        </w:rPr>
      </w:pPr>
      <w:r w:rsidRPr="0010446F">
        <w:rPr>
          <w:rFonts w:ascii="Arial" w:hAnsi="Arial" w:cs="Arial"/>
          <w:lang w:val="en-US"/>
        </w:rPr>
        <w:t>The notable improvement in FY2024, where gearing metrics declined significantly, suggests successful debt reduction or equity growth during the period, enhancing Toyota’s financial flexibility and reducing solvency risk. Although gearing increased slightly again in FY2025, leverage remained within conservative levels.</w:t>
      </w:r>
    </w:p>
    <w:p w14:paraId="6B337AE2" w14:textId="77777777" w:rsidR="00634836" w:rsidRPr="0010446F" w:rsidRDefault="00634836" w:rsidP="00634836">
      <w:pPr>
        <w:rPr>
          <w:rFonts w:ascii="Arial" w:hAnsi="Arial" w:cs="Arial"/>
          <w:lang w:val="en-US"/>
        </w:rPr>
      </w:pPr>
      <w:r w:rsidRPr="0010446F">
        <w:rPr>
          <w:rFonts w:ascii="Arial" w:hAnsi="Arial" w:cs="Arial"/>
          <w:lang w:val="en-US"/>
        </w:rPr>
        <w:t xml:space="preserve">Toyota’s gearing position reflects a financially robust and low-risk capital structure, providing substantial borrowing capacity for future strategic investments if required. However, management should continue balancing debt and equity efficiently to </w:t>
      </w:r>
      <w:proofErr w:type="spellStart"/>
      <w:r w:rsidRPr="0010446F">
        <w:rPr>
          <w:rFonts w:ascii="Arial" w:hAnsi="Arial" w:cs="Arial"/>
          <w:lang w:val="en-US"/>
        </w:rPr>
        <w:t>optimise</w:t>
      </w:r>
      <w:proofErr w:type="spellEnd"/>
      <w:r w:rsidRPr="0010446F">
        <w:rPr>
          <w:rFonts w:ascii="Arial" w:hAnsi="Arial" w:cs="Arial"/>
          <w:lang w:val="en-US"/>
        </w:rPr>
        <w:t xml:space="preserve"> capital costs while maintaining flexibility to support large-scale electrification and international expansion initiatives.</w:t>
      </w:r>
    </w:p>
    <w:p w14:paraId="30FE3207" w14:textId="77777777" w:rsidR="000145E9" w:rsidRPr="0010446F" w:rsidRDefault="000145E9" w:rsidP="000145E9">
      <w:pPr>
        <w:pStyle w:val="Heading2"/>
        <w:rPr>
          <w:rFonts w:ascii="Arial" w:hAnsi="Arial" w:cs="Arial"/>
          <w:szCs w:val="24"/>
        </w:rPr>
      </w:pPr>
      <w:bookmarkStart w:id="13" w:name="_Toc227165048"/>
      <w:r w:rsidRPr="0010446F">
        <w:rPr>
          <w:rFonts w:ascii="Arial" w:hAnsi="Arial" w:cs="Arial"/>
          <w:szCs w:val="24"/>
        </w:rPr>
        <w:t>2.6 Investment and Cash Flow Analysis</w:t>
      </w:r>
      <w:bookmarkEnd w:id="13"/>
    </w:p>
    <w:p w14:paraId="22D20F2F" w14:textId="77777777" w:rsidR="000145E9" w:rsidRPr="0010446F" w:rsidRDefault="000145E9" w:rsidP="000145E9">
      <w:pPr>
        <w:rPr>
          <w:rFonts w:ascii="Arial" w:hAnsi="Arial" w:cs="Arial"/>
          <w:lang w:val="en-US"/>
        </w:rPr>
      </w:pPr>
      <w:r w:rsidRPr="0010446F">
        <w:rPr>
          <w:rFonts w:ascii="Arial" w:hAnsi="Arial" w:cs="Arial"/>
          <w:lang w:val="en-US"/>
        </w:rPr>
        <w:t xml:space="preserve">Toyota Motor Corporation demonstrated mixed performance in terms of investor attractiveness and cash flow generation during the FY2021–FY2025 period. Earnings per share (EPS) increased consistently over the five-year period, indicating improving profitability attributable to shareholders and enhanced earnings generation. This upward trend reflects Toyota’s strengthening financial performance and capacity to create shareholder value through sustained profit growth. However, the price-to-earnings (P/E) ratio fluctuated considerably across the period, suggesting varying levels of market confidence and investor expectations regarding Toyota’s future growth potential. Such </w:t>
      </w:r>
      <w:r w:rsidRPr="0010446F">
        <w:rPr>
          <w:rFonts w:ascii="Arial" w:hAnsi="Arial" w:cs="Arial"/>
          <w:lang w:val="en-US"/>
        </w:rPr>
        <w:lastRenderedPageBreak/>
        <w:t>volatility may reflect uncertainty surrounding the company’s EV transition strategy, competitive pressures, and broader macroeconomic conditions affecting the automotive sector</w:t>
      </w:r>
      <w:r w:rsidR="00357DF9" w:rsidRPr="0010446F">
        <w:rPr>
          <w:rFonts w:ascii="Arial" w:hAnsi="Arial" w:cs="Arial"/>
          <w:lang w:val="en-US"/>
        </w:rPr>
        <w:t xml:space="preserve"> (</w:t>
      </w:r>
      <w:r w:rsidR="00357DF9" w:rsidRPr="0010446F">
        <w:rPr>
          <w:rFonts w:ascii="Arial" w:hAnsi="Arial" w:cs="Arial"/>
        </w:rPr>
        <w:t>Muller, 2025</w:t>
      </w:r>
      <w:r w:rsidR="00357DF9" w:rsidRPr="0010446F">
        <w:rPr>
          <w:rFonts w:ascii="Arial" w:hAnsi="Arial" w:cs="Arial"/>
          <w:lang w:val="en-US"/>
        </w:rPr>
        <w:t>)</w:t>
      </w:r>
      <w:r w:rsidRPr="0010446F">
        <w:rPr>
          <w:rFonts w:ascii="Arial" w:hAnsi="Arial" w:cs="Arial"/>
          <w:lang w:val="en-US"/>
        </w:rPr>
        <w:t>.</w:t>
      </w:r>
    </w:p>
    <w:p w14:paraId="6F9D5357" w14:textId="77777777" w:rsidR="000145E9" w:rsidRPr="0010446F" w:rsidRDefault="000145E9" w:rsidP="000145E9">
      <w:pPr>
        <w:rPr>
          <w:rFonts w:ascii="Arial" w:hAnsi="Arial" w:cs="Arial"/>
          <w:lang w:val="en-US"/>
        </w:rPr>
      </w:pPr>
      <w:r w:rsidRPr="0010446F">
        <w:rPr>
          <w:rFonts w:ascii="Arial" w:hAnsi="Arial" w:cs="Arial"/>
          <w:lang w:val="en-US"/>
        </w:rPr>
        <w:t>Despite improvements in profitability, Toyota’s operating cash flow ratios weakened materially over the review period. Operating cash flow to current liabilities and operating cash flow to debt both declined overall, indicating a reduced ability to cover short-term obligations and debt commitments through internally generated operating cash</w:t>
      </w:r>
      <w:r w:rsidR="00357DF9" w:rsidRPr="0010446F">
        <w:rPr>
          <w:rFonts w:ascii="Arial" w:hAnsi="Arial" w:cs="Arial"/>
          <w:lang w:val="en-US"/>
        </w:rPr>
        <w:t xml:space="preserve"> (</w:t>
      </w:r>
      <w:proofErr w:type="spellStart"/>
      <w:r w:rsidR="00357DF9" w:rsidRPr="0010446F">
        <w:rPr>
          <w:rFonts w:ascii="Arial" w:hAnsi="Arial" w:cs="Arial"/>
        </w:rPr>
        <w:t>Arifaj</w:t>
      </w:r>
      <w:proofErr w:type="spellEnd"/>
      <w:r w:rsidR="00357DF9" w:rsidRPr="0010446F">
        <w:rPr>
          <w:rFonts w:ascii="Arial" w:hAnsi="Arial" w:cs="Arial"/>
        </w:rPr>
        <w:t xml:space="preserve"> </w:t>
      </w:r>
      <w:r w:rsidR="00357DF9" w:rsidRPr="0010446F">
        <w:rPr>
          <w:rFonts w:ascii="Arial" w:hAnsi="Arial" w:cs="Arial"/>
          <w:i/>
        </w:rPr>
        <w:t>et al.,</w:t>
      </w:r>
      <w:r w:rsidR="00357DF9" w:rsidRPr="0010446F">
        <w:rPr>
          <w:rFonts w:ascii="Arial" w:hAnsi="Arial" w:cs="Arial"/>
        </w:rPr>
        <w:t xml:space="preserve"> 2023</w:t>
      </w:r>
      <w:r w:rsidR="00357DF9" w:rsidRPr="0010446F">
        <w:rPr>
          <w:rFonts w:ascii="Arial" w:hAnsi="Arial" w:cs="Arial"/>
          <w:lang w:val="en-US"/>
        </w:rPr>
        <w:t>)</w:t>
      </w:r>
      <w:r w:rsidRPr="0010446F">
        <w:rPr>
          <w:rFonts w:ascii="Arial" w:hAnsi="Arial" w:cs="Arial"/>
          <w:lang w:val="en-US"/>
        </w:rPr>
        <w:t>. Similarly, cash margin decreased significantly across the five years, suggesting weaker cash conversion from revenue despite rising sales levels. This may indicate increasing working capital requirements, higher operating expenditures, or delayed cash collections from customers.</w:t>
      </w:r>
    </w:p>
    <w:p w14:paraId="01932593" w14:textId="77777777" w:rsidR="000145E9" w:rsidRPr="0010446F" w:rsidRDefault="000145E9" w:rsidP="000145E9">
      <w:pPr>
        <w:rPr>
          <w:rFonts w:ascii="Arial" w:hAnsi="Arial" w:cs="Arial"/>
          <w:lang w:val="en-US"/>
        </w:rPr>
      </w:pPr>
      <w:r w:rsidRPr="0010446F">
        <w:rPr>
          <w:rFonts w:ascii="Arial" w:hAnsi="Arial" w:cs="Arial"/>
          <w:lang w:val="en-US"/>
        </w:rPr>
        <w:t xml:space="preserve">Overall, while Toyota remains attractive from an earnings and shareholder return perspective, weakening operating cash flow efficiency raises concerns regarding the sustainability of internal cash generation. Management should </w:t>
      </w:r>
      <w:proofErr w:type="spellStart"/>
      <w:r w:rsidRPr="0010446F">
        <w:rPr>
          <w:rFonts w:ascii="Arial" w:hAnsi="Arial" w:cs="Arial"/>
          <w:lang w:val="en-US"/>
        </w:rPr>
        <w:t>prioritise</w:t>
      </w:r>
      <w:proofErr w:type="spellEnd"/>
      <w:r w:rsidRPr="0010446F">
        <w:rPr>
          <w:rFonts w:ascii="Arial" w:hAnsi="Arial" w:cs="Arial"/>
          <w:lang w:val="en-US"/>
        </w:rPr>
        <w:t xml:space="preserve"> improving operational cash conversion and working capital efficiency to support future strategic investments and preserve financial flexibility.</w:t>
      </w:r>
    </w:p>
    <w:p w14:paraId="05151A59" w14:textId="77777777" w:rsidR="00621786" w:rsidRPr="0010446F" w:rsidRDefault="000145E9" w:rsidP="00621786">
      <w:pPr>
        <w:pStyle w:val="Heading2"/>
        <w:rPr>
          <w:rFonts w:ascii="Arial" w:hAnsi="Arial" w:cs="Arial"/>
          <w:szCs w:val="24"/>
        </w:rPr>
      </w:pPr>
      <w:bookmarkStart w:id="14" w:name="_Toc227165049"/>
      <w:r w:rsidRPr="0010446F">
        <w:rPr>
          <w:rFonts w:ascii="Arial" w:hAnsi="Arial" w:cs="Arial"/>
          <w:szCs w:val="24"/>
        </w:rPr>
        <w:t>2.7 Summary of Str</w:t>
      </w:r>
      <w:r w:rsidR="00621786" w:rsidRPr="0010446F">
        <w:rPr>
          <w:rFonts w:ascii="Arial" w:hAnsi="Arial" w:cs="Arial"/>
          <w:szCs w:val="24"/>
        </w:rPr>
        <w:t>engths, Weaknesses, and Threats</w:t>
      </w:r>
      <w:bookmarkEnd w:id="14"/>
    </w:p>
    <w:p w14:paraId="15A086AD" w14:textId="77777777" w:rsidR="000145E9" w:rsidRPr="0010446F" w:rsidRDefault="000145E9" w:rsidP="000145E9">
      <w:pPr>
        <w:rPr>
          <w:rFonts w:ascii="Arial" w:hAnsi="Arial" w:cs="Arial"/>
          <w:lang w:val="en-US"/>
        </w:rPr>
      </w:pPr>
      <w:r w:rsidRPr="0010446F">
        <w:rPr>
          <w:rFonts w:ascii="Arial" w:hAnsi="Arial" w:cs="Arial"/>
          <w:lang w:val="en-US"/>
        </w:rPr>
        <w:t>Toyota’s financial analysis highlights several key strengths, including strong revenue growth, stable profitability margins, conservative gearing levels, and increasing shareholder returns, demonstrating financial resilience and strategic stability. However, weaknesses are evident in deteriorating working capital efficiency, prolonged receivable periods, and declining operating cash flow generation, which may constrain liquidity and operational flexibility. External threats include intensifying competition within the global EV market, rising raw material and battery production costs, technological disruption, supply chain volatility, and increasing regulatory pressure regarding sustainability and emissions compliance. Collectively, these issues indicate that while Toyota remains financially strong, strategic financial reforms are necessary to sustain long-term competitiveness.</w:t>
      </w:r>
    </w:p>
    <w:p w14:paraId="4A5B5E9E" w14:textId="77777777" w:rsidR="00334BB7" w:rsidRPr="0010446F" w:rsidRDefault="00334BB7" w:rsidP="00334BB7">
      <w:pPr>
        <w:pStyle w:val="Heading1"/>
        <w:rPr>
          <w:rFonts w:ascii="Arial" w:hAnsi="Arial" w:cs="Arial"/>
          <w:szCs w:val="24"/>
        </w:rPr>
      </w:pPr>
      <w:bookmarkStart w:id="15" w:name="_Toc227165050"/>
      <w:r w:rsidRPr="0010446F">
        <w:rPr>
          <w:rFonts w:ascii="Arial" w:hAnsi="Arial" w:cs="Arial"/>
          <w:szCs w:val="24"/>
        </w:rPr>
        <w:lastRenderedPageBreak/>
        <w:t>3. Working Capital Management Analysis</w:t>
      </w:r>
      <w:bookmarkEnd w:id="15"/>
    </w:p>
    <w:p w14:paraId="2E499DB6" w14:textId="77777777" w:rsidR="00334BB7" w:rsidRPr="0010446F" w:rsidRDefault="00334BB7" w:rsidP="00334BB7">
      <w:pPr>
        <w:pStyle w:val="Heading2"/>
        <w:rPr>
          <w:rFonts w:ascii="Arial" w:hAnsi="Arial" w:cs="Arial"/>
          <w:szCs w:val="24"/>
        </w:rPr>
      </w:pPr>
      <w:bookmarkStart w:id="16" w:name="_Toc227165051"/>
      <w:r w:rsidRPr="0010446F">
        <w:rPr>
          <w:rFonts w:ascii="Arial" w:hAnsi="Arial" w:cs="Arial"/>
          <w:szCs w:val="24"/>
        </w:rPr>
        <w:t>3.1 Cash Operating Cycle Assessment</w:t>
      </w:r>
      <w:bookmarkEnd w:id="16"/>
    </w:p>
    <w:p w14:paraId="593411A7" w14:textId="77777777" w:rsidR="00334BB7" w:rsidRPr="0010446F" w:rsidRDefault="00334BB7" w:rsidP="00334BB7">
      <w:pPr>
        <w:rPr>
          <w:rFonts w:ascii="Arial" w:hAnsi="Arial" w:cs="Arial"/>
          <w:lang w:val="en-US"/>
        </w:rPr>
      </w:pPr>
      <w:r w:rsidRPr="0010446F">
        <w:rPr>
          <w:rFonts w:ascii="Arial" w:hAnsi="Arial" w:cs="Arial"/>
          <w:lang w:val="en-US"/>
        </w:rPr>
        <w:t xml:space="preserve">Toyota Motor Corporation’s cash operating cycle has deteriorated over the FY2021–FY2025 period, indicating increasing inefficiency in the company’s working capital management processes. As illustrated in </w:t>
      </w:r>
      <w:r w:rsidRPr="0010446F">
        <w:rPr>
          <w:rFonts w:ascii="Arial" w:hAnsi="Arial" w:cs="Arial"/>
          <w:b/>
          <w:bCs/>
          <w:lang w:val="en-US"/>
        </w:rPr>
        <w:t>Figure 4</w:t>
      </w:r>
      <w:r w:rsidRPr="0010446F">
        <w:rPr>
          <w:rFonts w:ascii="Arial" w:hAnsi="Arial" w:cs="Arial"/>
          <w:lang w:val="en-US"/>
        </w:rPr>
        <w:t>, Toyota’s cash conversion cycle increased significantly from approximately 94 days in FY2021 to 124 days in FY2025. This upward trend suggests that the company requires a longer period to convert investments in inventory and receivables into cash, thereby reducing short-term liquidity efficiency and increasing dependence on working capital financing.</w:t>
      </w:r>
    </w:p>
    <w:p w14:paraId="3D9618E6" w14:textId="77777777" w:rsidR="00334BB7" w:rsidRPr="0010446F" w:rsidRDefault="00334BB7" w:rsidP="00334BB7">
      <w:pPr>
        <w:rPr>
          <w:rFonts w:ascii="Arial" w:hAnsi="Arial" w:cs="Arial"/>
          <w:lang w:val="en-US"/>
        </w:rPr>
      </w:pPr>
      <w:r w:rsidRPr="0010446F">
        <w:rPr>
          <w:rFonts w:ascii="Arial" w:hAnsi="Arial" w:cs="Arial"/>
          <w:lang w:val="en-US"/>
        </w:rPr>
        <w:t xml:space="preserve">Inventory days remained relatively stable but elevated, fluctuating between 65 and 77 days during the period. This indicates that Toyota holds inventory for over two months on average before sale, which may reflect the need to maintain strategic stock levels to support global manufacturing operations and </w:t>
      </w:r>
      <w:proofErr w:type="spellStart"/>
      <w:r w:rsidRPr="0010446F">
        <w:rPr>
          <w:rFonts w:ascii="Arial" w:hAnsi="Arial" w:cs="Arial"/>
          <w:lang w:val="en-US"/>
        </w:rPr>
        <w:t>minimise</w:t>
      </w:r>
      <w:proofErr w:type="spellEnd"/>
      <w:r w:rsidRPr="0010446F">
        <w:rPr>
          <w:rFonts w:ascii="Arial" w:hAnsi="Arial" w:cs="Arial"/>
          <w:lang w:val="en-US"/>
        </w:rPr>
        <w:t xml:space="preserve"> supply chain disruption. However, elevated inventory holding periods also increase warehousing, insurance, and obsolescence costs.</w:t>
      </w:r>
    </w:p>
    <w:p w14:paraId="4245F23E" w14:textId="77777777" w:rsidR="00334BB7" w:rsidRPr="0010446F" w:rsidRDefault="00334BB7" w:rsidP="00334BB7">
      <w:pPr>
        <w:rPr>
          <w:rFonts w:ascii="Arial" w:hAnsi="Arial" w:cs="Arial"/>
          <w:lang w:val="en-US"/>
        </w:rPr>
      </w:pPr>
      <w:r w:rsidRPr="0010446F">
        <w:rPr>
          <w:rFonts w:ascii="Arial" w:hAnsi="Arial" w:cs="Arial"/>
          <w:lang w:val="en-US"/>
        </w:rPr>
        <w:t>Receivable days remained consistently high, averaging above 150 days throughout the review period. This indicates that Toyota experiences extended collection periods from customers and dealers, causing substantial cash to remain tied up in receivables. Although this may partly reflect dealership financing and international credit arrangements, prolonged receivable cycles negatively affect liquidity and operational cash generation.</w:t>
      </w:r>
    </w:p>
    <w:p w14:paraId="106B0154" w14:textId="77777777" w:rsidR="00334BB7" w:rsidRPr="0010446F" w:rsidRDefault="00334BB7" w:rsidP="00334BB7">
      <w:pPr>
        <w:rPr>
          <w:rFonts w:ascii="Arial" w:hAnsi="Arial" w:cs="Arial"/>
          <w:lang w:val="en-US"/>
        </w:rPr>
      </w:pPr>
      <w:r w:rsidRPr="0010446F">
        <w:rPr>
          <w:rFonts w:ascii="Arial" w:hAnsi="Arial" w:cs="Arial"/>
          <w:lang w:val="en-US"/>
        </w:rPr>
        <w:t>Payable days declined materially from approximately 138 days in FY2021 to 102 days in FY2025, suggesting that Toyota has reduced the time taken to settle supplier obligations. While this may strengthen supplier relationships and improve procurement reliability, it simultaneously shortens the financing benefit obtained from trade creditors.</w:t>
      </w:r>
    </w:p>
    <w:p w14:paraId="741EADF5" w14:textId="77777777" w:rsidR="00334BB7" w:rsidRPr="0010446F" w:rsidRDefault="00334BB7" w:rsidP="00334BB7">
      <w:pPr>
        <w:rPr>
          <w:rFonts w:ascii="Arial" w:hAnsi="Arial" w:cs="Arial"/>
          <w:lang w:val="en-US"/>
        </w:rPr>
      </w:pPr>
      <w:r w:rsidRPr="0010446F">
        <w:rPr>
          <w:rFonts w:ascii="Arial" w:hAnsi="Arial" w:cs="Arial"/>
          <w:lang w:val="en-US"/>
        </w:rPr>
        <w:t>Overall, the deterioration in Toyota’s cash operating cycle indicates weakening working capital efficiency and suggests the need for targeted operational reforms to improve liquidity management.</w:t>
      </w:r>
    </w:p>
    <w:p w14:paraId="580483EB" w14:textId="77777777" w:rsidR="00334BB7" w:rsidRPr="0010446F" w:rsidRDefault="00334BB7" w:rsidP="00334BB7">
      <w:pPr>
        <w:pStyle w:val="Heading2"/>
        <w:rPr>
          <w:rFonts w:ascii="Arial" w:hAnsi="Arial" w:cs="Arial"/>
          <w:szCs w:val="24"/>
        </w:rPr>
      </w:pPr>
      <w:bookmarkStart w:id="17" w:name="_Toc227165052"/>
      <w:r w:rsidRPr="0010446F">
        <w:rPr>
          <w:rFonts w:ascii="Arial" w:hAnsi="Arial" w:cs="Arial"/>
          <w:szCs w:val="24"/>
        </w:rPr>
        <w:lastRenderedPageBreak/>
        <w:t>3.2 Working Capital Problems Identified</w:t>
      </w:r>
      <w:bookmarkEnd w:id="17"/>
    </w:p>
    <w:p w14:paraId="4045A836" w14:textId="77777777" w:rsidR="00334BB7" w:rsidRPr="0010446F" w:rsidRDefault="00334BB7" w:rsidP="00334BB7">
      <w:pPr>
        <w:rPr>
          <w:rFonts w:ascii="Arial" w:hAnsi="Arial" w:cs="Arial"/>
          <w:lang w:val="en-US"/>
        </w:rPr>
      </w:pPr>
      <w:r w:rsidRPr="0010446F">
        <w:rPr>
          <w:rFonts w:ascii="Arial" w:hAnsi="Arial" w:cs="Arial"/>
          <w:lang w:val="en-US"/>
        </w:rPr>
        <w:t>Several key working capital issues are evident from Toyota’s operating cycle analysis. First, the most significant concern is the company’s persistently high receivable period. With collection periods consistently exceeding 150 days, Toyota appears to have substantial cash tied up in trade receivables and financing-related customer balances. This delays cash inflows, weakens liquidity, and may increase exposure to customer default risk.</w:t>
      </w:r>
    </w:p>
    <w:p w14:paraId="4B52F14A" w14:textId="77777777" w:rsidR="00334BB7" w:rsidRPr="0010446F" w:rsidRDefault="00334BB7" w:rsidP="00334BB7">
      <w:pPr>
        <w:rPr>
          <w:rFonts w:ascii="Arial" w:hAnsi="Arial" w:cs="Arial"/>
          <w:lang w:val="en-US"/>
        </w:rPr>
      </w:pPr>
      <w:r w:rsidRPr="0010446F">
        <w:rPr>
          <w:rFonts w:ascii="Arial" w:hAnsi="Arial" w:cs="Arial"/>
          <w:lang w:val="en-US"/>
        </w:rPr>
        <w:t>Second, inventory levels remain elevated relative to production and sales activity. Although automotive manufacturing requires significant inventory buffers due to complex global supply chains and component dependency, Toyota’s inventory holding period indicates inefficiency in stock turnover</w:t>
      </w:r>
      <w:r w:rsidR="007C6B7D" w:rsidRPr="0010446F">
        <w:rPr>
          <w:rFonts w:ascii="Arial" w:hAnsi="Arial" w:cs="Arial"/>
          <w:lang w:val="en-US"/>
        </w:rPr>
        <w:t xml:space="preserve"> (</w:t>
      </w:r>
      <w:r w:rsidR="007C6B7D" w:rsidRPr="0010446F">
        <w:rPr>
          <w:rFonts w:ascii="Arial" w:hAnsi="Arial" w:cs="Arial"/>
        </w:rPr>
        <w:t xml:space="preserve">Gupta </w:t>
      </w:r>
      <w:r w:rsidR="007C6B7D" w:rsidRPr="0010446F">
        <w:rPr>
          <w:rFonts w:ascii="Arial" w:hAnsi="Arial" w:cs="Arial"/>
          <w:i/>
        </w:rPr>
        <w:t>et al.,</w:t>
      </w:r>
      <w:r w:rsidR="007C6B7D" w:rsidRPr="0010446F">
        <w:rPr>
          <w:rFonts w:ascii="Arial" w:hAnsi="Arial" w:cs="Arial"/>
        </w:rPr>
        <w:t xml:space="preserve"> 2025</w:t>
      </w:r>
      <w:r w:rsidR="007C6B7D" w:rsidRPr="0010446F">
        <w:rPr>
          <w:rFonts w:ascii="Arial" w:hAnsi="Arial" w:cs="Arial"/>
          <w:lang w:val="en-US"/>
        </w:rPr>
        <w:t>)</w:t>
      </w:r>
      <w:r w:rsidRPr="0010446F">
        <w:rPr>
          <w:rFonts w:ascii="Arial" w:hAnsi="Arial" w:cs="Arial"/>
          <w:lang w:val="en-US"/>
        </w:rPr>
        <w:t>. Excess inventory may increase storage costs, insurance expenses, and inventory obsolescence risk, particularly within the rapidly evolving EV market where technological advancements may quickly reduce component value.</w:t>
      </w:r>
      <w:r w:rsidR="007C6B7D" w:rsidRPr="0010446F">
        <w:rPr>
          <w:rFonts w:ascii="Arial" w:hAnsi="Arial" w:cs="Arial"/>
          <w:lang w:val="en-US"/>
        </w:rPr>
        <w:t xml:space="preserve"> The </w:t>
      </w:r>
      <w:r w:rsidRPr="0010446F">
        <w:rPr>
          <w:rFonts w:ascii="Arial" w:hAnsi="Arial" w:cs="Arial"/>
          <w:lang w:val="en-US"/>
        </w:rPr>
        <w:t xml:space="preserve">reduction in payable days suggests Toyota is paying suppliers more quickly over time. While beneficial from a supplier relationship perspective, this reduces the company’s ability to </w:t>
      </w:r>
      <w:proofErr w:type="spellStart"/>
      <w:r w:rsidRPr="0010446F">
        <w:rPr>
          <w:rFonts w:ascii="Arial" w:hAnsi="Arial" w:cs="Arial"/>
          <w:lang w:val="en-US"/>
        </w:rPr>
        <w:t>utilise</w:t>
      </w:r>
      <w:proofErr w:type="spellEnd"/>
      <w:r w:rsidRPr="0010446F">
        <w:rPr>
          <w:rFonts w:ascii="Arial" w:hAnsi="Arial" w:cs="Arial"/>
          <w:lang w:val="en-US"/>
        </w:rPr>
        <w:t xml:space="preserve"> supplier credit as a low-cost source of short-term financing.</w:t>
      </w:r>
    </w:p>
    <w:p w14:paraId="47FF7D46" w14:textId="77777777" w:rsidR="00334BB7" w:rsidRPr="0010446F" w:rsidRDefault="00334BB7" w:rsidP="00334BB7">
      <w:pPr>
        <w:rPr>
          <w:rFonts w:ascii="Arial" w:hAnsi="Arial" w:cs="Arial"/>
          <w:lang w:val="en-US"/>
        </w:rPr>
      </w:pPr>
      <w:r w:rsidRPr="0010446F">
        <w:rPr>
          <w:rFonts w:ascii="Arial" w:hAnsi="Arial" w:cs="Arial"/>
          <w:lang w:val="en-US"/>
        </w:rPr>
        <w:t>Finally, the combined effect of these issues has caused greater cash to remain tied up in operations, thereby reducing Toyota’s ability to internally fund strategic investments and increasing reliance on external financing sources to support expansion and innovation.</w:t>
      </w:r>
    </w:p>
    <w:p w14:paraId="2F75B4A8" w14:textId="77777777" w:rsidR="00334BB7" w:rsidRPr="0010446F" w:rsidRDefault="00334BB7" w:rsidP="00334BB7">
      <w:pPr>
        <w:pStyle w:val="Heading2"/>
        <w:rPr>
          <w:rFonts w:ascii="Arial" w:hAnsi="Arial" w:cs="Arial"/>
          <w:szCs w:val="24"/>
        </w:rPr>
      </w:pPr>
      <w:bookmarkStart w:id="18" w:name="_Toc227165053"/>
      <w:r w:rsidRPr="0010446F">
        <w:rPr>
          <w:rFonts w:ascii="Arial" w:hAnsi="Arial" w:cs="Arial"/>
          <w:szCs w:val="24"/>
        </w:rPr>
        <w:t>3.3 Working Capital Improvement Strategies</w:t>
      </w:r>
      <w:bookmarkEnd w:id="18"/>
    </w:p>
    <w:p w14:paraId="51A05CC8" w14:textId="77777777" w:rsidR="00334BB7" w:rsidRPr="0010446F" w:rsidRDefault="00334BB7" w:rsidP="00334BB7">
      <w:pPr>
        <w:rPr>
          <w:rFonts w:ascii="Arial" w:hAnsi="Arial" w:cs="Arial"/>
          <w:lang w:val="en-US"/>
        </w:rPr>
      </w:pPr>
      <w:r w:rsidRPr="0010446F">
        <w:rPr>
          <w:rFonts w:ascii="Arial" w:hAnsi="Arial" w:cs="Arial"/>
          <w:lang w:val="en-US"/>
        </w:rPr>
        <w:t>To improve working capital efficiency and strengthen liquidity, Toyota should implement several targeted reforms.</w:t>
      </w:r>
    </w:p>
    <w:p w14:paraId="10145700" w14:textId="77777777" w:rsidR="00334BB7" w:rsidRPr="0010446F" w:rsidRDefault="00334BB7" w:rsidP="00334BB7">
      <w:pPr>
        <w:rPr>
          <w:rFonts w:ascii="Arial" w:hAnsi="Arial" w:cs="Arial"/>
          <w:lang w:val="en-US"/>
        </w:rPr>
      </w:pPr>
      <w:r w:rsidRPr="0010446F">
        <w:rPr>
          <w:rFonts w:ascii="Arial" w:hAnsi="Arial" w:cs="Arial"/>
          <w:lang w:val="en-US"/>
        </w:rPr>
        <w:t xml:space="preserve">First, Toyota should further </w:t>
      </w:r>
      <w:proofErr w:type="spellStart"/>
      <w:r w:rsidRPr="0010446F">
        <w:rPr>
          <w:rFonts w:ascii="Arial" w:hAnsi="Arial" w:cs="Arial"/>
          <w:lang w:val="en-US"/>
        </w:rPr>
        <w:t>optimise</w:t>
      </w:r>
      <w:proofErr w:type="spellEnd"/>
      <w:r w:rsidRPr="0010446F">
        <w:rPr>
          <w:rFonts w:ascii="Arial" w:hAnsi="Arial" w:cs="Arial"/>
          <w:lang w:val="en-US"/>
        </w:rPr>
        <w:t xml:space="preserve"> its inventory management systems by enhancing its Just-in-Time (JIT) inventory practices</w:t>
      </w:r>
      <w:r w:rsidR="000B56A3" w:rsidRPr="0010446F">
        <w:rPr>
          <w:rFonts w:ascii="Arial" w:hAnsi="Arial" w:cs="Arial"/>
          <w:lang w:val="en-US"/>
        </w:rPr>
        <w:t xml:space="preserve"> (</w:t>
      </w:r>
      <w:r w:rsidR="000B56A3" w:rsidRPr="0010446F">
        <w:rPr>
          <w:rFonts w:ascii="Arial" w:hAnsi="Arial" w:cs="Arial"/>
        </w:rPr>
        <w:t xml:space="preserve">Susanti </w:t>
      </w:r>
      <w:r w:rsidR="000B56A3" w:rsidRPr="0010446F">
        <w:rPr>
          <w:rFonts w:ascii="Arial" w:hAnsi="Arial" w:cs="Arial"/>
          <w:i/>
        </w:rPr>
        <w:t>et al.,</w:t>
      </w:r>
      <w:r w:rsidR="000B56A3" w:rsidRPr="0010446F">
        <w:rPr>
          <w:rFonts w:ascii="Arial" w:hAnsi="Arial" w:cs="Arial"/>
        </w:rPr>
        <w:t xml:space="preserve"> 2025</w:t>
      </w:r>
      <w:r w:rsidR="000B56A3" w:rsidRPr="0010446F">
        <w:rPr>
          <w:rFonts w:ascii="Arial" w:hAnsi="Arial" w:cs="Arial"/>
          <w:lang w:val="en-US"/>
        </w:rPr>
        <w:t>)</w:t>
      </w:r>
      <w:r w:rsidRPr="0010446F">
        <w:rPr>
          <w:rFonts w:ascii="Arial" w:hAnsi="Arial" w:cs="Arial"/>
          <w:lang w:val="en-US"/>
        </w:rPr>
        <w:t>. Although Toyota pioneered JIT principles, recent supply chain disruptions have likely required higher inventory buffers. The company should integrate advanced demand forecasting and AI-driven inventory planning tools to better align stock levels with real-time production and market demand, thereby reducing excess inventory while maintaining supply chain resilience.</w:t>
      </w:r>
    </w:p>
    <w:p w14:paraId="775A5584" w14:textId="77777777" w:rsidR="00334BB7" w:rsidRPr="0010446F" w:rsidRDefault="00334BB7" w:rsidP="00334BB7">
      <w:pPr>
        <w:rPr>
          <w:rFonts w:ascii="Arial" w:hAnsi="Arial" w:cs="Arial"/>
          <w:lang w:val="en-US"/>
        </w:rPr>
      </w:pPr>
      <w:r w:rsidRPr="0010446F">
        <w:rPr>
          <w:rFonts w:ascii="Arial" w:hAnsi="Arial" w:cs="Arial"/>
          <w:lang w:val="en-US"/>
        </w:rPr>
        <w:lastRenderedPageBreak/>
        <w:t>Toyota should strengthen receivables management by implementing tighter credit control policies and accelerating collections from dealers and customers where commercially feasible. This may include revising payment terms, enhancing credit risk assessments, offering early settlement incentives, and adopting automated receivables monitoring systems to reduce overdue balances.</w:t>
      </w:r>
      <w:r w:rsidR="000B56A3" w:rsidRPr="0010446F">
        <w:rPr>
          <w:rFonts w:ascii="Arial" w:hAnsi="Arial" w:cs="Arial"/>
          <w:lang w:val="en-US"/>
        </w:rPr>
        <w:t xml:space="preserve"> </w:t>
      </w:r>
      <w:r w:rsidRPr="0010446F">
        <w:rPr>
          <w:rFonts w:ascii="Arial" w:hAnsi="Arial" w:cs="Arial"/>
          <w:lang w:val="en-US"/>
        </w:rPr>
        <w:t xml:space="preserve">Toyota should renegotiate supplier payment terms to better </w:t>
      </w:r>
      <w:proofErr w:type="spellStart"/>
      <w:r w:rsidRPr="0010446F">
        <w:rPr>
          <w:rFonts w:ascii="Arial" w:hAnsi="Arial" w:cs="Arial"/>
          <w:lang w:val="en-US"/>
        </w:rPr>
        <w:t>optimise</w:t>
      </w:r>
      <w:proofErr w:type="spellEnd"/>
      <w:r w:rsidRPr="0010446F">
        <w:rPr>
          <w:rFonts w:ascii="Arial" w:hAnsi="Arial" w:cs="Arial"/>
          <w:lang w:val="en-US"/>
        </w:rPr>
        <w:t xml:space="preserve"> trade credit usage. Extending payable periods where commercially viable would allow Toyota to retain cash within operations for longer, thereby improving liquidity without materially increasing financing costs</w:t>
      </w:r>
      <w:r w:rsidR="000B56A3" w:rsidRPr="0010446F">
        <w:rPr>
          <w:rFonts w:ascii="Arial" w:hAnsi="Arial" w:cs="Arial"/>
          <w:lang w:val="en-US"/>
        </w:rPr>
        <w:t xml:space="preserve"> (</w:t>
      </w:r>
      <w:proofErr w:type="spellStart"/>
      <w:r w:rsidR="000B56A3" w:rsidRPr="0010446F">
        <w:rPr>
          <w:rFonts w:ascii="Arial" w:hAnsi="Arial" w:cs="Arial"/>
        </w:rPr>
        <w:t>Bhattacheryay</w:t>
      </w:r>
      <w:proofErr w:type="spellEnd"/>
      <w:r w:rsidR="000B56A3" w:rsidRPr="0010446F">
        <w:rPr>
          <w:rFonts w:ascii="Arial" w:hAnsi="Arial" w:cs="Arial"/>
        </w:rPr>
        <w:t>, 2023</w:t>
      </w:r>
      <w:r w:rsidR="000B56A3" w:rsidRPr="0010446F">
        <w:rPr>
          <w:rFonts w:ascii="Arial" w:hAnsi="Arial" w:cs="Arial"/>
          <w:lang w:val="en-US"/>
        </w:rPr>
        <w:t>)</w:t>
      </w:r>
      <w:r w:rsidRPr="0010446F">
        <w:rPr>
          <w:rFonts w:ascii="Arial" w:hAnsi="Arial" w:cs="Arial"/>
          <w:lang w:val="en-US"/>
        </w:rPr>
        <w:t>. However, this should be balanced carefully to preserve strategic supplier relationships.</w:t>
      </w:r>
    </w:p>
    <w:p w14:paraId="5F8FA3D5" w14:textId="77777777" w:rsidR="00334BB7" w:rsidRPr="0010446F" w:rsidRDefault="00334BB7" w:rsidP="00334BB7">
      <w:pPr>
        <w:rPr>
          <w:rFonts w:ascii="Arial" w:hAnsi="Arial" w:cs="Arial"/>
          <w:lang w:val="en-US"/>
        </w:rPr>
      </w:pPr>
      <w:r w:rsidRPr="0010446F">
        <w:rPr>
          <w:rFonts w:ascii="Arial" w:hAnsi="Arial" w:cs="Arial"/>
          <w:lang w:val="en-US"/>
        </w:rPr>
        <w:t>Toyota could adopt dynamic discounting arrangements whereby suppliers are offered early payment in exchange for discounts when excess cash is available</w:t>
      </w:r>
      <w:r w:rsidR="00162AFF" w:rsidRPr="0010446F">
        <w:rPr>
          <w:rFonts w:ascii="Arial" w:hAnsi="Arial" w:cs="Arial"/>
          <w:lang w:val="en-US"/>
        </w:rPr>
        <w:t xml:space="preserve"> (</w:t>
      </w:r>
      <w:r w:rsidR="00162AFF" w:rsidRPr="0010446F">
        <w:rPr>
          <w:rFonts w:ascii="Arial" w:hAnsi="Arial" w:cs="Arial"/>
        </w:rPr>
        <w:t>Dass, 2019)</w:t>
      </w:r>
      <w:r w:rsidRPr="0010446F">
        <w:rPr>
          <w:rFonts w:ascii="Arial" w:hAnsi="Arial" w:cs="Arial"/>
          <w:lang w:val="en-US"/>
        </w:rPr>
        <w:t>. This provides flexibility in managing supplier payments while improving returns on surplus cash.</w:t>
      </w:r>
      <w:r w:rsidR="008B113C" w:rsidRPr="0010446F">
        <w:rPr>
          <w:rFonts w:ascii="Arial" w:hAnsi="Arial" w:cs="Arial"/>
          <w:lang w:val="en-US"/>
        </w:rPr>
        <w:t xml:space="preserve"> The </w:t>
      </w:r>
      <w:r w:rsidRPr="0010446F">
        <w:rPr>
          <w:rFonts w:ascii="Arial" w:hAnsi="Arial" w:cs="Arial"/>
          <w:lang w:val="en-US"/>
        </w:rPr>
        <w:t>implementation of integrated ERP and AI-based treasury systems would improve real-time visibility over cash flows, working capital positions, and liquidity forecasting, enabling more proactive management of operational cash resources.</w:t>
      </w:r>
    </w:p>
    <w:p w14:paraId="248D1E63" w14:textId="77777777" w:rsidR="00334BB7" w:rsidRPr="0010446F" w:rsidRDefault="00334BB7" w:rsidP="00334BB7">
      <w:pPr>
        <w:rPr>
          <w:rFonts w:ascii="Arial" w:hAnsi="Arial" w:cs="Arial"/>
          <w:lang w:val="en-US"/>
        </w:rPr>
      </w:pPr>
      <w:r w:rsidRPr="0010446F">
        <w:rPr>
          <w:rFonts w:ascii="Arial" w:hAnsi="Arial" w:cs="Arial"/>
          <w:lang w:val="en-US"/>
        </w:rPr>
        <w:t>Collectively, these initiatives would enhance Toyota’s liquidity efficiency, reduce financing requirements, and improve operational flexibility.</w:t>
      </w:r>
    </w:p>
    <w:p w14:paraId="54D3870B" w14:textId="77777777" w:rsidR="00334BB7" w:rsidRPr="0010446F" w:rsidRDefault="00334BB7" w:rsidP="00334BB7">
      <w:pPr>
        <w:pStyle w:val="Heading2"/>
        <w:rPr>
          <w:rFonts w:ascii="Arial" w:hAnsi="Arial" w:cs="Arial"/>
          <w:szCs w:val="24"/>
        </w:rPr>
      </w:pPr>
      <w:bookmarkStart w:id="19" w:name="_Toc227165054"/>
      <w:r w:rsidRPr="0010446F">
        <w:rPr>
          <w:rFonts w:ascii="Arial" w:hAnsi="Arial" w:cs="Arial"/>
          <w:szCs w:val="24"/>
        </w:rPr>
        <w:t>3.4 Short-Term vs Long-Term Financing Comparison</w:t>
      </w:r>
      <w:bookmarkEnd w:id="19"/>
    </w:p>
    <w:p w14:paraId="51F08AFC" w14:textId="77777777" w:rsidR="00334BB7" w:rsidRPr="0010446F" w:rsidRDefault="00334BB7" w:rsidP="00334BB7">
      <w:pPr>
        <w:rPr>
          <w:rFonts w:ascii="Arial" w:hAnsi="Arial" w:cs="Arial"/>
          <w:lang w:val="en-US"/>
        </w:rPr>
      </w:pPr>
      <w:r w:rsidRPr="0010446F">
        <w:rPr>
          <w:rFonts w:ascii="Arial" w:hAnsi="Arial" w:cs="Arial"/>
          <w:lang w:val="en-US"/>
        </w:rPr>
        <w:t>Toyota must carefully balance short-term and long-term financing options to support working capital and strategic investment needs</w:t>
      </w:r>
      <w:r w:rsidR="00213875" w:rsidRPr="0010446F">
        <w:rPr>
          <w:rFonts w:ascii="Arial" w:hAnsi="Arial" w:cs="Arial"/>
          <w:lang w:val="en-US"/>
        </w:rPr>
        <w:t xml:space="preserve"> (</w:t>
      </w:r>
      <w:proofErr w:type="spellStart"/>
      <w:r w:rsidR="00213875" w:rsidRPr="0010446F">
        <w:rPr>
          <w:rFonts w:ascii="Arial" w:hAnsi="Arial" w:cs="Arial"/>
        </w:rPr>
        <w:t>Bhattacheryay</w:t>
      </w:r>
      <w:proofErr w:type="spellEnd"/>
      <w:r w:rsidR="00213875" w:rsidRPr="0010446F">
        <w:rPr>
          <w:rFonts w:ascii="Arial" w:hAnsi="Arial" w:cs="Arial"/>
        </w:rPr>
        <w:t>, 2023)</w:t>
      </w:r>
      <w:r w:rsidRPr="0010446F">
        <w:rPr>
          <w:rFonts w:ascii="Arial" w:hAnsi="Arial" w:cs="Arial"/>
          <w:lang w:val="en-US"/>
        </w:rPr>
        <w:t>.</w:t>
      </w:r>
      <w:r w:rsidR="00213875" w:rsidRPr="0010446F">
        <w:rPr>
          <w:rFonts w:ascii="Arial" w:hAnsi="Arial" w:cs="Arial"/>
          <w:lang w:val="en-US"/>
        </w:rPr>
        <w:t xml:space="preserve"> </w:t>
      </w:r>
      <w:r w:rsidRPr="0010446F">
        <w:rPr>
          <w:rFonts w:ascii="Arial" w:hAnsi="Arial" w:cs="Arial"/>
          <w:lang w:val="en-US"/>
        </w:rPr>
        <w:t>Short-term financing sources such as overdrafts, trade credit, and factoring offer flexibility and are suitable for temporary liquidity requirements or seasonal working capital fluctuations. Overdrafts provide rapid access to funds, while trade credit allows Toyota to delay supplier payments without immediate cash outflow. Factoring can accelerate receivables collection by selling outstanding invoices to financial institutions. However, short-term financing typically carries refinancing risk, variable interest costs, and potential overdependence concerns if used excessively.</w:t>
      </w:r>
    </w:p>
    <w:p w14:paraId="1410C529" w14:textId="77777777" w:rsidR="00334BB7" w:rsidRPr="0010446F" w:rsidRDefault="00334BB7" w:rsidP="00334BB7">
      <w:pPr>
        <w:rPr>
          <w:rFonts w:ascii="Arial" w:hAnsi="Arial" w:cs="Arial"/>
          <w:lang w:val="en-US"/>
        </w:rPr>
      </w:pPr>
      <w:r w:rsidRPr="0010446F">
        <w:rPr>
          <w:rFonts w:ascii="Arial" w:hAnsi="Arial" w:cs="Arial"/>
          <w:lang w:val="en-US"/>
        </w:rPr>
        <w:t xml:space="preserve">In contrast, long-term financing options such as bonds, equity issuance, and long-term bank loans provide greater stability and are more appropriate for funding strategic capital expenditure and long-term investment </w:t>
      </w:r>
      <w:proofErr w:type="spellStart"/>
      <w:r w:rsidRPr="0010446F">
        <w:rPr>
          <w:rFonts w:ascii="Arial" w:hAnsi="Arial" w:cs="Arial"/>
          <w:lang w:val="en-US"/>
        </w:rPr>
        <w:t>programmes</w:t>
      </w:r>
      <w:proofErr w:type="spellEnd"/>
      <w:r w:rsidR="00F806B0" w:rsidRPr="0010446F">
        <w:rPr>
          <w:rFonts w:ascii="Arial" w:hAnsi="Arial" w:cs="Arial"/>
          <w:lang w:val="en-US"/>
        </w:rPr>
        <w:t xml:space="preserve"> (</w:t>
      </w:r>
      <w:r w:rsidR="00F806B0" w:rsidRPr="0010446F">
        <w:rPr>
          <w:rFonts w:ascii="Arial" w:hAnsi="Arial" w:cs="Arial"/>
        </w:rPr>
        <w:t xml:space="preserve">Mustafina </w:t>
      </w:r>
      <w:r w:rsidR="00F806B0" w:rsidRPr="0010446F">
        <w:rPr>
          <w:rFonts w:ascii="Arial" w:hAnsi="Arial" w:cs="Arial"/>
          <w:i/>
        </w:rPr>
        <w:t>et al.,</w:t>
      </w:r>
      <w:r w:rsidR="00F806B0" w:rsidRPr="0010446F">
        <w:rPr>
          <w:rFonts w:ascii="Arial" w:hAnsi="Arial" w:cs="Arial"/>
        </w:rPr>
        <w:t xml:space="preserve"> 2020</w:t>
      </w:r>
      <w:r w:rsidR="00F806B0" w:rsidRPr="0010446F">
        <w:rPr>
          <w:rFonts w:ascii="Arial" w:hAnsi="Arial" w:cs="Arial"/>
          <w:lang w:val="en-US"/>
        </w:rPr>
        <w:t>)</w:t>
      </w:r>
      <w:r w:rsidRPr="0010446F">
        <w:rPr>
          <w:rFonts w:ascii="Arial" w:hAnsi="Arial" w:cs="Arial"/>
          <w:lang w:val="en-US"/>
        </w:rPr>
        <w:t xml:space="preserve">. Bonds may </w:t>
      </w:r>
      <w:r w:rsidRPr="0010446F">
        <w:rPr>
          <w:rFonts w:ascii="Arial" w:hAnsi="Arial" w:cs="Arial"/>
          <w:lang w:val="en-US"/>
        </w:rPr>
        <w:lastRenderedPageBreak/>
        <w:t>offer lower financing costs for Toyota due to its strong credit profile, while equity financing avoids repayment obligations but may dilute shareholder ownership. Long-term loans provide predictable repayment schedules but increase leverage and fixed financial commitments.</w:t>
      </w:r>
    </w:p>
    <w:p w14:paraId="626860AD" w14:textId="77777777" w:rsidR="00634836" w:rsidRPr="0010446F" w:rsidRDefault="00334BB7" w:rsidP="007C3064">
      <w:pPr>
        <w:rPr>
          <w:rFonts w:ascii="Arial" w:hAnsi="Arial" w:cs="Arial"/>
          <w:lang w:val="en-US"/>
        </w:rPr>
      </w:pPr>
      <w:r w:rsidRPr="0010446F">
        <w:rPr>
          <w:rFonts w:ascii="Arial" w:hAnsi="Arial" w:cs="Arial"/>
          <w:lang w:val="en-US"/>
        </w:rPr>
        <w:t xml:space="preserve">Given Toyota’s conservative gearing position and strong balance sheet, the company should </w:t>
      </w:r>
      <w:proofErr w:type="spellStart"/>
      <w:r w:rsidRPr="0010446F">
        <w:rPr>
          <w:rFonts w:ascii="Arial" w:hAnsi="Arial" w:cs="Arial"/>
          <w:lang w:val="en-US"/>
        </w:rPr>
        <w:t>utilise</w:t>
      </w:r>
      <w:proofErr w:type="spellEnd"/>
      <w:r w:rsidRPr="0010446F">
        <w:rPr>
          <w:rFonts w:ascii="Arial" w:hAnsi="Arial" w:cs="Arial"/>
          <w:lang w:val="en-US"/>
        </w:rPr>
        <w:t xml:space="preserve"> short-term financing selectively for operational liquidity needs while preserving long-term financing for strategic EV investments, international expansion, and large-scale capital projects. This balanced financing approach would </w:t>
      </w:r>
      <w:proofErr w:type="spellStart"/>
      <w:r w:rsidRPr="0010446F">
        <w:rPr>
          <w:rFonts w:ascii="Arial" w:hAnsi="Arial" w:cs="Arial"/>
          <w:lang w:val="en-US"/>
        </w:rPr>
        <w:t>optimise</w:t>
      </w:r>
      <w:proofErr w:type="spellEnd"/>
      <w:r w:rsidRPr="0010446F">
        <w:rPr>
          <w:rFonts w:ascii="Arial" w:hAnsi="Arial" w:cs="Arial"/>
          <w:lang w:val="en-US"/>
        </w:rPr>
        <w:t xml:space="preserve"> cost efficiency while maintaining financial flexibility.</w:t>
      </w:r>
    </w:p>
    <w:p w14:paraId="5951C22F" w14:textId="77777777" w:rsidR="00334BB7" w:rsidRPr="0010446F" w:rsidRDefault="00334BB7" w:rsidP="00334BB7">
      <w:pPr>
        <w:pStyle w:val="Heading1"/>
        <w:rPr>
          <w:rFonts w:ascii="Arial" w:hAnsi="Arial" w:cs="Arial"/>
          <w:szCs w:val="24"/>
        </w:rPr>
      </w:pPr>
      <w:bookmarkStart w:id="20" w:name="_Toc227165055"/>
      <w:r w:rsidRPr="0010446F">
        <w:rPr>
          <w:rFonts w:ascii="Arial" w:hAnsi="Arial" w:cs="Arial"/>
          <w:szCs w:val="24"/>
        </w:rPr>
        <w:t>4. Strategic Financial Restructuring Plan</w:t>
      </w:r>
      <w:bookmarkEnd w:id="20"/>
    </w:p>
    <w:p w14:paraId="30937026" w14:textId="77777777" w:rsidR="00334BB7" w:rsidRPr="0010446F" w:rsidRDefault="00334BB7" w:rsidP="00334BB7">
      <w:pPr>
        <w:pStyle w:val="Heading2"/>
        <w:rPr>
          <w:rFonts w:ascii="Arial" w:hAnsi="Arial" w:cs="Arial"/>
          <w:szCs w:val="24"/>
        </w:rPr>
      </w:pPr>
      <w:bookmarkStart w:id="21" w:name="_Toc227165056"/>
      <w:r w:rsidRPr="0010446F">
        <w:rPr>
          <w:rFonts w:ascii="Arial" w:hAnsi="Arial" w:cs="Arial"/>
          <w:szCs w:val="24"/>
        </w:rPr>
        <w:t>4.1 Need for Financial Restructuring</w:t>
      </w:r>
      <w:bookmarkEnd w:id="21"/>
    </w:p>
    <w:p w14:paraId="23422AF0" w14:textId="77777777" w:rsidR="00334BB7" w:rsidRPr="0010446F" w:rsidRDefault="00334BB7" w:rsidP="00334BB7">
      <w:pPr>
        <w:rPr>
          <w:rFonts w:ascii="Arial" w:hAnsi="Arial" w:cs="Arial"/>
          <w:lang w:val="en-US"/>
        </w:rPr>
      </w:pPr>
      <w:r w:rsidRPr="0010446F">
        <w:rPr>
          <w:rFonts w:ascii="Arial" w:hAnsi="Arial" w:cs="Arial"/>
          <w:lang w:val="en-US"/>
        </w:rPr>
        <w:t xml:space="preserve">Despite Toyota’s overall strong financial position, the preceding financial analysis indicates several areas requiring strategic financial restructuring to support long-term competitiveness and financial sustainability. Most notably, the company has experienced deteriorating working capital efficiency, rising cash conversion cycle pressures, and weakening operating cash flow ratios despite continued revenue and profit growth. These issues suggest that Toyota’s current financial structure may not be fully </w:t>
      </w:r>
      <w:proofErr w:type="spellStart"/>
      <w:r w:rsidRPr="0010446F">
        <w:rPr>
          <w:rFonts w:ascii="Arial" w:hAnsi="Arial" w:cs="Arial"/>
          <w:lang w:val="en-US"/>
        </w:rPr>
        <w:t>optimised</w:t>
      </w:r>
      <w:proofErr w:type="spellEnd"/>
      <w:r w:rsidRPr="0010446F">
        <w:rPr>
          <w:rFonts w:ascii="Arial" w:hAnsi="Arial" w:cs="Arial"/>
          <w:lang w:val="en-US"/>
        </w:rPr>
        <w:t xml:space="preserve"> to support its accelerating strategic transition toward electric vehicle (EV) production and technological innovation. </w:t>
      </w:r>
      <w:r w:rsidR="00202D64" w:rsidRPr="0010446F">
        <w:rPr>
          <w:rFonts w:ascii="Arial" w:hAnsi="Arial" w:cs="Arial"/>
          <w:lang w:val="en-US"/>
        </w:rPr>
        <w:t>I</w:t>
      </w:r>
      <w:r w:rsidRPr="0010446F">
        <w:rPr>
          <w:rFonts w:ascii="Arial" w:hAnsi="Arial" w:cs="Arial"/>
          <w:lang w:val="en-US"/>
        </w:rPr>
        <w:t>ntensifying competition from EV-focused manufacturers, significant battery technology investment requirements, and increasing global regulatory pressure necessitate substantial capital allocation and enhanced financial flexibility</w:t>
      </w:r>
      <w:r w:rsidR="008547E6" w:rsidRPr="0010446F">
        <w:rPr>
          <w:rFonts w:ascii="Arial" w:hAnsi="Arial" w:cs="Arial"/>
          <w:lang w:val="en-US"/>
        </w:rPr>
        <w:t xml:space="preserve"> (</w:t>
      </w:r>
      <w:proofErr w:type="spellStart"/>
      <w:r w:rsidR="008547E6" w:rsidRPr="0010446F">
        <w:rPr>
          <w:rFonts w:ascii="Arial" w:hAnsi="Arial" w:cs="Arial"/>
        </w:rPr>
        <w:t>Taneri</w:t>
      </w:r>
      <w:proofErr w:type="spellEnd"/>
      <w:r w:rsidR="008547E6" w:rsidRPr="0010446F">
        <w:rPr>
          <w:rFonts w:ascii="Arial" w:hAnsi="Arial" w:cs="Arial"/>
        </w:rPr>
        <w:t>, 2026</w:t>
      </w:r>
      <w:r w:rsidR="008547E6" w:rsidRPr="0010446F">
        <w:rPr>
          <w:rFonts w:ascii="Arial" w:hAnsi="Arial" w:cs="Arial"/>
          <w:lang w:val="en-US"/>
        </w:rPr>
        <w:t>)</w:t>
      </w:r>
      <w:r w:rsidRPr="0010446F">
        <w:rPr>
          <w:rFonts w:ascii="Arial" w:hAnsi="Arial" w:cs="Arial"/>
          <w:lang w:val="en-US"/>
        </w:rPr>
        <w:t xml:space="preserve">. Without proactive restructuring, Toyota risks reduced liquidity, constrained operational agility, and potential underinvestment in strategic growth opportunities. Therefore, a structured financial restructuring plan is necessary to </w:t>
      </w:r>
      <w:proofErr w:type="spellStart"/>
      <w:r w:rsidRPr="0010446F">
        <w:rPr>
          <w:rFonts w:ascii="Arial" w:hAnsi="Arial" w:cs="Arial"/>
          <w:lang w:val="en-US"/>
        </w:rPr>
        <w:t>optimise</w:t>
      </w:r>
      <w:proofErr w:type="spellEnd"/>
      <w:r w:rsidRPr="0010446F">
        <w:rPr>
          <w:rFonts w:ascii="Arial" w:hAnsi="Arial" w:cs="Arial"/>
          <w:lang w:val="en-US"/>
        </w:rPr>
        <w:t xml:space="preserve"> capital allocation, improve liquidity efficiency, preserve shareholder value, and ensure Toyota maintains sufficient flexibility to support long-term electrification, global expansion, and technological transformation.</w:t>
      </w:r>
    </w:p>
    <w:p w14:paraId="3C75F774" w14:textId="77777777" w:rsidR="00334BB7" w:rsidRPr="0010446F" w:rsidRDefault="00334BB7" w:rsidP="00334BB7">
      <w:pPr>
        <w:pStyle w:val="Heading2"/>
        <w:rPr>
          <w:rFonts w:ascii="Arial" w:hAnsi="Arial" w:cs="Arial"/>
          <w:szCs w:val="24"/>
        </w:rPr>
      </w:pPr>
      <w:bookmarkStart w:id="22" w:name="_Toc227165057"/>
      <w:r w:rsidRPr="0010446F">
        <w:rPr>
          <w:rFonts w:ascii="Arial" w:hAnsi="Arial" w:cs="Arial"/>
          <w:szCs w:val="24"/>
        </w:rPr>
        <w:lastRenderedPageBreak/>
        <w:t>4.2 Recommended Restructuring Strategy 1 – Divestiture of Non-Core Assets</w:t>
      </w:r>
      <w:bookmarkEnd w:id="22"/>
    </w:p>
    <w:p w14:paraId="14A2F4CF" w14:textId="77777777" w:rsidR="00334BB7" w:rsidRPr="0010446F" w:rsidRDefault="00334BB7" w:rsidP="00334BB7">
      <w:pPr>
        <w:rPr>
          <w:rFonts w:ascii="Arial" w:hAnsi="Arial" w:cs="Arial"/>
          <w:lang w:val="en-US"/>
        </w:rPr>
      </w:pPr>
      <w:r w:rsidRPr="0010446F">
        <w:rPr>
          <w:rFonts w:ascii="Arial" w:hAnsi="Arial" w:cs="Arial"/>
          <w:lang w:val="en-US"/>
        </w:rPr>
        <w:t>Toyota should consider selectively divesting non-core assets, underperforming subsidiaries, or strategically misaligned business units to improve financial efficiency and sharpen strategic focus</w:t>
      </w:r>
      <w:r w:rsidR="00DB06BD" w:rsidRPr="0010446F">
        <w:rPr>
          <w:rFonts w:ascii="Arial" w:hAnsi="Arial" w:cs="Arial"/>
          <w:lang w:val="en-US"/>
        </w:rPr>
        <w:t xml:space="preserve"> (</w:t>
      </w:r>
      <w:r w:rsidR="00DB06BD" w:rsidRPr="0010446F">
        <w:rPr>
          <w:rFonts w:ascii="Arial" w:hAnsi="Arial" w:cs="Arial"/>
        </w:rPr>
        <w:t>Igwe, 2023</w:t>
      </w:r>
      <w:r w:rsidR="00DB06BD" w:rsidRPr="0010446F">
        <w:rPr>
          <w:rFonts w:ascii="Arial" w:hAnsi="Arial" w:cs="Arial"/>
          <w:lang w:val="en-US"/>
        </w:rPr>
        <w:t>)</w:t>
      </w:r>
      <w:r w:rsidRPr="0010446F">
        <w:rPr>
          <w:rFonts w:ascii="Arial" w:hAnsi="Arial" w:cs="Arial"/>
          <w:lang w:val="en-US"/>
        </w:rPr>
        <w:t>. As the automotive industry transitions rapidly toward electrification, legacy investments in non-core operations or low-growth business segments may dilute management attention and consume capital that could otherwise be allocated toward EV-related expansion.</w:t>
      </w:r>
    </w:p>
    <w:p w14:paraId="4A96709B" w14:textId="77777777" w:rsidR="00334BB7" w:rsidRPr="0010446F" w:rsidRDefault="00334BB7" w:rsidP="00334BB7">
      <w:pPr>
        <w:rPr>
          <w:rFonts w:ascii="Arial" w:hAnsi="Arial" w:cs="Arial"/>
          <w:lang w:val="en-US"/>
        </w:rPr>
      </w:pPr>
      <w:r w:rsidRPr="0010446F">
        <w:rPr>
          <w:rFonts w:ascii="Arial" w:hAnsi="Arial" w:cs="Arial"/>
          <w:lang w:val="en-US"/>
        </w:rPr>
        <w:t>Divestiture would generate immediate liquidity inflows that can be redeployed into higher-growth strategic initiatives such as EV production capacity, battery manufacturing, software development, and digital mobility platforms. This would strengthen Toyota’s liquidity position while reducing the need for excessive external financing. Additionally, divestment would improve asset efficiency by removing low-return assets from the balance sheet, thereby enhancing return on assets and overall capital productivity.</w:t>
      </w:r>
    </w:p>
    <w:p w14:paraId="086AC81F" w14:textId="77777777" w:rsidR="00334BB7" w:rsidRPr="0010446F" w:rsidRDefault="00334BB7" w:rsidP="00334BB7">
      <w:pPr>
        <w:rPr>
          <w:rFonts w:ascii="Arial" w:hAnsi="Arial" w:cs="Arial"/>
          <w:lang w:val="en-US"/>
        </w:rPr>
      </w:pPr>
      <w:r w:rsidRPr="0010446F">
        <w:rPr>
          <w:rFonts w:ascii="Arial" w:hAnsi="Arial" w:cs="Arial"/>
          <w:lang w:val="en-US"/>
        </w:rPr>
        <w:t>Strategically, divestiture would allow Toyota to concentrate management resources and capital expenditure on core high-growth segments aligned with future mobility trends. For example, reducing exposure to underperforming traditional combustion-engine operations or non-strategic overseas subsidiaries may improve operational efficiency and strategic coherence.</w:t>
      </w:r>
      <w:r w:rsidR="00F3692E" w:rsidRPr="0010446F">
        <w:rPr>
          <w:rFonts w:ascii="Arial" w:hAnsi="Arial" w:cs="Arial"/>
          <w:lang w:val="en-US"/>
        </w:rPr>
        <w:t xml:space="preserve"> </w:t>
      </w:r>
      <w:r w:rsidRPr="0010446F">
        <w:rPr>
          <w:rFonts w:ascii="Arial" w:hAnsi="Arial" w:cs="Arial"/>
          <w:lang w:val="en-US"/>
        </w:rPr>
        <w:t>However, divestiture decisions must be undertaken carefully to avoid disposal of strategically valuable assets or creating operational disruption. Management should therefore conduct portfolio reviews to identify assets that generate suboptimal strategic and financial returns while preserving those critical to Toyota’s long-term competitive advantage.</w:t>
      </w:r>
    </w:p>
    <w:p w14:paraId="038C10A0" w14:textId="77777777" w:rsidR="00334BB7" w:rsidRPr="0010446F" w:rsidRDefault="00334BB7" w:rsidP="00334BB7">
      <w:pPr>
        <w:pStyle w:val="Heading2"/>
        <w:rPr>
          <w:rFonts w:ascii="Arial" w:hAnsi="Arial" w:cs="Arial"/>
          <w:szCs w:val="24"/>
        </w:rPr>
      </w:pPr>
      <w:bookmarkStart w:id="23" w:name="_Toc227165058"/>
      <w:r w:rsidRPr="0010446F">
        <w:rPr>
          <w:rFonts w:ascii="Arial" w:hAnsi="Arial" w:cs="Arial"/>
          <w:szCs w:val="24"/>
        </w:rPr>
        <w:t>4.3 Recommended Restructuring Strategy 2 – Equity Injection and Retained Earnings Reinvestment</w:t>
      </w:r>
      <w:bookmarkEnd w:id="23"/>
    </w:p>
    <w:p w14:paraId="2F6688EB" w14:textId="77777777" w:rsidR="00334BB7" w:rsidRPr="0010446F" w:rsidRDefault="00334BB7" w:rsidP="00334BB7">
      <w:pPr>
        <w:rPr>
          <w:rFonts w:ascii="Arial" w:hAnsi="Arial" w:cs="Arial"/>
          <w:lang w:val="en-US"/>
        </w:rPr>
      </w:pPr>
      <w:r w:rsidRPr="0010446F">
        <w:rPr>
          <w:rFonts w:ascii="Arial" w:hAnsi="Arial" w:cs="Arial"/>
          <w:lang w:val="en-US"/>
        </w:rPr>
        <w:t xml:space="preserve">Toyota should </w:t>
      </w:r>
      <w:proofErr w:type="spellStart"/>
      <w:r w:rsidRPr="0010446F">
        <w:rPr>
          <w:rFonts w:ascii="Arial" w:hAnsi="Arial" w:cs="Arial"/>
          <w:lang w:val="en-US"/>
        </w:rPr>
        <w:t>prioritise</w:t>
      </w:r>
      <w:proofErr w:type="spellEnd"/>
      <w:r w:rsidRPr="0010446F">
        <w:rPr>
          <w:rFonts w:ascii="Arial" w:hAnsi="Arial" w:cs="Arial"/>
          <w:lang w:val="en-US"/>
        </w:rPr>
        <w:t xml:space="preserve"> the use of retained earnings and, where strategically appropriate, equity-based financing to support long-term EV investment and technological transformation</w:t>
      </w:r>
      <w:r w:rsidR="00F3692E" w:rsidRPr="0010446F">
        <w:rPr>
          <w:rFonts w:ascii="Arial" w:hAnsi="Arial" w:cs="Arial"/>
          <w:lang w:val="en-US"/>
        </w:rPr>
        <w:t xml:space="preserve"> (</w:t>
      </w:r>
      <w:proofErr w:type="spellStart"/>
      <w:r w:rsidR="00F3692E" w:rsidRPr="0010446F">
        <w:rPr>
          <w:rFonts w:ascii="Arial" w:hAnsi="Arial" w:cs="Arial"/>
        </w:rPr>
        <w:t>Potharla</w:t>
      </w:r>
      <w:proofErr w:type="spellEnd"/>
      <w:r w:rsidR="00F3692E" w:rsidRPr="0010446F">
        <w:rPr>
          <w:rFonts w:ascii="Arial" w:hAnsi="Arial" w:cs="Arial"/>
        </w:rPr>
        <w:t>, 2025)</w:t>
      </w:r>
      <w:r w:rsidRPr="0010446F">
        <w:rPr>
          <w:rFonts w:ascii="Arial" w:hAnsi="Arial" w:cs="Arial"/>
          <w:lang w:val="en-US"/>
        </w:rPr>
        <w:t>. The company’s conservative gearing position provides flexibility; however, preserving moderate leverage while funding capital-intensive electrification initiatives is strategically prudent given the uncertainty and scale of required investment.</w:t>
      </w:r>
      <w:r w:rsidR="00F3692E" w:rsidRPr="0010446F">
        <w:rPr>
          <w:rFonts w:ascii="Arial" w:hAnsi="Arial" w:cs="Arial"/>
          <w:lang w:val="en-US"/>
        </w:rPr>
        <w:t xml:space="preserve"> </w:t>
      </w:r>
      <w:r w:rsidRPr="0010446F">
        <w:rPr>
          <w:rFonts w:ascii="Arial" w:hAnsi="Arial" w:cs="Arial"/>
          <w:lang w:val="en-US"/>
        </w:rPr>
        <w:t xml:space="preserve">Retained earnings represent an internally generated and relatively low-cost </w:t>
      </w:r>
      <w:r w:rsidRPr="0010446F">
        <w:rPr>
          <w:rFonts w:ascii="Arial" w:hAnsi="Arial" w:cs="Arial"/>
          <w:lang w:val="en-US"/>
        </w:rPr>
        <w:lastRenderedPageBreak/>
        <w:t xml:space="preserve">source of finance that can be reinvested into EV expansion without increasing debt obligations or fixed financing costs. </w:t>
      </w:r>
      <w:proofErr w:type="spellStart"/>
      <w:r w:rsidRPr="0010446F">
        <w:rPr>
          <w:rFonts w:ascii="Arial" w:hAnsi="Arial" w:cs="Arial"/>
          <w:lang w:val="en-US"/>
        </w:rPr>
        <w:t>Utilising</w:t>
      </w:r>
      <w:proofErr w:type="spellEnd"/>
      <w:r w:rsidRPr="0010446F">
        <w:rPr>
          <w:rFonts w:ascii="Arial" w:hAnsi="Arial" w:cs="Arial"/>
          <w:lang w:val="en-US"/>
        </w:rPr>
        <w:t xml:space="preserve"> retained profits to fund battery plants, software systems, R&amp;D, and charging infrastructure would strengthen Toyota’s balance sheet while preserving borrowing capacity for future opportunities or macroeconomic shocks.</w:t>
      </w:r>
    </w:p>
    <w:p w14:paraId="0B9F5B18" w14:textId="77777777" w:rsidR="00334BB7" w:rsidRPr="0010446F" w:rsidRDefault="00334BB7" w:rsidP="00334BB7">
      <w:pPr>
        <w:rPr>
          <w:rFonts w:ascii="Arial" w:hAnsi="Arial" w:cs="Arial"/>
          <w:lang w:val="en-US"/>
        </w:rPr>
      </w:pPr>
      <w:r w:rsidRPr="0010446F">
        <w:rPr>
          <w:rFonts w:ascii="Arial" w:hAnsi="Arial" w:cs="Arial"/>
          <w:lang w:val="en-US"/>
        </w:rPr>
        <w:t>In addition, equity issuance or strategic equity placements may be considered where exceptionally large capital requirements arise. Equity financing lowers leverage risk, strengthens solvency ratios, and improves financial resilience by increasing the company’s equity base</w:t>
      </w:r>
      <w:r w:rsidR="00F3692E" w:rsidRPr="0010446F">
        <w:rPr>
          <w:rFonts w:ascii="Arial" w:hAnsi="Arial" w:cs="Arial"/>
          <w:lang w:val="en-US"/>
        </w:rPr>
        <w:t xml:space="preserve"> (</w:t>
      </w:r>
      <w:r w:rsidR="00F3692E" w:rsidRPr="0010446F">
        <w:rPr>
          <w:rFonts w:ascii="Arial" w:hAnsi="Arial" w:cs="Arial"/>
        </w:rPr>
        <w:t xml:space="preserve">Blessing and </w:t>
      </w:r>
      <w:proofErr w:type="spellStart"/>
      <w:r w:rsidR="00F3692E" w:rsidRPr="0010446F">
        <w:rPr>
          <w:rFonts w:ascii="Arial" w:hAnsi="Arial" w:cs="Arial"/>
        </w:rPr>
        <w:t>Sakouvogui</w:t>
      </w:r>
      <w:proofErr w:type="spellEnd"/>
      <w:r w:rsidR="00F3692E" w:rsidRPr="0010446F">
        <w:rPr>
          <w:rFonts w:ascii="Arial" w:hAnsi="Arial" w:cs="Arial"/>
        </w:rPr>
        <w:t>, 2023</w:t>
      </w:r>
      <w:r w:rsidR="00F3692E" w:rsidRPr="0010446F">
        <w:rPr>
          <w:rFonts w:ascii="Arial" w:hAnsi="Arial" w:cs="Arial"/>
          <w:lang w:val="en-US"/>
        </w:rPr>
        <w:t>)</w:t>
      </w:r>
      <w:r w:rsidRPr="0010446F">
        <w:rPr>
          <w:rFonts w:ascii="Arial" w:hAnsi="Arial" w:cs="Arial"/>
          <w:lang w:val="en-US"/>
        </w:rPr>
        <w:t>. This may be particularly advantageous where Toyota seeks to undertake transformational strategic investments requiring substantial capital commitment.</w:t>
      </w:r>
      <w:r w:rsidR="00F3692E" w:rsidRPr="0010446F">
        <w:rPr>
          <w:rFonts w:ascii="Arial" w:hAnsi="Arial" w:cs="Arial"/>
          <w:lang w:val="en-US"/>
        </w:rPr>
        <w:t xml:space="preserve"> </w:t>
      </w:r>
      <w:r w:rsidRPr="0010446F">
        <w:rPr>
          <w:rFonts w:ascii="Arial" w:hAnsi="Arial" w:cs="Arial"/>
          <w:lang w:val="en-US"/>
        </w:rPr>
        <w:t>Although equity issuance may dilute existing shareholders, this can be justified where funds are allocated to high-return strategic projects expected to generate long-term shareholder value. Maintaining a strong equity-funded capital base also enhances investor confidence and supports Toyota’s credit profile.</w:t>
      </w:r>
    </w:p>
    <w:p w14:paraId="7B765246" w14:textId="77777777" w:rsidR="00334BB7" w:rsidRPr="0010446F" w:rsidRDefault="00334BB7" w:rsidP="00334BB7">
      <w:pPr>
        <w:rPr>
          <w:rFonts w:ascii="Arial" w:hAnsi="Arial" w:cs="Arial"/>
          <w:lang w:val="en-US"/>
        </w:rPr>
      </w:pPr>
      <w:r w:rsidRPr="0010446F">
        <w:rPr>
          <w:rFonts w:ascii="Arial" w:hAnsi="Arial" w:cs="Arial"/>
          <w:lang w:val="en-US"/>
        </w:rPr>
        <w:t xml:space="preserve">Overall, </w:t>
      </w:r>
      <w:proofErr w:type="spellStart"/>
      <w:r w:rsidRPr="0010446F">
        <w:rPr>
          <w:rFonts w:ascii="Arial" w:hAnsi="Arial" w:cs="Arial"/>
          <w:lang w:val="en-US"/>
        </w:rPr>
        <w:t>prioritising</w:t>
      </w:r>
      <w:proofErr w:type="spellEnd"/>
      <w:r w:rsidRPr="0010446F">
        <w:rPr>
          <w:rFonts w:ascii="Arial" w:hAnsi="Arial" w:cs="Arial"/>
          <w:lang w:val="en-US"/>
        </w:rPr>
        <w:t xml:space="preserve"> retained earnings and selective equity financing would support sustainable long-term growth while preserving Toyota’s financial flexibility and </w:t>
      </w:r>
      <w:proofErr w:type="spellStart"/>
      <w:r w:rsidRPr="0010446F">
        <w:rPr>
          <w:rFonts w:ascii="Arial" w:hAnsi="Arial" w:cs="Arial"/>
          <w:lang w:val="en-US"/>
        </w:rPr>
        <w:t>minimising</w:t>
      </w:r>
      <w:proofErr w:type="spellEnd"/>
      <w:r w:rsidRPr="0010446F">
        <w:rPr>
          <w:rFonts w:ascii="Arial" w:hAnsi="Arial" w:cs="Arial"/>
          <w:lang w:val="en-US"/>
        </w:rPr>
        <w:t xml:space="preserve"> excessive debt dependence.</w:t>
      </w:r>
    </w:p>
    <w:p w14:paraId="053F4E3B" w14:textId="77777777" w:rsidR="00334BB7" w:rsidRPr="0010446F" w:rsidRDefault="00334BB7" w:rsidP="00334BB7">
      <w:pPr>
        <w:pStyle w:val="Heading2"/>
        <w:rPr>
          <w:rFonts w:ascii="Arial" w:hAnsi="Arial" w:cs="Arial"/>
          <w:szCs w:val="24"/>
        </w:rPr>
      </w:pPr>
      <w:bookmarkStart w:id="24" w:name="_Toc227165059"/>
      <w:r w:rsidRPr="0010446F">
        <w:rPr>
          <w:rFonts w:ascii="Arial" w:hAnsi="Arial" w:cs="Arial"/>
          <w:szCs w:val="24"/>
        </w:rPr>
        <w:t>4.4 Recommended Restructuring Strategy 3 – Strategic Partnerships, Joint Ventures, and Alliances</w:t>
      </w:r>
      <w:bookmarkEnd w:id="24"/>
    </w:p>
    <w:p w14:paraId="68A8D837" w14:textId="77777777" w:rsidR="00334BB7" w:rsidRPr="0010446F" w:rsidRDefault="00334BB7" w:rsidP="00334BB7">
      <w:pPr>
        <w:rPr>
          <w:rFonts w:ascii="Arial" w:hAnsi="Arial" w:cs="Arial"/>
          <w:lang w:val="en-US"/>
        </w:rPr>
      </w:pPr>
      <w:r w:rsidRPr="0010446F">
        <w:rPr>
          <w:rFonts w:ascii="Arial" w:hAnsi="Arial" w:cs="Arial"/>
          <w:lang w:val="en-US"/>
        </w:rPr>
        <w:t>Toyota should expand strategic partnerships and joint ventures to reduce financial risk, accelerate innovation, and enhance global competitiveness within the EV market. Given the substantial cost and technological uncertainty associated with EV development, collaborative investment structures offer an effective mechanism for sharing capital expenditure, technological expertise, and market risk.</w:t>
      </w:r>
    </w:p>
    <w:p w14:paraId="307BAB52" w14:textId="77777777" w:rsidR="00334BB7" w:rsidRPr="0010446F" w:rsidRDefault="00334BB7" w:rsidP="00334BB7">
      <w:pPr>
        <w:rPr>
          <w:rFonts w:ascii="Arial" w:hAnsi="Arial" w:cs="Arial"/>
          <w:lang w:val="en-US"/>
        </w:rPr>
      </w:pPr>
      <w:r w:rsidRPr="0010446F">
        <w:rPr>
          <w:rFonts w:ascii="Arial" w:hAnsi="Arial" w:cs="Arial"/>
          <w:lang w:val="en-US"/>
        </w:rPr>
        <w:t>Strategic battery technology partnerships would enable Toyota to access advanced battery innovation while reducing internal R&amp;D costs and accelerating time-to-market for next-generation EV technologies. Collaborations with battery manufacturers, semiconductor firms, and software developers can enhance technological capability while mitigating development risk.</w:t>
      </w:r>
      <w:r w:rsidR="00D83083" w:rsidRPr="0010446F">
        <w:rPr>
          <w:rFonts w:ascii="Arial" w:hAnsi="Arial" w:cs="Arial"/>
          <w:lang w:val="en-US"/>
        </w:rPr>
        <w:t xml:space="preserve"> </w:t>
      </w:r>
      <w:r w:rsidRPr="0010446F">
        <w:rPr>
          <w:rFonts w:ascii="Arial" w:hAnsi="Arial" w:cs="Arial"/>
          <w:lang w:val="en-US"/>
        </w:rPr>
        <w:t xml:space="preserve">Joint ventures also facilitate shared investment in </w:t>
      </w:r>
      <w:r w:rsidRPr="0010446F">
        <w:rPr>
          <w:rFonts w:ascii="Arial" w:hAnsi="Arial" w:cs="Arial"/>
          <w:lang w:val="en-US"/>
        </w:rPr>
        <w:lastRenderedPageBreak/>
        <w:t>manufacturing infrastructure and international expansion, particularly in high-growth emerging markets where market entry risks may be elevated</w:t>
      </w:r>
      <w:r w:rsidR="00D83083" w:rsidRPr="0010446F">
        <w:rPr>
          <w:rFonts w:ascii="Arial" w:hAnsi="Arial" w:cs="Arial"/>
          <w:lang w:val="en-US"/>
        </w:rPr>
        <w:t xml:space="preserve"> (</w:t>
      </w:r>
      <w:r w:rsidR="00D83083" w:rsidRPr="0010446F">
        <w:rPr>
          <w:rFonts w:ascii="Arial" w:hAnsi="Arial" w:cs="Arial"/>
        </w:rPr>
        <w:t xml:space="preserve">Li </w:t>
      </w:r>
      <w:r w:rsidR="00D83083" w:rsidRPr="0010446F">
        <w:rPr>
          <w:rFonts w:ascii="Arial" w:hAnsi="Arial" w:cs="Arial"/>
          <w:i/>
        </w:rPr>
        <w:t>et al.,</w:t>
      </w:r>
      <w:r w:rsidR="00D83083" w:rsidRPr="0010446F">
        <w:rPr>
          <w:rFonts w:ascii="Arial" w:hAnsi="Arial" w:cs="Arial"/>
        </w:rPr>
        <w:t xml:space="preserve"> 2024</w:t>
      </w:r>
      <w:r w:rsidR="00D83083" w:rsidRPr="0010446F">
        <w:rPr>
          <w:rFonts w:ascii="Arial" w:hAnsi="Arial" w:cs="Arial"/>
          <w:lang w:val="en-US"/>
        </w:rPr>
        <w:t>)</w:t>
      </w:r>
      <w:r w:rsidRPr="0010446F">
        <w:rPr>
          <w:rFonts w:ascii="Arial" w:hAnsi="Arial" w:cs="Arial"/>
          <w:lang w:val="en-US"/>
        </w:rPr>
        <w:t>. Partnering with local manufacturers or technology firms can improve market access, reduce regulatory barriers, and lower investment exposure.</w:t>
      </w:r>
    </w:p>
    <w:p w14:paraId="13682D80" w14:textId="77777777" w:rsidR="00334BB7" w:rsidRPr="0010446F" w:rsidRDefault="00334BB7" w:rsidP="00334BB7">
      <w:pPr>
        <w:pStyle w:val="Heading2"/>
        <w:rPr>
          <w:rFonts w:ascii="Arial" w:hAnsi="Arial" w:cs="Arial"/>
          <w:szCs w:val="24"/>
        </w:rPr>
      </w:pPr>
      <w:bookmarkStart w:id="25" w:name="_Toc227165060"/>
      <w:r w:rsidRPr="0010446F">
        <w:rPr>
          <w:rFonts w:ascii="Arial" w:hAnsi="Arial" w:cs="Arial"/>
          <w:szCs w:val="24"/>
        </w:rPr>
        <w:t>4.5 Impact Assessment of Restructuring Recommendations</w:t>
      </w:r>
      <w:bookmarkEnd w:id="25"/>
    </w:p>
    <w:p w14:paraId="1EA650A2" w14:textId="77777777" w:rsidR="00334BB7" w:rsidRPr="0010446F" w:rsidRDefault="00334BB7" w:rsidP="00334BB7">
      <w:pPr>
        <w:rPr>
          <w:rFonts w:ascii="Arial" w:hAnsi="Arial" w:cs="Arial"/>
          <w:lang w:val="en-US"/>
        </w:rPr>
      </w:pPr>
      <w:r w:rsidRPr="0010446F">
        <w:rPr>
          <w:rFonts w:ascii="Arial" w:hAnsi="Arial" w:cs="Arial"/>
          <w:lang w:val="en-US"/>
        </w:rPr>
        <w:t>The proposed restructuring strategies would collectively enhance Toyota’s financial and strategic position across several dimensions. First, shareholder value is likely to improve through more efficient capital allocation, stronger returns on invested capital, and improved long-term growth prospects associated with EV-focused investment. Divesting low-return assets and reallocating capital toward high-growth EV initiatives should enhance profitability and investor confidence</w:t>
      </w:r>
      <w:r w:rsidR="00944F6A" w:rsidRPr="0010446F">
        <w:rPr>
          <w:rFonts w:ascii="Arial" w:hAnsi="Arial" w:cs="Arial"/>
          <w:lang w:val="en-US"/>
        </w:rPr>
        <w:t xml:space="preserve"> (</w:t>
      </w:r>
      <w:r w:rsidR="00944F6A" w:rsidRPr="0010446F">
        <w:rPr>
          <w:rFonts w:ascii="Arial" w:hAnsi="Arial" w:cs="Arial"/>
        </w:rPr>
        <w:t>Bedell Gadbois, 2025</w:t>
      </w:r>
      <w:r w:rsidR="00944F6A" w:rsidRPr="0010446F">
        <w:rPr>
          <w:rFonts w:ascii="Arial" w:hAnsi="Arial" w:cs="Arial"/>
          <w:lang w:val="en-US"/>
        </w:rPr>
        <w:t>)</w:t>
      </w:r>
      <w:r w:rsidRPr="0010446F">
        <w:rPr>
          <w:rFonts w:ascii="Arial" w:hAnsi="Arial" w:cs="Arial"/>
          <w:lang w:val="en-US"/>
        </w:rPr>
        <w:t>.</w:t>
      </w:r>
    </w:p>
    <w:p w14:paraId="6D70151D" w14:textId="77777777" w:rsidR="00334BB7" w:rsidRPr="0010446F" w:rsidRDefault="00334BB7" w:rsidP="00334BB7">
      <w:pPr>
        <w:rPr>
          <w:rFonts w:ascii="Arial" w:hAnsi="Arial" w:cs="Arial"/>
          <w:lang w:val="en-US"/>
        </w:rPr>
      </w:pPr>
      <w:r w:rsidRPr="0010446F">
        <w:rPr>
          <w:rFonts w:ascii="Arial" w:hAnsi="Arial" w:cs="Arial"/>
          <w:lang w:val="en-US"/>
        </w:rPr>
        <w:t>Toyota’s debt structure and solvency position would remain strong due to the recommended preference for internally generated funds, equity financing, and partnership-based investment rather than excessive leverage expansion. This would preserve financial resilience and maintain borrowing capacity for future strategic opportunities.</w:t>
      </w:r>
      <w:r w:rsidR="00944F6A" w:rsidRPr="0010446F">
        <w:rPr>
          <w:rFonts w:ascii="Arial" w:hAnsi="Arial" w:cs="Arial"/>
          <w:lang w:val="en-US"/>
        </w:rPr>
        <w:t xml:space="preserve"> O</w:t>
      </w:r>
      <w:r w:rsidRPr="0010446F">
        <w:rPr>
          <w:rFonts w:ascii="Arial" w:hAnsi="Arial" w:cs="Arial"/>
          <w:lang w:val="en-US"/>
        </w:rPr>
        <w:t>perational flexibility would improve significantly. A more streamlined asset portfolio, enhanced liquidity position, and diversified strategic partnership network would allow Toyota to respond more rapidly to technological disruption, competitive threats, and changing market conditions. Improved financial flexibility also strengthens Toyota’s ability to withstand macroeconomic shocks and supply chain volatility.</w:t>
      </w:r>
    </w:p>
    <w:p w14:paraId="7FE6F790" w14:textId="77777777" w:rsidR="00334BB7" w:rsidRPr="0010446F" w:rsidRDefault="00334BB7" w:rsidP="00334BB7">
      <w:pPr>
        <w:rPr>
          <w:rFonts w:ascii="Arial" w:hAnsi="Arial" w:cs="Arial"/>
          <w:lang w:val="en-US"/>
        </w:rPr>
      </w:pPr>
      <w:r w:rsidRPr="0010446F">
        <w:rPr>
          <w:rFonts w:ascii="Arial" w:hAnsi="Arial" w:cs="Arial"/>
          <w:lang w:val="en-US"/>
        </w:rPr>
        <w:t xml:space="preserve">Management must ensure that restructuring implementation is carefully sequenced to avoid operational disruption, stakeholder resistance, or strategic execution failures. Effective communication with investors, employees, and strategic partners will be essential to </w:t>
      </w:r>
      <w:proofErr w:type="spellStart"/>
      <w:r w:rsidRPr="0010446F">
        <w:rPr>
          <w:rFonts w:ascii="Arial" w:hAnsi="Arial" w:cs="Arial"/>
          <w:lang w:val="en-US"/>
        </w:rPr>
        <w:t>maximise</w:t>
      </w:r>
      <w:proofErr w:type="spellEnd"/>
      <w:r w:rsidRPr="0010446F">
        <w:rPr>
          <w:rFonts w:ascii="Arial" w:hAnsi="Arial" w:cs="Arial"/>
          <w:lang w:val="en-US"/>
        </w:rPr>
        <w:t xml:space="preserve"> restructuring success.</w:t>
      </w:r>
    </w:p>
    <w:p w14:paraId="5AB43D3B" w14:textId="77777777" w:rsidR="00334BB7" w:rsidRPr="0010446F" w:rsidRDefault="00334BB7" w:rsidP="00334BB7">
      <w:pPr>
        <w:pStyle w:val="Heading2"/>
        <w:rPr>
          <w:rFonts w:ascii="Arial" w:hAnsi="Arial" w:cs="Arial"/>
          <w:szCs w:val="24"/>
        </w:rPr>
      </w:pPr>
      <w:bookmarkStart w:id="26" w:name="_Toc227165061"/>
      <w:r w:rsidRPr="0010446F">
        <w:rPr>
          <w:rFonts w:ascii="Arial" w:hAnsi="Arial" w:cs="Arial"/>
          <w:szCs w:val="24"/>
        </w:rPr>
        <w:t>4.6 International and Ethical Considerations</w:t>
      </w:r>
      <w:bookmarkEnd w:id="26"/>
    </w:p>
    <w:p w14:paraId="4F9DEC41" w14:textId="77777777" w:rsidR="00334BB7" w:rsidRPr="0010446F" w:rsidRDefault="00334BB7" w:rsidP="00334BB7">
      <w:pPr>
        <w:rPr>
          <w:rFonts w:ascii="Arial" w:hAnsi="Arial" w:cs="Arial"/>
          <w:lang w:val="en-US"/>
        </w:rPr>
      </w:pPr>
      <w:r w:rsidRPr="0010446F">
        <w:rPr>
          <w:rFonts w:ascii="Arial" w:hAnsi="Arial" w:cs="Arial"/>
          <w:lang w:val="en-US"/>
        </w:rPr>
        <w:t>Toyota’s restructuring strategy must account for international and ethical considerations given its global operational footprint. Currency fluctuations may significantly affect profitability and investment returns due to Toyota’s multinational revenue and cost structure, necessitating effective foreign exchange risk management</w:t>
      </w:r>
      <w:r w:rsidR="00B55213" w:rsidRPr="0010446F">
        <w:rPr>
          <w:rFonts w:ascii="Arial" w:hAnsi="Arial" w:cs="Arial"/>
          <w:lang w:val="en-US"/>
        </w:rPr>
        <w:t xml:space="preserve"> (</w:t>
      </w:r>
      <w:r w:rsidR="00B55213" w:rsidRPr="0010446F">
        <w:rPr>
          <w:rFonts w:ascii="Arial" w:hAnsi="Arial" w:cs="Arial"/>
        </w:rPr>
        <w:t>Kona, 2025</w:t>
      </w:r>
      <w:r w:rsidR="00B55213" w:rsidRPr="0010446F">
        <w:rPr>
          <w:rFonts w:ascii="Arial" w:hAnsi="Arial" w:cs="Arial"/>
          <w:lang w:val="en-US"/>
        </w:rPr>
        <w:t>)</w:t>
      </w:r>
      <w:r w:rsidRPr="0010446F">
        <w:rPr>
          <w:rFonts w:ascii="Arial" w:hAnsi="Arial" w:cs="Arial"/>
          <w:lang w:val="en-US"/>
        </w:rPr>
        <w:t xml:space="preserve">. </w:t>
      </w:r>
      <w:r w:rsidRPr="0010446F">
        <w:rPr>
          <w:rFonts w:ascii="Arial" w:hAnsi="Arial" w:cs="Arial"/>
          <w:lang w:val="en-US"/>
        </w:rPr>
        <w:lastRenderedPageBreak/>
        <w:t>Inflationary pressures and rising global interest rates may also increase production and financing costs, influencing restructuring decisions. Taxation implications across multiple jurisdictions must be carefully evaluated to ensure efficient global capital allocation and compliance with international tax regulations. Furthermore, all restructuring decisions should align with Toyota’s corporate social responsibility commitments and ESG objectives, ensuring ethical treatment of employees, suppliers, and communities while supporting environmentally sustainable EV development. Maintaining ethical and sustainable restructuring practices is critical to preserving Toyota’s brand reputation and stakeholder trust.</w:t>
      </w:r>
    </w:p>
    <w:p w14:paraId="787D620F" w14:textId="77777777" w:rsidR="00334BB7" w:rsidRPr="0010446F" w:rsidRDefault="00334BB7" w:rsidP="00334BB7">
      <w:pPr>
        <w:pStyle w:val="Heading1"/>
        <w:rPr>
          <w:rFonts w:ascii="Arial" w:hAnsi="Arial" w:cs="Arial"/>
          <w:szCs w:val="24"/>
        </w:rPr>
      </w:pPr>
      <w:bookmarkStart w:id="27" w:name="_Toc227165062"/>
      <w:r w:rsidRPr="0010446F">
        <w:rPr>
          <w:rFonts w:ascii="Arial" w:hAnsi="Arial" w:cs="Arial"/>
          <w:szCs w:val="24"/>
        </w:rPr>
        <w:t>5. Investment Appraisal and Capital Budgeting</w:t>
      </w:r>
      <w:bookmarkEnd w:id="27"/>
    </w:p>
    <w:p w14:paraId="7D27E197" w14:textId="77777777" w:rsidR="00334BB7" w:rsidRPr="0010446F" w:rsidRDefault="00334BB7" w:rsidP="00334BB7">
      <w:pPr>
        <w:pStyle w:val="Heading2"/>
        <w:rPr>
          <w:rFonts w:ascii="Arial" w:hAnsi="Arial" w:cs="Arial"/>
          <w:szCs w:val="24"/>
        </w:rPr>
      </w:pPr>
      <w:bookmarkStart w:id="28" w:name="_Toc227165063"/>
      <w:r w:rsidRPr="0010446F">
        <w:rPr>
          <w:rFonts w:ascii="Arial" w:hAnsi="Arial" w:cs="Arial"/>
          <w:szCs w:val="24"/>
        </w:rPr>
        <w:t>5.1 Investment Appraisal Methodology</w:t>
      </w:r>
      <w:bookmarkEnd w:id="28"/>
    </w:p>
    <w:p w14:paraId="7E065FB4" w14:textId="77777777" w:rsidR="00334BB7" w:rsidRPr="0010446F" w:rsidRDefault="00334BB7" w:rsidP="00334BB7">
      <w:pPr>
        <w:rPr>
          <w:rFonts w:ascii="Arial" w:hAnsi="Arial" w:cs="Arial"/>
          <w:lang w:val="en-US"/>
        </w:rPr>
      </w:pPr>
      <w:r w:rsidRPr="0010446F">
        <w:rPr>
          <w:rFonts w:ascii="Arial" w:hAnsi="Arial" w:cs="Arial"/>
          <w:lang w:val="en-US"/>
        </w:rPr>
        <w:t>Investment appraisal techniques are essential financial tools used to evaluate the viability, profitability, and strategic attractiveness of long-term capital investment projects. In this report, five established appraisal methods are applied to assess Toyota’s proposed investment projects.</w:t>
      </w:r>
    </w:p>
    <w:p w14:paraId="5592745A" w14:textId="77777777" w:rsidR="00334BB7" w:rsidRPr="0010446F" w:rsidRDefault="00334BB7" w:rsidP="00334BB7">
      <w:pPr>
        <w:rPr>
          <w:rFonts w:ascii="Arial" w:hAnsi="Arial" w:cs="Arial"/>
          <w:lang w:val="en-US"/>
        </w:rPr>
      </w:pPr>
      <w:r w:rsidRPr="0010446F">
        <w:rPr>
          <w:rFonts w:ascii="Arial" w:hAnsi="Arial" w:cs="Arial"/>
          <w:b/>
          <w:bCs/>
          <w:lang w:val="en-US"/>
        </w:rPr>
        <w:t>Payback Period (PBP)</w:t>
      </w:r>
      <w:r w:rsidRPr="0010446F">
        <w:rPr>
          <w:rFonts w:ascii="Arial" w:hAnsi="Arial" w:cs="Arial"/>
          <w:lang w:val="en-US"/>
        </w:rPr>
        <w:t xml:space="preserve"> measures the time required for a project to recover its initial investment from cumulative cash inflows</w:t>
      </w:r>
      <w:r w:rsidR="00C556DF" w:rsidRPr="0010446F">
        <w:rPr>
          <w:rFonts w:ascii="Arial" w:hAnsi="Arial" w:cs="Arial"/>
          <w:lang w:val="en-US"/>
        </w:rPr>
        <w:t xml:space="preserve"> (</w:t>
      </w:r>
      <w:r w:rsidR="00C556DF" w:rsidRPr="0010446F">
        <w:rPr>
          <w:rFonts w:ascii="Arial" w:hAnsi="Arial" w:cs="Arial"/>
        </w:rPr>
        <w:t>Cotter, 2023</w:t>
      </w:r>
      <w:r w:rsidR="00C556DF" w:rsidRPr="0010446F">
        <w:rPr>
          <w:rFonts w:ascii="Arial" w:hAnsi="Arial" w:cs="Arial"/>
          <w:lang w:val="en-US"/>
        </w:rPr>
        <w:t>)</w:t>
      </w:r>
      <w:r w:rsidRPr="0010446F">
        <w:rPr>
          <w:rFonts w:ascii="Arial" w:hAnsi="Arial" w:cs="Arial"/>
          <w:lang w:val="en-US"/>
        </w:rPr>
        <w:t>. It is useful for assessing liquidity and investment risk but ignores cash flows beyond the payback point and the time value of money.</w:t>
      </w:r>
    </w:p>
    <w:p w14:paraId="6E867330" w14:textId="77777777" w:rsidR="00334BB7" w:rsidRPr="0010446F" w:rsidRDefault="00334BB7" w:rsidP="00334BB7">
      <w:pPr>
        <w:rPr>
          <w:rFonts w:ascii="Arial" w:hAnsi="Arial" w:cs="Arial"/>
          <w:lang w:val="en-US"/>
        </w:rPr>
      </w:pPr>
      <w:r w:rsidRPr="0010446F">
        <w:rPr>
          <w:rFonts w:ascii="Arial" w:hAnsi="Arial" w:cs="Arial"/>
          <w:b/>
          <w:bCs/>
          <w:lang w:val="en-US"/>
        </w:rPr>
        <w:t>Accounting Rate of Return (ARR)</w:t>
      </w:r>
      <w:r w:rsidRPr="0010446F">
        <w:rPr>
          <w:rFonts w:ascii="Arial" w:hAnsi="Arial" w:cs="Arial"/>
          <w:lang w:val="en-US"/>
        </w:rPr>
        <w:t xml:space="preserve"> evaluates average accounting profit as a percentage of average investment, offering insight into project profitability from an accounting perspective. However, ARR is limited by its reliance on accounting profits rather than cash flows.</w:t>
      </w:r>
    </w:p>
    <w:p w14:paraId="36FDF81E" w14:textId="77777777" w:rsidR="00334BB7" w:rsidRPr="0010446F" w:rsidRDefault="00334BB7" w:rsidP="00334BB7">
      <w:pPr>
        <w:rPr>
          <w:rFonts w:ascii="Arial" w:hAnsi="Arial" w:cs="Arial"/>
          <w:lang w:val="en-US"/>
        </w:rPr>
      </w:pPr>
      <w:r w:rsidRPr="0010446F">
        <w:rPr>
          <w:rFonts w:ascii="Arial" w:hAnsi="Arial" w:cs="Arial"/>
          <w:b/>
          <w:bCs/>
          <w:lang w:val="en-US"/>
        </w:rPr>
        <w:t>Net Present Value (NPV)</w:t>
      </w:r>
      <w:r w:rsidRPr="0010446F">
        <w:rPr>
          <w:rFonts w:ascii="Arial" w:hAnsi="Arial" w:cs="Arial"/>
          <w:lang w:val="en-US"/>
        </w:rPr>
        <w:t xml:space="preserve"> calculates the present value of future cash inflows less the initial investment, incorporating the time value of money</w:t>
      </w:r>
      <w:r w:rsidR="00DA7B65" w:rsidRPr="0010446F">
        <w:rPr>
          <w:rFonts w:ascii="Arial" w:hAnsi="Arial" w:cs="Arial"/>
          <w:lang w:val="en-US"/>
        </w:rPr>
        <w:t xml:space="preserve"> (</w:t>
      </w:r>
      <w:r w:rsidR="00DA7B65" w:rsidRPr="0010446F">
        <w:rPr>
          <w:rFonts w:ascii="Arial" w:hAnsi="Arial" w:cs="Arial"/>
        </w:rPr>
        <w:t>Wang, 2021</w:t>
      </w:r>
      <w:r w:rsidR="00DA7B65" w:rsidRPr="0010446F">
        <w:rPr>
          <w:rFonts w:ascii="Arial" w:hAnsi="Arial" w:cs="Arial"/>
          <w:lang w:val="en-US"/>
        </w:rPr>
        <w:t>)</w:t>
      </w:r>
      <w:r w:rsidRPr="0010446F">
        <w:rPr>
          <w:rFonts w:ascii="Arial" w:hAnsi="Arial" w:cs="Arial"/>
          <w:lang w:val="en-US"/>
        </w:rPr>
        <w:t>. A positive NPV indicates that a project is expected to add shareholder value.</w:t>
      </w:r>
    </w:p>
    <w:p w14:paraId="48245E28" w14:textId="77777777" w:rsidR="00334BB7" w:rsidRPr="0010446F" w:rsidRDefault="00334BB7" w:rsidP="00334BB7">
      <w:pPr>
        <w:rPr>
          <w:rFonts w:ascii="Arial" w:hAnsi="Arial" w:cs="Arial"/>
          <w:lang w:val="en-US"/>
        </w:rPr>
      </w:pPr>
      <w:r w:rsidRPr="0010446F">
        <w:rPr>
          <w:rFonts w:ascii="Arial" w:hAnsi="Arial" w:cs="Arial"/>
          <w:b/>
          <w:bCs/>
          <w:lang w:val="en-US"/>
        </w:rPr>
        <w:t>Profitability Index (PI)</w:t>
      </w:r>
      <w:r w:rsidRPr="0010446F">
        <w:rPr>
          <w:rFonts w:ascii="Arial" w:hAnsi="Arial" w:cs="Arial"/>
          <w:lang w:val="en-US"/>
        </w:rPr>
        <w:t xml:space="preserve"> measures the ratio of present value of future cash inflows to initial investment, helping assess value created per unit of investment.</w:t>
      </w:r>
    </w:p>
    <w:p w14:paraId="363CF468" w14:textId="77777777" w:rsidR="00334BB7" w:rsidRPr="0010446F" w:rsidRDefault="00334BB7" w:rsidP="00334BB7">
      <w:pPr>
        <w:rPr>
          <w:rFonts w:ascii="Arial" w:hAnsi="Arial" w:cs="Arial"/>
          <w:lang w:val="en-US"/>
        </w:rPr>
      </w:pPr>
      <w:r w:rsidRPr="0010446F">
        <w:rPr>
          <w:rFonts w:ascii="Arial" w:hAnsi="Arial" w:cs="Arial"/>
          <w:b/>
          <w:bCs/>
          <w:lang w:val="en-US"/>
        </w:rPr>
        <w:lastRenderedPageBreak/>
        <w:t>Internal Rate of Return (IRR)</w:t>
      </w:r>
      <w:r w:rsidRPr="0010446F">
        <w:rPr>
          <w:rFonts w:ascii="Arial" w:hAnsi="Arial" w:cs="Arial"/>
          <w:lang w:val="en-US"/>
        </w:rPr>
        <w:t xml:space="preserve"> identifies the discount rate at which NPV equals zero and reflects the project’s expected percentage return.</w:t>
      </w:r>
    </w:p>
    <w:p w14:paraId="5B790562" w14:textId="77777777" w:rsidR="00334BB7" w:rsidRPr="0010446F" w:rsidRDefault="00334BB7" w:rsidP="00334BB7">
      <w:pPr>
        <w:rPr>
          <w:rFonts w:ascii="Arial" w:hAnsi="Arial" w:cs="Arial"/>
          <w:lang w:val="en-US"/>
        </w:rPr>
      </w:pPr>
      <w:r w:rsidRPr="0010446F">
        <w:rPr>
          <w:rFonts w:ascii="Arial" w:hAnsi="Arial" w:cs="Arial"/>
          <w:lang w:val="en-US"/>
        </w:rPr>
        <w:t>Although all five methods provide useful perspectives, NPV is generally regarded as the most theoretically robust appraisal technique because it directly measures shareholder value creation.</w:t>
      </w:r>
    </w:p>
    <w:p w14:paraId="4CD06501" w14:textId="77777777" w:rsidR="00334BB7" w:rsidRPr="0010446F" w:rsidRDefault="00334BB7" w:rsidP="00334BB7">
      <w:pPr>
        <w:pStyle w:val="Heading2"/>
        <w:rPr>
          <w:rFonts w:ascii="Arial" w:hAnsi="Arial" w:cs="Arial"/>
          <w:szCs w:val="24"/>
        </w:rPr>
      </w:pPr>
      <w:bookmarkStart w:id="29" w:name="_Toc227165064"/>
      <w:r w:rsidRPr="0010446F">
        <w:rPr>
          <w:rFonts w:ascii="Arial" w:hAnsi="Arial" w:cs="Arial"/>
          <w:szCs w:val="24"/>
        </w:rPr>
        <w:t>5.2 Appraisal Results and Interpretation</w:t>
      </w:r>
      <w:bookmarkEnd w:id="29"/>
    </w:p>
    <w:tbl>
      <w:tblPr>
        <w:tblStyle w:val="GridTable4-Accent6"/>
        <w:tblW w:w="0" w:type="auto"/>
        <w:tblLook w:val="04A0" w:firstRow="1" w:lastRow="0" w:firstColumn="1" w:lastColumn="0" w:noHBand="0" w:noVBand="1"/>
      </w:tblPr>
      <w:tblGrid>
        <w:gridCol w:w="2230"/>
        <w:gridCol w:w="1351"/>
        <w:gridCol w:w="1351"/>
        <w:gridCol w:w="1351"/>
      </w:tblGrid>
      <w:tr w:rsidR="00334BB7" w:rsidRPr="0010446F" w14:paraId="63585935" w14:textId="77777777" w:rsidTr="00334BB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BFC07C" w14:textId="77777777" w:rsidR="00334BB7" w:rsidRPr="0010446F" w:rsidRDefault="00334BB7" w:rsidP="00334BB7">
            <w:pPr>
              <w:pStyle w:val="NoSpacing"/>
              <w:rPr>
                <w:rFonts w:ascii="Arial" w:hAnsi="Arial" w:cs="Arial"/>
                <w:lang w:val="en-US"/>
              </w:rPr>
            </w:pPr>
            <w:r w:rsidRPr="0010446F">
              <w:rPr>
                <w:rFonts w:ascii="Arial" w:hAnsi="Arial" w:cs="Arial"/>
                <w:lang w:val="en-US"/>
              </w:rPr>
              <w:t>Metric</w:t>
            </w:r>
          </w:p>
        </w:tc>
        <w:tc>
          <w:tcPr>
            <w:tcW w:w="0" w:type="auto"/>
            <w:hideMark/>
          </w:tcPr>
          <w:p w14:paraId="64484F2E" w14:textId="77777777" w:rsidR="00334BB7" w:rsidRPr="0010446F" w:rsidRDefault="00334BB7" w:rsidP="00334BB7">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10446F">
              <w:rPr>
                <w:rFonts w:ascii="Arial" w:hAnsi="Arial" w:cs="Arial"/>
                <w:lang w:val="en-US"/>
              </w:rPr>
              <w:t>Project A</w:t>
            </w:r>
          </w:p>
        </w:tc>
        <w:tc>
          <w:tcPr>
            <w:tcW w:w="0" w:type="auto"/>
            <w:hideMark/>
          </w:tcPr>
          <w:p w14:paraId="4512748C" w14:textId="77777777" w:rsidR="00334BB7" w:rsidRPr="0010446F" w:rsidRDefault="00334BB7" w:rsidP="00334BB7">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10446F">
              <w:rPr>
                <w:rFonts w:ascii="Arial" w:hAnsi="Arial" w:cs="Arial"/>
                <w:lang w:val="en-US"/>
              </w:rPr>
              <w:t>Project B</w:t>
            </w:r>
          </w:p>
        </w:tc>
        <w:tc>
          <w:tcPr>
            <w:tcW w:w="0" w:type="auto"/>
            <w:hideMark/>
          </w:tcPr>
          <w:p w14:paraId="700DFAB8" w14:textId="77777777" w:rsidR="00334BB7" w:rsidRPr="0010446F" w:rsidRDefault="00334BB7" w:rsidP="00334BB7">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10446F">
              <w:rPr>
                <w:rFonts w:ascii="Arial" w:hAnsi="Arial" w:cs="Arial"/>
                <w:lang w:val="en-US"/>
              </w:rPr>
              <w:t>Project C</w:t>
            </w:r>
          </w:p>
        </w:tc>
      </w:tr>
      <w:tr w:rsidR="00334BB7" w:rsidRPr="0010446F" w14:paraId="5211DD44" w14:textId="77777777" w:rsidTr="00334B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63238A" w14:textId="77777777" w:rsidR="00334BB7" w:rsidRPr="0010446F" w:rsidRDefault="00334BB7" w:rsidP="00334BB7">
            <w:pPr>
              <w:pStyle w:val="NoSpacing"/>
              <w:rPr>
                <w:rFonts w:ascii="Arial" w:hAnsi="Arial" w:cs="Arial"/>
                <w:lang w:val="en-US"/>
              </w:rPr>
            </w:pPr>
            <w:r w:rsidRPr="0010446F">
              <w:rPr>
                <w:rFonts w:ascii="Arial" w:hAnsi="Arial" w:cs="Arial"/>
                <w:lang w:val="en-US"/>
              </w:rPr>
              <w:t>Payback Period</w:t>
            </w:r>
          </w:p>
        </w:tc>
        <w:tc>
          <w:tcPr>
            <w:tcW w:w="0" w:type="auto"/>
            <w:hideMark/>
          </w:tcPr>
          <w:p w14:paraId="29574471" w14:textId="77777777" w:rsidR="00334BB7" w:rsidRPr="0010446F" w:rsidRDefault="00334BB7" w:rsidP="00334BB7">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10446F">
              <w:rPr>
                <w:rFonts w:ascii="Arial" w:hAnsi="Arial" w:cs="Arial"/>
                <w:lang w:val="en-US"/>
              </w:rPr>
              <w:t>4.50 Years</w:t>
            </w:r>
          </w:p>
        </w:tc>
        <w:tc>
          <w:tcPr>
            <w:tcW w:w="0" w:type="auto"/>
            <w:hideMark/>
          </w:tcPr>
          <w:p w14:paraId="13E97EB1" w14:textId="77777777" w:rsidR="00334BB7" w:rsidRPr="0010446F" w:rsidRDefault="00334BB7" w:rsidP="00334BB7">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10446F">
              <w:rPr>
                <w:rFonts w:ascii="Arial" w:hAnsi="Arial" w:cs="Arial"/>
                <w:lang w:val="en-US"/>
              </w:rPr>
              <w:t>4.55 Years</w:t>
            </w:r>
          </w:p>
        </w:tc>
        <w:tc>
          <w:tcPr>
            <w:tcW w:w="0" w:type="auto"/>
            <w:hideMark/>
          </w:tcPr>
          <w:p w14:paraId="7FAE0565" w14:textId="77777777" w:rsidR="00334BB7" w:rsidRPr="0010446F" w:rsidRDefault="00334BB7" w:rsidP="00334BB7">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10446F">
              <w:rPr>
                <w:rFonts w:ascii="Arial" w:hAnsi="Arial" w:cs="Arial"/>
                <w:lang w:val="en-US"/>
              </w:rPr>
              <w:t>4.00 Years</w:t>
            </w:r>
          </w:p>
        </w:tc>
      </w:tr>
      <w:tr w:rsidR="00334BB7" w:rsidRPr="0010446F" w14:paraId="0FBAD5A3" w14:textId="77777777" w:rsidTr="00334BB7">
        <w:tc>
          <w:tcPr>
            <w:cnfStyle w:val="001000000000" w:firstRow="0" w:lastRow="0" w:firstColumn="1" w:lastColumn="0" w:oddVBand="0" w:evenVBand="0" w:oddHBand="0" w:evenHBand="0" w:firstRowFirstColumn="0" w:firstRowLastColumn="0" w:lastRowFirstColumn="0" w:lastRowLastColumn="0"/>
            <w:tcW w:w="0" w:type="auto"/>
            <w:hideMark/>
          </w:tcPr>
          <w:p w14:paraId="126250FF" w14:textId="77777777" w:rsidR="00334BB7" w:rsidRPr="0010446F" w:rsidRDefault="00334BB7" w:rsidP="00334BB7">
            <w:pPr>
              <w:pStyle w:val="NoSpacing"/>
              <w:rPr>
                <w:rFonts w:ascii="Arial" w:hAnsi="Arial" w:cs="Arial"/>
                <w:lang w:val="en-US"/>
              </w:rPr>
            </w:pPr>
            <w:r w:rsidRPr="0010446F">
              <w:rPr>
                <w:rFonts w:ascii="Arial" w:hAnsi="Arial" w:cs="Arial"/>
                <w:lang w:val="en-US"/>
              </w:rPr>
              <w:t>ARR</w:t>
            </w:r>
          </w:p>
        </w:tc>
        <w:tc>
          <w:tcPr>
            <w:tcW w:w="0" w:type="auto"/>
            <w:hideMark/>
          </w:tcPr>
          <w:p w14:paraId="60CA1190" w14:textId="77777777" w:rsidR="00334BB7" w:rsidRPr="0010446F" w:rsidRDefault="00334BB7" w:rsidP="00334BB7">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10446F">
              <w:rPr>
                <w:rFonts w:ascii="Arial" w:hAnsi="Arial" w:cs="Arial"/>
                <w:lang w:val="en-US"/>
              </w:rPr>
              <w:t>1.60%</w:t>
            </w:r>
          </w:p>
        </w:tc>
        <w:tc>
          <w:tcPr>
            <w:tcW w:w="0" w:type="auto"/>
            <w:hideMark/>
          </w:tcPr>
          <w:p w14:paraId="4310B3BA" w14:textId="77777777" w:rsidR="00334BB7" w:rsidRPr="0010446F" w:rsidRDefault="00334BB7" w:rsidP="00334BB7">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10446F">
              <w:rPr>
                <w:rFonts w:ascii="Arial" w:hAnsi="Arial" w:cs="Arial"/>
                <w:lang w:val="en-US"/>
              </w:rPr>
              <w:t>2.00%</w:t>
            </w:r>
          </w:p>
        </w:tc>
        <w:tc>
          <w:tcPr>
            <w:tcW w:w="0" w:type="auto"/>
            <w:hideMark/>
          </w:tcPr>
          <w:p w14:paraId="72CBCE6B" w14:textId="77777777" w:rsidR="00334BB7" w:rsidRPr="0010446F" w:rsidRDefault="00334BB7" w:rsidP="00334BB7">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10446F">
              <w:rPr>
                <w:rFonts w:ascii="Arial" w:hAnsi="Arial" w:cs="Arial"/>
                <w:lang w:val="en-US"/>
              </w:rPr>
              <w:t>6.00%</w:t>
            </w:r>
          </w:p>
        </w:tc>
      </w:tr>
      <w:tr w:rsidR="00334BB7" w:rsidRPr="0010446F" w14:paraId="7F6456C0" w14:textId="77777777" w:rsidTr="00334B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A27DF3" w14:textId="77777777" w:rsidR="00334BB7" w:rsidRPr="0010446F" w:rsidRDefault="00334BB7" w:rsidP="00334BB7">
            <w:pPr>
              <w:pStyle w:val="NoSpacing"/>
              <w:rPr>
                <w:rFonts w:ascii="Arial" w:hAnsi="Arial" w:cs="Arial"/>
                <w:lang w:val="en-US"/>
              </w:rPr>
            </w:pPr>
            <w:r w:rsidRPr="0010446F">
              <w:rPr>
                <w:rFonts w:ascii="Arial" w:hAnsi="Arial" w:cs="Arial"/>
                <w:lang w:val="en-US"/>
              </w:rPr>
              <w:t>NPV (£m)</w:t>
            </w:r>
          </w:p>
        </w:tc>
        <w:tc>
          <w:tcPr>
            <w:tcW w:w="0" w:type="auto"/>
            <w:hideMark/>
          </w:tcPr>
          <w:p w14:paraId="2DC67B71" w14:textId="77777777" w:rsidR="00334BB7" w:rsidRPr="0010446F" w:rsidRDefault="00334BB7" w:rsidP="00334BB7">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10446F">
              <w:rPr>
                <w:rFonts w:ascii="Arial" w:hAnsi="Arial" w:cs="Arial"/>
                <w:lang w:val="en-US"/>
              </w:rPr>
              <w:t>-2.14</w:t>
            </w:r>
          </w:p>
        </w:tc>
        <w:tc>
          <w:tcPr>
            <w:tcW w:w="0" w:type="auto"/>
            <w:hideMark/>
          </w:tcPr>
          <w:p w14:paraId="327A5F51" w14:textId="77777777" w:rsidR="00334BB7" w:rsidRPr="0010446F" w:rsidRDefault="00334BB7" w:rsidP="00334BB7">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10446F">
              <w:rPr>
                <w:rFonts w:ascii="Arial" w:hAnsi="Arial" w:cs="Arial"/>
                <w:lang w:val="en-US"/>
              </w:rPr>
              <w:t>-8.30</w:t>
            </w:r>
          </w:p>
        </w:tc>
        <w:tc>
          <w:tcPr>
            <w:tcW w:w="0" w:type="auto"/>
            <w:hideMark/>
          </w:tcPr>
          <w:p w14:paraId="1BA761EC" w14:textId="77777777" w:rsidR="00334BB7" w:rsidRPr="0010446F" w:rsidRDefault="00334BB7" w:rsidP="00334BB7">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10446F">
              <w:rPr>
                <w:rFonts w:ascii="Arial" w:hAnsi="Arial" w:cs="Arial"/>
                <w:lang w:val="en-US"/>
              </w:rPr>
              <w:t>1.08</w:t>
            </w:r>
          </w:p>
        </w:tc>
      </w:tr>
      <w:tr w:rsidR="00334BB7" w:rsidRPr="0010446F" w14:paraId="12EB9013" w14:textId="77777777" w:rsidTr="00334BB7">
        <w:tc>
          <w:tcPr>
            <w:cnfStyle w:val="001000000000" w:firstRow="0" w:lastRow="0" w:firstColumn="1" w:lastColumn="0" w:oddVBand="0" w:evenVBand="0" w:oddHBand="0" w:evenHBand="0" w:firstRowFirstColumn="0" w:firstRowLastColumn="0" w:lastRowFirstColumn="0" w:lastRowLastColumn="0"/>
            <w:tcW w:w="0" w:type="auto"/>
            <w:hideMark/>
          </w:tcPr>
          <w:p w14:paraId="4760F08C" w14:textId="77777777" w:rsidR="00334BB7" w:rsidRPr="0010446F" w:rsidRDefault="00334BB7" w:rsidP="00334BB7">
            <w:pPr>
              <w:pStyle w:val="NoSpacing"/>
              <w:rPr>
                <w:rFonts w:ascii="Arial" w:hAnsi="Arial" w:cs="Arial"/>
                <w:lang w:val="en-US"/>
              </w:rPr>
            </w:pPr>
            <w:r w:rsidRPr="0010446F">
              <w:rPr>
                <w:rFonts w:ascii="Arial" w:hAnsi="Arial" w:cs="Arial"/>
                <w:lang w:val="en-US"/>
              </w:rPr>
              <w:t>Profitability Index</w:t>
            </w:r>
          </w:p>
        </w:tc>
        <w:tc>
          <w:tcPr>
            <w:tcW w:w="0" w:type="auto"/>
            <w:hideMark/>
          </w:tcPr>
          <w:p w14:paraId="6CF8FACE" w14:textId="77777777" w:rsidR="00334BB7" w:rsidRPr="0010446F" w:rsidRDefault="00334BB7" w:rsidP="00334BB7">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10446F">
              <w:rPr>
                <w:rFonts w:ascii="Arial" w:hAnsi="Arial" w:cs="Arial"/>
                <w:lang w:val="en-US"/>
              </w:rPr>
              <w:t>0.96</w:t>
            </w:r>
          </w:p>
        </w:tc>
        <w:tc>
          <w:tcPr>
            <w:tcW w:w="0" w:type="auto"/>
            <w:hideMark/>
          </w:tcPr>
          <w:p w14:paraId="26BAA9C6" w14:textId="77777777" w:rsidR="00334BB7" w:rsidRPr="0010446F" w:rsidRDefault="00334BB7" w:rsidP="00334BB7">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10446F">
              <w:rPr>
                <w:rFonts w:ascii="Arial" w:hAnsi="Arial" w:cs="Arial"/>
                <w:lang w:val="en-US"/>
              </w:rPr>
              <w:t>0.83</w:t>
            </w:r>
          </w:p>
        </w:tc>
        <w:tc>
          <w:tcPr>
            <w:tcW w:w="0" w:type="auto"/>
            <w:hideMark/>
          </w:tcPr>
          <w:p w14:paraId="620FCAFF" w14:textId="77777777" w:rsidR="00334BB7" w:rsidRPr="0010446F" w:rsidRDefault="00334BB7" w:rsidP="00334BB7">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10446F">
              <w:rPr>
                <w:rFonts w:ascii="Arial" w:hAnsi="Arial" w:cs="Arial"/>
                <w:lang w:val="en-US"/>
              </w:rPr>
              <w:t>1.02</w:t>
            </w:r>
          </w:p>
        </w:tc>
      </w:tr>
      <w:tr w:rsidR="00334BB7" w:rsidRPr="0010446F" w14:paraId="481EA3DD" w14:textId="77777777" w:rsidTr="00334B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02F0E8" w14:textId="77777777" w:rsidR="00334BB7" w:rsidRPr="0010446F" w:rsidRDefault="00334BB7" w:rsidP="00334BB7">
            <w:pPr>
              <w:pStyle w:val="NoSpacing"/>
              <w:rPr>
                <w:rFonts w:ascii="Arial" w:hAnsi="Arial" w:cs="Arial"/>
                <w:lang w:val="en-US"/>
              </w:rPr>
            </w:pPr>
            <w:r w:rsidRPr="0010446F">
              <w:rPr>
                <w:rFonts w:ascii="Arial" w:hAnsi="Arial" w:cs="Arial"/>
                <w:lang w:val="en-US"/>
              </w:rPr>
              <w:t>IRR</w:t>
            </w:r>
          </w:p>
        </w:tc>
        <w:tc>
          <w:tcPr>
            <w:tcW w:w="0" w:type="auto"/>
            <w:hideMark/>
          </w:tcPr>
          <w:p w14:paraId="75E0E379" w14:textId="77777777" w:rsidR="00334BB7" w:rsidRPr="0010446F" w:rsidRDefault="00334BB7" w:rsidP="00334BB7">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10446F">
              <w:rPr>
                <w:rFonts w:ascii="Arial" w:hAnsi="Arial" w:cs="Arial"/>
                <w:lang w:val="en-US"/>
              </w:rPr>
              <w:t>8.45%</w:t>
            </w:r>
          </w:p>
        </w:tc>
        <w:tc>
          <w:tcPr>
            <w:tcW w:w="0" w:type="auto"/>
            <w:hideMark/>
          </w:tcPr>
          <w:p w14:paraId="4F838813" w14:textId="77777777" w:rsidR="00334BB7" w:rsidRPr="0010446F" w:rsidRDefault="00334BB7" w:rsidP="00334BB7">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10446F">
              <w:rPr>
                <w:rFonts w:ascii="Arial" w:hAnsi="Arial" w:cs="Arial"/>
                <w:lang w:val="en-US"/>
              </w:rPr>
              <w:t>3.42%</w:t>
            </w:r>
          </w:p>
        </w:tc>
        <w:tc>
          <w:tcPr>
            <w:tcW w:w="0" w:type="auto"/>
            <w:hideMark/>
          </w:tcPr>
          <w:p w14:paraId="04082922" w14:textId="77777777" w:rsidR="00334BB7" w:rsidRPr="0010446F" w:rsidRDefault="00334BB7" w:rsidP="00334BB7">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10446F">
              <w:rPr>
                <w:rFonts w:ascii="Arial" w:hAnsi="Arial" w:cs="Arial"/>
                <w:lang w:val="en-US"/>
              </w:rPr>
              <w:t>10.69%</w:t>
            </w:r>
          </w:p>
        </w:tc>
      </w:tr>
    </w:tbl>
    <w:p w14:paraId="5A813D0F" w14:textId="77777777" w:rsidR="00334BB7" w:rsidRPr="0010446F" w:rsidRDefault="00334BB7" w:rsidP="00334BB7">
      <w:pPr>
        <w:rPr>
          <w:rFonts w:ascii="Arial" w:hAnsi="Arial" w:cs="Arial"/>
          <w:lang w:val="en-US"/>
        </w:rPr>
      </w:pPr>
    </w:p>
    <w:p w14:paraId="2B10583E" w14:textId="77777777" w:rsidR="00334BB7" w:rsidRPr="0010446F" w:rsidRDefault="00334BB7" w:rsidP="00334BB7">
      <w:pPr>
        <w:rPr>
          <w:rFonts w:ascii="Arial" w:hAnsi="Arial" w:cs="Arial"/>
          <w:lang w:val="en-US"/>
        </w:rPr>
      </w:pPr>
      <w:r w:rsidRPr="0010446F">
        <w:rPr>
          <w:rFonts w:ascii="Arial" w:hAnsi="Arial" w:cs="Arial"/>
          <w:lang w:val="en-US"/>
        </w:rPr>
        <w:t>The investment appraisal results indicate clear variation in financial attractiveness across the three proposed projects. Project C performs strongest overall and ranks highest under the majority of appraisal techniques. It achieves the shortest payback period of 4.00 years, indicating that it recovers the initial investment more rapidly than competing alternatives and therefore presents lower liquidity risk. Its ARR of 6.00% also substantially exceeds that of Projects A and B, demonstrating superior accounting profitability.</w:t>
      </w:r>
    </w:p>
    <w:p w14:paraId="2D161CAA" w14:textId="77777777" w:rsidR="00334BB7" w:rsidRPr="0010446F" w:rsidRDefault="00334BB7" w:rsidP="00334BB7">
      <w:pPr>
        <w:rPr>
          <w:rFonts w:ascii="Arial" w:hAnsi="Arial" w:cs="Arial"/>
          <w:lang w:val="en-US"/>
        </w:rPr>
      </w:pPr>
      <w:r w:rsidRPr="0010446F">
        <w:rPr>
          <w:rFonts w:ascii="Arial" w:hAnsi="Arial" w:cs="Arial"/>
          <w:lang w:val="en-US"/>
        </w:rPr>
        <w:t>Most importantly, Project C is the only project generating a positive NPV of £1.08 million, indicating that it is expected to create shareholder value after accounting for the 10% cost of capital. Similarly, its profitability index of 1.02 confirms that the present value of future cash inflows exceeds the initial investment, reinforcing its financial viability.</w:t>
      </w:r>
    </w:p>
    <w:p w14:paraId="44566CF1" w14:textId="77777777" w:rsidR="00334BB7" w:rsidRPr="0010446F" w:rsidRDefault="00334BB7" w:rsidP="00334BB7">
      <w:pPr>
        <w:rPr>
          <w:rFonts w:ascii="Arial" w:hAnsi="Arial" w:cs="Arial"/>
          <w:lang w:val="en-US"/>
        </w:rPr>
      </w:pPr>
      <w:r w:rsidRPr="0010446F">
        <w:rPr>
          <w:rFonts w:ascii="Arial" w:hAnsi="Arial" w:cs="Arial"/>
          <w:lang w:val="en-US"/>
        </w:rPr>
        <w:t xml:space="preserve">Project A produces mixed results. Although </w:t>
      </w:r>
      <w:proofErr w:type="spellStart"/>
      <w:r w:rsidRPr="0010446F">
        <w:rPr>
          <w:rFonts w:ascii="Arial" w:hAnsi="Arial" w:cs="Arial"/>
          <w:lang w:val="en-US"/>
        </w:rPr>
        <w:t>its</w:t>
      </w:r>
      <w:proofErr w:type="spellEnd"/>
      <w:r w:rsidRPr="0010446F">
        <w:rPr>
          <w:rFonts w:ascii="Arial" w:hAnsi="Arial" w:cs="Arial"/>
          <w:lang w:val="en-US"/>
        </w:rPr>
        <w:t xml:space="preserve"> payback period and IRR are moderately acceptable, its negative NPV of £2.14 million indicates that the project would reduce shareholder wealth if undertaken. Project B performs weakest across nearly all appraisal measures, with the lowest IRR, lowest PI, and most negative NPV.</w:t>
      </w:r>
    </w:p>
    <w:p w14:paraId="429E2275" w14:textId="77777777" w:rsidR="00334BB7" w:rsidRPr="0010446F" w:rsidRDefault="00334BB7" w:rsidP="00334BB7">
      <w:pPr>
        <w:rPr>
          <w:rFonts w:ascii="Arial" w:hAnsi="Arial" w:cs="Arial"/>
          <w:lang w:val="en-US"/>
        </w:rPr>
      </w:pPr>
      <w:r w:rsidRPr="0010446F">
        <w:rPr>
          <w:rFonts w:ascii="Arial" w:hAnsi="Arial" w:cs="Arial"/>
          <w:lang w:val="en-US"/>
        </w:rPr>
        <w:t xml:space="preserve">Some contradictions between methods are evident. For example, Project A’s IRR of 8.45% appears stronger than Project B’s 3.42%; however, both projects generate negative NPVs. This demonstrates the limitation of relying solely on percentage-based or </w:t>
      </w:r>
      <w:r w:rsidRPr="0010446F">
        <w:rPr>
          <w:rFonts w:ascii="Arial" w:hAnsi="Arial" w:cs="Arial"/>
          <w:lang w:val="en-US"/>
        </w:rPr>
        <w:lastRenderedPageBreak/>
        <w:t xml:space="preserve">liquidity-focused appraisal methods. Payback and ARR may </w:t>
      </w:r>
      <w:proofErr w:type="spellStart"/>
      <w:r w:rsidRPr="0010446F">
        <w:rPr>
          <w:rFonts w:ascii="Arial" w:hAnsi="Arial" w:cs="Arial"/>
          <w:lang w:val="en-US"/>
        </w:rPr>
        <w:t>favour</w:t>
      </w:r>
      <w:proofErr w:type="spellEnd"/>
      <w:r w:rsidRPr="0010446F">
        <w:rPr>
          <w:rFonts w:ascii="Arial" w:hAnsi="Arial" w:cs="Arial"/>
          <w:lang w:val="en-US"/>
        </w:rPr>
        <w:t xml:space="preserve"> projects with early or accounting-based returns, but they fail to capture total value creation.</w:t>
      </w:r>
    </w:p>
    <w:p w14:paraId="479CB23A" w14:textId="77777777" w:rsidR="00334BB7" w:rsidRPr="0010446F" w:rsidRDefault="00334BB7" w:rsidP="00334BB7">
      <w:pPr>
        <w:rPr>
          <w:rFonts w:ascii="Arial" w:hAnsi="Arial" w:cs="Arial"/>
          <w:lang w:val="en-US"/>
        </w:rPr>
      </w:pPr>
      <w:r w:rsidRPr="0010446F">
        <w:rPr>
          <w:rFonts w:ascii="Arial" w:hAnsi="Arial" w:cs="Arial"/>
          <w:lang w:val="en-US"/>
        </w:rPr>
        <w:t xml:space="preserve">Consequently, NPV should be </w:t>
      </w:r>
      <w:proofErr w:type="spellStart"/>
      <w:r w:rsidRPr="0010446F">
        <w:rPr>
          <w:rFonts w:ascii="Arial" w:hAnsi="Arial" w:cs="Arial"/>
          <w:lang w:val="en-US"/>
        </w:rPr>
        <w:t>prioritised</w:t>
      </w:r>
      <w:proofErr w:type="spellEnd"/>
      <w:r w:rsidRPr="0010446F">
        <w:rPr>
          <w:rFonts w:ascii="Arial" w:hAnsi="Arial" w:cs="Arial"/>
          <w:lang w:val="en-US"/>
        </w:rPr>
        <w:t xml:space="preserve"> in final decision-making because it directly measures the expected increase or decrease in shareholder wealth and incorporates the time value of money. As such, Project C is financially superior under the most theoretically sound investment criterion.</w:t>
      </w:r>
    </w:p>
    <w:p w14:paraId="616E3F19" w14:textId="77777777" w:rsidR="00334BB7" w:rsidRPr="0010446F" w:rsidRDefault="00334BB7" w:rsidP="00334BB7">
      <w:pPr>
        <w:pStyle w:val="Heading2"/>
        <w:rPr>
          <w:rFonts w:ascii="Arial" w:hAnsi="Arial" w:cs="Arial"/>
          <w:szCs w:val="24"/>
        </w:rPr>
      </w:pPr>
      <w:bookmarkStart w:id="30" w:name="_Toc227165065"/>
      <w:r w:rsidRPr="0010446F">
        <w:rPr>
          <w:rFonts w:ascii="Arial" w:hAnsi="Arial" w:cs="Arial"/>
          <w:szCs w:val="24"/>
        </w:rPr>
        <w:t>5.3 Recommended Single Project</w:t>
      </w:r>
      <w:bookmarkEnd w:id="30"/>
    </w:p>
    <w:p w14:paraId="5D778EBA" w14:textId="77777777" w:rsidR="00334BB7" w:rsidRPr="0010446F" w:rsidRDefault="00334BB7" w:rsidP="00334BB7">
      <w:pPr>
        <w:rPr>
          <w:rFonts w:ascii="Arial" w:hAnsi="Arial" w:cs="Arial"/>
          <w:lang w:val="en-US"/>
        </w:rPr>
      </w:pPr>
      <w:r w:rsidRPr="0010446F">
        <w:rPr>
          <w:rFonts w:ascii="Arial" w:hAnsi="Arial" w:cs="Arial"/>
          <w:lang w:val="en-US"/>
        </w:rPr>
        <w:t xml:space="preserve">Based on the investment appraisal analysis, </w:t>
      </w:r>
      <w:r w:rsidRPr="0010446F">
        <w:rPr>
          <w:rFonts w:ascii="Arial" w:hAnsi="Arial" w:cs="Arial"/>
          <w:b/>
          <w:bCs/>
          <w:lang w:val="en-US"/>
        </w:rPr>
        <w:t>Project C is the most financially viable investment option and should be recommended for implementation</w:t>
      </w:r>
      <w:r w:rsidRPr="0010446F">
        <w:rPr>
          <w:rFonts w:ascii="Arial" w:hAnsi="Arial" w:cs="Arial"/>
          <w:lang w:val="en-US"/>
        </w:rPr>
        <w:t>.</w:t>
      </w:r>
    </w:p>
    <w:p w14:paraId="4EAB5DF2" w14:textId="77777777" w:rsidR="00334BB7" w:rsidRPr="0010446F" w:rsidRDefault="00334BB7" w:rsidP="00334BB7">
      <w:pPr>
        <w:rPr>
          <w:rFonts w:ascii="Arial" w:hAnsi="Arial" w:cs="Arial"/>
          <w:lang w:val="en-US"/>
        </w:rPr>
      </w:pPr>
      <w:r w:rsidRPr="0010446F">
        <w:rPr>
          <w:rFonts w:ascii="Arial" w:hAnsi="Arial" w:cs="Arial"/>
          <w:lang w:val="en-US"/>
        </w:rPr>
        <w:t>Project C is the only proposal generating a positive NPV, which indicates that it is expected to create value for shareholders after recovering the cost of capital. Since NPV directly measures wealth creation, this is the most significant determinant in capital budgeting decisions. By contrast, Projects A and B both generate negative NPVs and therefore would reduce shareholder value if accepted.</w:t>
      </w:r>
    </w:p>
    <w:p w14:paraId="1F3FE7BB" w14:textId="77777777" w:rsidR="00334BB7" w:rsidRPr="0010446F" w:rsidRDefault="00334BB7" w:rsidP="00334BB7">
      <w:pPr>
        <w:rPr>
          <w:rFonts w:ascii="Arial" w:hAnsi="Arial" w:cs="Arial"/>
          <w:lang w:val="en-US"/>
        </w:rPr>
      </w:pPr>
      <w:r w:rsidRPr="0010446F">
        <w:rPr>
          <w:rFonts w:ascii="Arial" w:hAnsi="Arial" w:cs="Arial"/>
          <w:lang w:val="en-US"/>
        </w:rPr>
        <w:t>In addition to its superior NPV, Project C delivers the highest IRR at 10.69%, exceeding the company’s required 10% discount rate. This indicates that the project generates returns above Toyota’s hurdle rate and is financially attractive on a percentage-return basis. Project C also achieves the fastest payback period of 4.00 years, improving investment liquidity and reducing exposure to long-term uncertainty.</w:t>
      </w:r>
    </w:p>
    <w:p w14:paraId="71A9AA1A" w14:textId="77777777" w:rsidR="00334BB7" w:rsidRPr="0010446F" w:rsidRDefault="00334BB7" w:rsidP="00334BB7">
      <w:pPr>
        <w:rPr>
          <w:rFonts w:ascii="Arial" w:hAnsi="Arial" w:cs="Arial"/>
          <w:lang w:val="en-US"/>
        </w:rPr>
      </w:pPr>
      <w:r w:rsidRPr="0010446F">
        <w:rPr>
          <w:rFonts w:ascii="Arial" w:hAnsi="Arial" w:cs="Arial"/>
          <w:lang w:val="en-US"/>
        </w:rPr>
        <w:t>From a strategic perspective, Toyota’s strong liquidity and conservative gearing position suggest that the company possesses sufficient financial capacity to undertake Project C without placing undue pressure on solvency or liquidity. Toyota’s stable profitability, low leverage, and robust balance sheet further support its ability to finance the investment internally or through low-cost borrowing if required.</w:t>
      </w:r>
    </w:p>
    <w:p w14:paraId="14EF97FE" w14:textId="77777777" w:rsidR="00334BB7" w:rsidRPr="0010446F" w:rsidRDefault="00334BB7" w:rsidP="00334BB7">
      <w:pPr>
        <w:rPr>
          <w:rFonts w:ascii="Arial" w:hAnsi="Arial" w:cs="Arial"/>
          <w:lang w:val="en-US"/>
        </w:rPr>
      </w:pPr>
      <w:r w:rsidRPr="0010446F">
        <w:rPr>
          <w:rFonts w:ascii="Arial" w:hAnsi="Arial" w:cs="Arial"/>
          <w:lang w:val="en-US"/>
        </w:rPr>
        <w:t xml:space="preserve">Moreover, selecting the strongest positive-NPV project aligns with shareholder wealth </w:t>
      </w:r>
      <w:proofErr w:type="spellStart"/>
      <w:r w:rsidRPr="0010446F">
        <w:rPr>
          <w:rFonts w:ascii="Arial" w:hAnsi="Arial" w:cs="Arial"/>
          <w:lang w:val="en-US"/>
        </w:rPr>
        <w:t>maximisation</w:t>
      </w:r>
      <w:proofErr w:type="spellEnd"/>
      <w:r w:rsidRPr="0010446F">
        <w:rPr>
          <w:rFonts w:ascii="Arial" w:hAnsi="Arial" w:cs="Arial"/>
          <w:lang w:val="en-US"/>
        </w:rPr>
        <w:t xml:space="preserve"> principles and demonstrates disciplined capital allocation. Given the highly capital-intensive and rapidly evolving EV market, Toyota must allocate resources only to investments capable of generating positive long-term financial returns.</w:t>
      </w:r>
    </w:p>
    <w:p w14:paraId="46A69828" w14:textId="77777777" w:rsidR="00334BB7" w:rsidRPr="0010446F" w:rsidRDefault="00334BB7" w:rsidP="00334BB7">
      <w:pPr>
        <w:rPr>
          <w:rFonts w:ascii="Arial" w:hAnsi="Arial" w:cs="Arial"/>
          <w:lang w:val="en-US"/>
        </w:rPr>
      </w:pPr>
      <w:r w:rsidRPr="0010446F">
        <w:rPr>
          <w:rFonts w:ascii="Arial" w:hAnsi="Arial" w:cs="Arial"/>
          <w:lang w:val="en-US"/>
        </w:rPr>
        <w:lastRenderedPageBreak/>
        <w:t>Therefore, based on financial appraisal and strategic alignment considerations, Project C represents the most appropriate standalone investment decision for Toyota.</w:t>
      </w:r>
    </w:p>
    <w:p w14:paraId="002808CF" w14:textId="77777777" w:rsidR="00334BB7" w:rsidRPr="0010446F" w:rsidRDefault="00334BB7" w:rsidP="00334BB7">
      <w:pPr>
        <w:pStyle w:val="Heading2"/>
        <w:rPr>
          <w:rFonts w:ascii="Arial" w:hAnsi="Arial" w:cs="Arial"/>
          <w:szCs w:val="24"/>
        </w:rPr>
      </w:pPr>
      <w:bookmarkStart w:id="31" w:name="_Toc227165066"/>
      <w:r w:rsidRPr="0010446F">
        <w:rPr>
          <w:rFonts w:ascii="Arial" w:hAnsi="Arial" w:cs="Arial"/>
          <w:szCs w:val="24"/>
        </w:rPr>
        <w:t>5.4 Non-Financial Risk Assessment</w:t>
      </w:r>
      <w:bookmarkEnd w:id="31"/>
    </w:p>
    <w:p w14:paraId="1AE68B40" w14:textId="77777777" w:rsidR="00334BB7" w:rsidRPr="0010446F" w:rsidRDefault="00334BB7" w:rsidP="00334BB7">
      <w:pPr>
        <w:rPr>
          <w:rFonts w:ascii="Arial" w:hAnsi="Arial" w:cs="Arial"/>
          <w:lang w:val="en-US"/>
        </w:rPr>
      </w:pPr>
      <w:r w:rsidRPr="0010446F">
        <w:rPr>
          <w:rFonts w:ascii="Arial" w:hAnsi="Arial" w:cs="Arial"/>
          <w:lang w:val="en-US"/>
        </w:rPr>
        <w:t>Although Project C is financially superior, non-financial risks must also be considered before final approval.</w:t>
      </w:r>
    </w:p>
    <w:p w14:paraId="1978C383" w14:textId="77777777" w:rsidR="00334BB7" w:rsidRPr="0010446F" w:rsidRDefault="00334BB7" w:rsidP="00334BB7">
      <w:pPr>
        <w:rPr>
          <w:rFonts w:ascii="Arial" w:hAnsi="Arial" w:cs="Arial"/>
          <w:lang w:val="en-US"/>
        </w:rPr>
      </w:pPr>
      <w:r w:rsidRPr="0010446F">
        <w:rPr>
          <w:rFonts w:ascii="Arial" w:hAnsi="Arial" w:cs="Arial"/>
          <w:lang w:val="en-US"/>
        </w:rPr>
        <w:t xml:space="preserve">One key risk is </w:t>
      </w:r>
      <w:r w:rsidRPr="0010446F">
        <w:rPr>
          <w:rFonts w:ascii="Arial" w:hAnsi="Arial" w:cs="Arial"/>
          <w:b/>
          <w:bCs/>
          <w:lang w:val="en-US"/>
        </w:rPr>
        <w:t>political and regulatory risk</w:t>
      </w:r>
      <w:r w:rsidRPr="0010446F">
        <w:rPr>
          <w:rFonts w:ascii="Arial" w:hAnsi="Arial" w:cs="Arial"/>
          <w:lang w:val="en-US"/>
        </w:rPr>
        <w:t>, particularly if the project involves international EV expansion or battery production. Government policy changes, tariffs, trade restrictions, and local regulatory frameworks may affect project profitability and implementation feasibility.</w:t>
      </w:r>
    </w:p>
    <w:p w14:paraId="48F12F5D" w14:textId="77777777" w:rsidR="00334BB7" w:rsidRPr="0010446F" w:rsidRDefault="00334BB7" w:rsidP="00334BB7">
      <w:pPr>
        <w:rPr>
          <w:rFonts w:ascii="Arial" w:hAnsi="Arial" w:cs="Arial"/>
          <w:lang w:val="en-US"/>
        </w:rPr>
      </w:pPr>
      <w:r w:rsidRPr="0010446F">
        <w:rPr>
          <w:rFonts w:ascii="Arial" w:hAnsi="Arial" w:cs="Arial"/>
          <w:b/>
          <w:bCs/>
          <w:lang w:val="en-US"/>
        </w:rPr>
        <w:t>Technology risk</w:t>
      </w:r>
      <w:r w:rsidRPr="0010446F">
        <w:rPr>
          <w:rFonts w:ascii="Arial" w:hAnsi="Arial" w:cs="Arial"/>
          <w:lang w:val="en-US"/>
        </w:rPr>
        <w:t xml:space="preserve"> is particularly significant in the EV sector due to the rapid pace of battery innovation, autonomous driving advancements, and digital mobility disruption</w:t>
      </w:r>
      <w:r w:rsidR="00241F26" w:rsidRPr="0010446F">
        <w:rPr>
          <w:rFonts w:ascii="Arial" w:hAnsi="Arial" w:cs="Arial"/>
          <w:lang w:val="en-US"/>
        </w:rPr>
        <w:t xml:space="preserve"> (</w:t>
      </w:r>
      <w:r w:rsidR="00241F26" w:rsidRPr="0010446F">
        <w:rPr>
          <w:rFonts w:ascii="Arial" w:hAnsi="Arial" w:cs="Arial"/>
        </w:rPr>
        <w:t>Rehan, 2024</w:t>
      </w:r>
      <w:r w:rsidR="00241F26" w:rsidRPr="0010446F">
        <w:rPr>
          <w:rFonts w:ascii="Arial" w:hAnsi="Arial" w:cs="Arial"/>
          <w:lang w:val="en-US"/>
        </w:rPr>
        <w:t>)</w:t>
      </w:r>
      <w:r w:rsidRPr="0010446F">
        <w:rPr>
          <w:rFonts w:ascii="Arial" w:hAnsi="Arial" w:cs="Arial"/>
          <w:lang w:val="en-US"/>
        </w:rPr>
        <w:t xml:space="preserve">. Investments may become technologically obsolete before full returns are </w:t>
      </w:r>
      <w:proofErr w:type="spellStart"/>
      <w:r w:rsidRPr="0010446F">
        <w:rPr>
          <w:rFonts w:ascii="Arial" w:hAnsi="Arial" w:cs="Arial"/>
          <w:lang w:val="en-US"/>
        </w:rPr>
        <w:t>realised</w:t>
      </w:r>
      <w:proofErr w:type="spellEnd"/>
      <w:r w:rsidRPr="0010446F">
        <w:rPr>
          <w:rFonts w:ascii="Arial" w:hAnsi="Arial" w:cs="Arial"/>
          <w:lang w:val="en-US"/>
        </w:rPr>
        <w:t>, particularly in long-term projects.</w:t>
      </w:r>
    </w:p>
    <w:p w14:paraId="67B2D428" w14:textId="77777777" w:rsidR="00334BB7" w:rsidRPr="0010446F" w:rsidRDefault="00334BB7" w:rsidP="00334BB7">
      <w:pPr>
        <w:rPr>
          <w:rFonts w:ascii="Arial" w:hAnsi="Arial" w:cs="Arial"/>
          <w:lang w:val="en-US"/>
        </w:rPr>
      </w:pPr>
      <w:r w:rsidRPr="0010446F">
        <w:rPr>
          <w:rFonts w:ascii="Arial" w:hAnsi="Arial" w:cs="Arial"/>
          <w:b/>
          <w:bCs/>
          <w:lang w:val="en-US"/>
        </w:rPr>
        <w:t>Customer loyalty and demand uncertainty</w:t>
      </w:r>
      <w:r w:rsidRPr="0010446F">
        <w:rPr>
          <w:rFonts w:ascii="Arial" w:hAnsi="Arial" w:cs="Arial"/>
          <w:lang w:val="en-US"/>
        </w:rPr>
        <w:t xml:space="preserve"> also present risk. Consumer preferences within the EV market are evolving rapidly, and failure to align product offerings with market demand could reduce expected returns.</w:t>
      </w:r>
    </w:p>
    <w:p w14:paraId="5281E669" w14:textId="77777777" w:rsidR="00334BB7" w:rsidRPr="0010446F" w:rsidRDefault="00334BB7" w:rsidP="00334BB7">
      <w:pPr>
        <w:rPr>
          <w:rFonts w:ascii="Arial" w:hAnsi="Arial" w:cs="Arial"/>
          <w:lang w:val="en-US"/>
        </w:rPr>
      </w:pPr>
      <w:r w:rsidRPr="0010446F">
        <w:rPr>
          <w:rFonts w:ascii="Arial" w:hAnsi="Arial" w:cs="Arial"/>
          <w:b/>
          <w:bCs/>
          <w:lang w:val="en-US"/>
        </w:rPr>
        <w:t>Competitive pressure</w:t>
      </w:r>
      <w:r w:rsidRPr="0010446F">
        <w:rPr>
          <w:rFonts w:ascii="Arial" w:hAnsi="Arial" w:cs="Arial"/>
          <w:lang w:val="en-US"/>
        </w:rPr>
        <w:t xml:space="preserve"> from established and emerging EV manufacturers such as Tesla, BYD, and Volkswagen may reduce Toyota’s projected market share, pricing power, and profitability associated with the investment.</w:t>
      </w:r>
    </w:p>
    <w:p w14:paraId="5C7128DA" w14:textId="77777777" w:rsidR="00334BB7" w:rsidRPr="0010446F" w:rsidRDefault="00334BB7" w:rsidP="00334BB7">
      <w:pPr>
        <w:rPr>
          <w:rFonts w:ascii="Arial" w:hAnsi="Arial" w:cs="Arial"/>
          <w:lang w:val="en-US"/>
        </w:rPr>
      </w:pPr>
      <w:r w:rsidRPr="0010446F">
        <w:rPr>
          <w:rFonts w:ascii="Arial" w:hAnsi="Arial" w:cs="Arial"/>
          <w:lang w:val="en-US"/>
        </w:rPr>
        <w:t xml:space="preserve">Additionally, </w:t>
      </w:r>
      <w:r w:rsidRPr="0010446F">
        <w:rPr>
          <w:rFonts w:ascii="Arial" w:hAnsi="Arial" w:cs="Arial"/>
          <w:b/>
          <w:bCs/>
          <w:lang w:val="en-US"/>
        </w:rPr>
        <w:t>supply chain risk</w:t>
      </w:r>
      <w:r w:rsidRPr="0010446F">
        <w:rPr>
          <w:rFonts w:ascii="Arial" w:hAnsi="Arial" w:cs="Arial"/>
          <w:lang w:val="en-US"/>
        </w:rPr>
        <w:t xml:space="preserve"> remains material given Toyota’s dependence on global semiconductor, battery, and raw material supply networks</w:t>
      </w:r>
      <w:r w:rsidR="00C33A60" w:rsidRPr="0010446F">
        <w:rPr>
          <w:rFonts w:ascii="Arial" w:hAnsi="Arial" w:cs="Arial"/>
          <w:lang w:val="en-US"/>
        </w:rPr>
        <w:t xml:space="preserve"> (</w:t>
      </w:r>
      <w:r w:rsidR="00C33A60" w:rsidRPr="0010446F">
        <w:rPr>
          <w:rFonts w:ascii="Arial" w:hAnsi="Arial" w:cs="Arial"/>
        </w:rPr>
        <w:t>Xu, 2024</w:t>
      </w:r>
      <w:r w:rsidR="00C33A60" w:rsidRPr="0010446F">
        <w:rPr>
          <w:rFonts w:ascii="Arial" w:hAnsi="Arial" w:cs="Arial"/>
          <w:lang w:val="en-US"/>
        </w:rPr>
        <w:t>)</w:t>
      </w:r>
      <w:r w:rsidRPr="0010446F">
        <w:rPr>
          <w:rFonts w:ascii="Arial" w:hAnsi="Arial" w:cs="Arial"/>
          <w:lang w:val="en-US"/>
        </w:rPr>
        <w:t>. Disruptions could delay implementation and increase project costs.</w:t>
      </w:r>
    </w:p>
    <w:p w14:paraId="7C3923CF" w14:textId="77777777" w:rsidR="00334BB7" w:rsidRPr="0010446F" w:rsidRDefault="00334BB7" w:rsidP="00334BB7">
      <w:pPr>
        <w:rPr>
          <w:rFonts w:ascii="Arial" w:hAnsi="Arial" w:cs="Arial"/>
          <w:lang w:val="en-US"/>
        </w:rPr>
      </w:pPr>
      <w:r w:rsidRPr="0010446F">
        <w:rPr>
          <w:rFonts w:ascii="Arial" w:hAnsi="Arial" w:cs="Arial"/>
          <w:lang w:val="en-US"/>
        </w:rPr>
        <w:t xml:space="preserve">Finally, </w:t>
      </w:r>
      <w:r w:rsidRPr="0010446F">
        <w:rPr>
          <w:rFonts w:ascii="Arial" w:hAnsi="Arial" w:cs="Arial"/>
          <w:b/>
          <w:bCs/>
          <w:lang w:val="en-US"/>
        </w:rPr>
        <w:t>sustainability and ESG expectations</w:t>
      </w:r>
      <w:r w:rsidRPr="0010446F">
        <w:rPr>
          <w:rFonts w:ascii="Arial" w:hAnsi="Arial" w:cs="Arial"/>
          <w:lang w:val="en-US"/>
        </w:rPr>
        <w:t xml:space="preserve"> are increasingly influencing stakeholder perceptions. Projects must align with environmental objectives and Toyota’s sustainability commitments to avoid reputational damage and regulatory scrutiny.</w:t>
      </w:r>
    </w:p>
    <w:p w14:paraId="371FBCA1" w14:textId="77777777" w:rsidR="00334BB7" w:rsidRPr="0010446F" w:rsidRDefault="00334BB7" w:rsidP="00334BB7">
      <w:pPr>
        <w:rPr>
          <w:rFonts w:ascii="Arial" w:hAnsi="Arial" w:cs="Arial"/>
          <w:lang w:val="en-US"/>
        </w:rPr>
      </w:pPr>
      <w:r w:rsidRPr="0010446F">
        <w:rPr>
          <w:rFonts w:ascii="Arial" w:hAnsi="Arial" w:cs="Arial"/>
          <w:lang w:val="en-US"/>
        </w:rPr>
        <w:t>Therefore, while Project C is financially attractive, Toyota must implement robust risk management and strategic oversight mechanisms to mitigate these non-financial threats.</w:t>
      </w:r>
    </w:p>
    <w:p w14:paraId="57942CDA" w14:textId="77777777" w:rsidR="00334BB7" w:rsidRPr="0010446F" w:rsidRDefault="00334BB7" w:rsidP="00334BB7">
      <w:pPr>
        <w:pStyle w:val="Heading2"/>
        <w:rPr>
          <w:rFonts w:ascii="Arial" w:hAnsi="Arial" w:cs="Arial"/>
          <w:szCs w:val="24"/>
        </w:rPr>
      </w:pPr>
      <w:bookmarkStart w:id="32" w:name="_Toc227165067"/>
      <w:r w:rsidRPr="0010446F">
        <w:rPr>
          <w:rFonts w:ascii="Arial" w:hAnsi="Arial" w:cs="Arial"/>
          <w:szCs w:val="24"/>
        </w:rPr>
        <w:lastRenderedPageBreak/>
        <w:t>5.5 Capital Rationing Analysis</w:t>
      </w:r>
      <w:bookmarkEnd w:id="32"/>
    </w:p>
    <w:p w14:paraId="6A898228" w14:textId="77777777" w:rsidR="00334BB7" w:rsidRPr="0010446F" w:rsidRDefault="00334BB7" w:rsidP="00334BB7">
      <w:pPr>
        <w:rPr>
          <w:rFonts w:ascii="Arial" w:hAnsi="Arial" w:cs="Arial"/>
          <w:lang w:val="en-US"/>
        </w:rPr>
      </w:pPr>
      <w:r w:rsidRPr="0010446F">
        <w:rPr>
          <w:rFonts w:ascii="Arial" w:hAnsi="Arial" w:cs="Arial"/>
          <w:lang w:val="en-US"/>
        </w:rPr>
        <w:t xml:space="preserve">Where capital availability is constrained to </w:t>
      </w:r>
      <w:r w:rsidRPr="0010446F">
        <w:rPr>
          <w:rFonts w:ascii="Arial" w:hAnsi="Arial" w:cs="Arial"/>
          <w:b/>
          <w:bCs/>
          <w:lang w:val="en-US"/>
        </w:rPr>
        <w:t>£100 million</w:t>
      </w:r>
      <w:r w:rsidRPr="0010446F">
        <w:rPr>
          <w:rFonts w:ascii="Arial" w:hAnsi="Arial" w:cs="Arial"/>
          <w:lang w:val="en-US"/>
        </w:rPr>
        <w:t>, Toyota cannot undertake all three projects simultaneously and must apply capital rationing to determine the optimal investment combination.</w:t>
      </w:r>
    </w:p>
    <w:tbl>
      <w:tblPr>
        <w:tblStyle w:val="PlainTable1"/>
        <w:tblW w:w="0" w:type="auto"/>
        <w:jc w:val="center"/>
        <w:tblLook w:val="04A0" w:firstRow="1" w:lastRow="0" w:firstColumn="1" w:lastColumn="0" w:noHBand="0" w:noVBand="1"/>
      </w:tblPr>
      <w:tblGrid>
        <w:gridCol w:w="2563"/>
        <w:gridCol w:w="2679"/>
        <w:gridCol w:w="2523"/>
        <w:gridCol w:w="803"/>
      </w:tblGrid>
      <w:tr w:rsidR="00334BB7" w:rsidRPr="0010446F" w14:paraId="3486F1EF" w14:textId="77777777" w:rsidTr="00334BB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8532601" w14:textId="77777777" w:rsidR="00334BB7" w:rsidRPr="0010446F" w:rsidRDefault="00334BB7" w:rsidP="00334BB7">
            <w:pPr>
              <w:pStyle w:val="NoSpacing"/>
              <w:rPr>
                <w:rFonts w:ascii="Arial" w:hAnsi="Arial" w:cs="Arial"/>
                <w:lang w:val="en-US"/>
              </w:rPr>
            </w:pPr>
            <w:r w:rsidRPr="0010446F">
              <w:rPr>
                <w:rFonts w:ascii="Arial" w:hAnsi="Arial" w:cs="Arial"/>
                <w:lang w:val="en-US"/>
              </w:rPr>
              <w:t>Project Combination</w:t>
            </w:r>
          </w:p>
        </w:tc>
        <w:tc>
          <w:tcPr>
            <w:tcW w:w="0" w:type="auto"/>
            <w:hideMark/>
          </w:tcPr>
          <w:p w14:paraId="68E5B64C" w14:textId="77777777" w:rsidR="00334BB7" w:rsidRPr="0010446F" w:rsidRDefault="00334BB7" w:rsidP="00334BB7">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10446F">
              <w:rPr>
                <w:rFonts w:ascii="Arial" w:hAnsi="Arial" w:cs="Arial"/>
                <w:lang w:val="en-US"/>
              </w:rPr>
              <w:t>Total Investment (£m)</w:t>
            </w:r>
          </w:p>
        </w:tc>
        <w:tc>
          <w:tcPr>
            <w:tcW w:w="0" w:type="auto"/>
            <w:hideMark/>
          </w:tcPr>
          <w:p w14:paraId="4F8F7BD1" w14:textId="77777777" w:rsidR="00334BB7" w:rsidRPr="0010446F" w:rsidRDefault="00334BB7" w:rsidP="00334BB7">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10446F">
              <w:rPr>
                <w:rFonts w:ascii="Arial" w:hAnsi="Arial" w:cs="Arial"/>
                <w:lang w:val="en-US"/>
              </w:rPr>
              <w:t>Combined NPV (£m)</w:t>
            </w:r>
          </w:p>
        </w:tc>
        <w:tc>
          <w:tcPr>
            <w:tcW w:w="0" w:type="auto"/>
            <w:hideMark/>
          </w:tcPr>
          <w:p w14:paraId="4E8DE494" w14:textId="77777777" w:rsidR="00334BB7" w:rsidRPr="0010446F" w:rsidRDefault="00334BB7" w:rsidP="00334BB7">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10446F">
              <w:rPr>
                <w:rFonts w:ascii="Arial" w:hAnsi="Arial" w:cs="Arial"/>
                <w:lang w:val="en-US"/>
              </w:rPr>
              <w:t>Rank</w:t>
            </w:r>
          </w:p>
        </w:tc>
      </w:tr>
      <w:tr w:rsidR="00334BB7" w:rsidRPr="0010446F" w14:paraId="6CDEF99E" w14:textId="77777777" w:rsidTr="00334BB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7FC3471" w14:textId="77777777" w:rsidR="00334BB7" w:rsidRPr="0010446F" w:rsidRDefault="00334BB7" w:rsidP="00334BB7">
            <w:pPr>
              <w:pStyle w:val="NoSpacing"/>
              <w:rPr>
                <w:rFonts w:ascii="Arial" w:hAnsi="Arial" w:cs="Arial"/>
                <w:lang w:val="en-US"/>
              </w:rPr>
            </w:pPr>
            <w:r w:rsidRPr="0010446F">
              <w:rPr>
                <w:rFonts w:ascii="Arial" w:hAnsi="Arial" w:cs="Arial"/>
                <w:lang w:val="en-US"/>
              </w:rPr>
              <w:t>A + C</w:t>
            </w:r>
          </w:p>
        </w:tc>
        <w:tc>
          <w:tcPr>
            <w:tcW w:w="0" w:type="auto"/>
            <w:hideMark/>
          </w:tcPr>
          <w:p w14:paraId="6174ABFD" w14:textId="77777777" w:rsidR="00334BB7" w:rsidRPr="0010446F" w:rsidRDefault="00334BB7" w:rsidP="00334BB7">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10446F">
              <w:rPr>
                <w:rFonts w:ascii="Arial" w:hAnsi="Arial" w:cs="Arial"/>
                <w:lang w:val="en-US"/>
              </w:rPr>
              <w:t>100</w:t>
            </w:r>
          </w:p>
        </w:tc>
        <w:tc>
          <w:tcPr>
            <w:tcW w:w="0" w:type="auto"/>
            <w:hideMark/>
          </w:tcPr>
          <w:p w14:paraId="53F6FA0D" w14:textId="77777777" w:rsidR="00334BB7" w:rsidRPr="0010446F" w:rsidRDefault="00334BB7" w:rsidP="00334BB7">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10446F">
              <w:rPr>
                <w:rFonts w:ascii="Arial" w:hAnsi="Arial" w:cs="Arial"/>
                <w:lang w:val="en-US"/>
              </w:rPr>
              <w:t>-1.06</w:t>
            </w:r>
          </w:p>
        </w:tc>
        <w:tc>
          <w:tcPr>
            <w:tcW w:w="0" w:type="auto"/>
            <w:hideMark/>
          </w:tcPr>
          <w:p w14:paraId="44E3A934" w14:textId="77777777" w:rsidR="00334BB7" w:rsidRPr="0010446F" w:rsidRDefault="00334BB7" w:rsidP="00334BB7">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10446F">
              <w:rPr>
                <w:rFonts w:ascii="Arial" w:hAnsi="Arial" w:cs="Arial"/>
                <w:lang w:val="en-US"/>
              </w:rPr>
              <w:t>1</w:t>
            </w:r>
          </w:p>
        </w:tc>
      </w:tr>
      <w:tr w:rsidR="00334BB7" w:rsidRPr="0010446F" w14:paraId="40816A72" w14:textId="77777777" w:rsidTr="00334BB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11B1869" w14:textId="77777777" w:rsidR="00334BB7" w:rsidRPr="0010446F" w:rsidRDefault="00334BB7" w:rsidP="00334BB7">
            <w:pPr>
              <w:pStyle w:val="NoSpacing"/>
              <w:rPr>
                <w:rFonts w:ascii="Arial" w:hAnsi="Arial" w:cs="Arial"/>
                <w:lang w:val="en-US"/>
              </w:rPr>
            </w:pPr>
            <w:r w:rsidRPr="0010446F">
              <w:rPr>
                <w:rFonts w:ascii="Arial" w:hAnsi="Arial" w:cs="Arial"/>
                <w:lang w:val="en-US"/>
              </w:rPr>
              <w:t>B + C</w:t>
            </w:r>
          </w:p>
        </w:tc>
        <w:tc>
          <w:tcPr>
            <w:tcW w:w="0" w:type="auto"/>
            <w:hideMark/>
          </w:tcPr>
          <w:p w14:paraId="47845148" w14:textId="77777777" w:rsidR="00334BB7" w:rsidRPr="0010446F" w:rsidRDefault="00334BB7" w:rsidP="00334BB7">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10446F">
              <w:rPr>
                <w:rFonts w:ascii="Arial" w:hAnsi="Arial" w:cs="Arial"/>
                <w:lang w:val="en-US"/>
              </w:rPr>
              <w:t>100</w:t>
            </w:r>
          </w:p>
        </w:tc>
        <w:tc>
          <w:tcPr>
            <w:tcW w:w="0" w:type="auto"/>
            <w:hideMark/>
          </w:tcPr>
          <w:p w14:paraId="3A2F0887" w14:textId="77777777" w:rsidR="00334BB7" w:rsidRPr="0010446F" w:rsidRDefault="00334BB7" w:rsidP="00334BB7">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10446F">
              <w:rPr>
                <w:rFonts w:ascii="Arial" w:hAnsi="Arial" w:cs="Arial"/>
                <w:lang w:val="en-US"/>
              </w:rPr>
              <w:t>-7.22</w:t>
            </w:r>
          </w:p>
        </w:tc>
        <w:tc>
          <w:tcPr>
            <w:tcW w:w="0" w:type="auto"/>
            <w:hideMark/>
          </w:tcPr>
          <w:p w14:paraId="396706EC" w14:textId="77777777" w:rsidR="00334BB7" w:rsidRPr="0010446F" w:rsidRDefault="00334BB7" w:rsidP="00334BB7">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10446F">
              <w:rPr>
                <w:rFonts w:ascii="Arial" w:hAnsi="Arial" w:cs="Arial"/>
                <w:lang w:val="en-US"/>
              </w:rPr>
              <w:t>2</w:t>
            </w:r>
          </w:p>
        </w:tc>
      </w:tr>
      <w:tr w:rsidR="00334BB7" w:rsidRPr="0010446F" w14:paraId="5A9FEF03" w14:textId="77777777" w:rsidTr="00334BB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FDD61AB" w14:textId="77777777" w:rsidR="00334BB7" w:rsidRPr="0010446F" w:rsidRDefault="00334BB7" w:rsidP="00334BB7">
            <w:pPr>
              <w:pStyle w:val="NoSpacing"/>
              <w:rPr>
                <w:rFonts w:ascii="Arial" w:hAnsi="Arial" w:cs="Arial"/>
                <w:lang w:val="en-US"/>
              </w:rPr>
            </w:pPr>
            <w:r w:rsidRPr="0010446F">
              <w:rPr>
                <w:rFonts w:ascii="Arial" w:hAnsi="Arial" w:cs="Arial"/>
                <w:lang w:val="en-US"/>
              </w:rPr>
              <w:t>A + B</w:t>
            </w:r>
          </w:p>
        </w:tc>
        <w:tc>
          <w:tcPr>
            <w:tcW w:w="0" w:type="auto"/>
            <w:hideMark/>
          </w:tcPr>
          <w:p w14:paraId="2AF8B730" w14:textId="77777777" w:rsidR="00334BB7" w:rsidRPr="0010446F" w:rsidRDefault="00334BB7" w:rsidP="00334BB7">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10446F">
              <w:rPr>
                <w:rFonts w:ascii="Arial" w:hAnsi="Arial" w:cs="Arial"/>
                <w:lang w:val="en-US"/>
              </w:rPr>
              <w:t>100</w:t>
            </w:r>
          </w:p>
        </w:tc>
        <w:tc>
          <w:tcPr>
            <w:tcW w:w="0" w:type="auto"/>
            <w:hideMark/>
          </w:tcPr>
          <w:p w14:paraId="22986CA7" w14:textId="77777777" w:rsidR="00334BB7" w:rsidRPr="0010446F" w:rsidRDefault="00334BB7" w:rsidP="00334BB7">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10446F">
              <w:rPr>
                <w:rFonts w:ascii="Arial" w:hAnsi="Arial" w:cs="Arial"/>
                <w:lang w:val="en-US"/>
              </w:rPr>
              <w:t>-10.44</w:t>
            </w:r>
          </w:p>
        </w:tc>
        <w:tc>
          <w:tcPr>
            <w:tcW w:w="0" w:type="auto"/>
            <w:hideMark/>
          </w:tcPr>
          <w:p w14:paraId="4C8D0FB2" w14:textId="77777777" w:rsidR="00334BB7" w:rsidRPr="0010446F" w:rsidRDefault="00334BB7" w:rsidP="00334BB7">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10446F">
              <w:rPr>
                <w:rFonts w:ascii="Arial" w:hAnsi="Arial" w:cs="Arial"/>
                <w:lang w:val="en-US"/>
              </w:rPr>
              <w:t>3</w:t>
            </w:r>
          </w:p>
        </w:tc>
      </w:tr>
    </w:tbl>
    <w:p w14:paraId="44A12DA4" w14:textId="77777777" w:rsidR="00334BB7" w:rsidRPr="0010446F" w:rsidRDefault="00334BB7" w:rsidP="00334BB7">
      <w:pPr>
        <w:rPr>
          <w:rFonts w:ascii="Arial" w:hAnsi="Arial" w:cs="Arial"/>
          <w:lang w:val="en-US"/>
        </w:rPr>
      </w:pPr>
    </w:p>
    <w:p w14:paraId="7660C777" w14:textId="77777777" w:rsidR="00334BB7" w:rsidRPr="0010446F" w:rsidRDefault="00334BB7" w:rsidP="00334BB7">
      <w:pPr>
        <w:rPr>
          <w:rFonts w:ascii="Arial" w:hAnsi="Arial" w:cs="Arial"/>
          <w:lang w:val="en-US"/>
        </w:rPr>
      </w:pPr>
      <w:r w:rsidRPr="0010446F">
        <w:rPr>
          <w:rFonts w:ascii="Arial" w:hAnsi="Arial" w:cs="Arial"/>
          <w:lang w:val="en-US"/>
        </w:rPr>
        <w:t xml:space="preserve">The capital rationing analysis indicates that the </w:t>
      </w:r>
      <w:r w:rsidRPr="0010446F">
        <w:rPr>
          <w:rFonts w:ascii="Arial" w:hAnsi="Arial" w:cs="Arial"/>
          <w:b/>
          <w:bCs/>
          <w:lang w:val="en-US"/>
        </w:rPr>
        <w:t>A + C combination generates the highest combined NPV and is therefore the financially optimal pairing under the £100 million budget constraint</w:t>
      </w:r>
      <w:r w:rsidRPr="0010446F">
        <w:rPr>
          <w:rFonts w:ascii="Arial" w:hAnsi="Arial" w:cs="Arial"/>
          <w:lang w:val="en-US"/>
        </w:rPr>
        <w:t>. However, despite ranking first among available combinations, the combined NPV remains negative at £1.06 million.</w:t>
      </w:r>
    </w:p>
    <w:p w14:paraId="79D106BB" w14:textId="77777777" w:rsidR="00334BB7" w:rsidRPr="0010446F" w:rsidRDefault="00334BB7" w:rsidP="00334BB7">
      <w:pPr>
        <w:rPr>
          <w:rFonts w:ascii="Arial" w:hAnsi="Arial" w:cs="Arial"/>
          <w:lang w:val="en-US"/>
        </w:rPr>
      </w:pPr>
      <w:r w:rsidRPr="0010446F">
        <w:rPr>
          <w:rFonts w:ascii="Arial" w:hAnsi="Arial" w:cs="Arial"/>
          <w:lang w:val="en-US"/>
        </w:rPr>
        <w:t>This creates an important strategic concern. While A + C is the least value-destructive pairing under the budget limit, the negative combined NPV suggests that undertaking both projects simultaneously may still reduce shareholder value overall. Accordingly, management should exercise caution before approving the full £100 million allocation.</w:t>
      </w:r>
    </w:p>
    <w:p w14:paraId="62FC205A" w14:textId="77777777" w:rsidR="00334BB7" w:rsidRPr="0010446F" w:rsidRDefault="00334BB7" w:rsidP="00334BB7">
      <w:pPr>
        <w:rPr>
          <w:rFonts w:ascii="Arial" w:hAnsi="Arial" w:cs="Arial"/>
          <w:lang w:val="en-US"/>
        </w:rPr>
      </w:pPr>
      <w:r w:rsidRPr="0010446F">
        <w:rPr>
          <w:rFonts w:ascii="Arial" w:hAnsi="Arial" w:cs="Arial"/>
          <w:lang w:val="en-US"/>
        </w:rPr>
        <w:t>In such circumstances, Toyota may consider investing solely in Project C and retaining surplus capital for future opportunities rather than deploying the full budget inefficiently. Alternatively, management may reassess Project A’s assumptions or implementation structure to improve projected returns before proceeding.</w:t>
      </w:r>
    </w:p>
    <w:p w14:paraId="7D72169A" w14:textId="77777777" w:rsidR="00334BB7" w:rsidRPr="0010446F" w:rsidRDefault="00334BB7" w:rsidP="00334BB7">
      <w:pPr>
        <w:rPr>
          <w:rFonts w:ascii="Arial" w:hAnsi="Arial" w:cs="Arial"/>
          <w:lang w:val="en-US"/>
        </w:rPr>
      </w:pPr>
      <w:r w:rsidRPr="0010446F">
        <w:rPr>
          <w:rFonts w:ascii="Arial" w:hAnsi="Arial" w:cs="Arial"/>
          <w:lang w:val="en-US"/>
        </w:rPr>
        <w:t xml:space="preserve">Therefore, while A + C is the best available combination under strict capital rationing, strategic prudence suggests that Toyota should not automatically </w:t>
      </w:r>
      <w:proofErr w:type="spellStart"/>
      <w:r w:rsidRPr="0010446F">
        <w:rPr>
          <w:rFonts w:ascii="Arial" w:hAnsi="Arial" w:cs="Arial"/>
          <w:lang w:val="en-US"/>
        </w:rPr>
        <w:t>utilise</w:t>
      </w:r>
      <w:proofErr w:type="spellEnd"/>
      <w:r w:rsidRPr="0010446F">
        <w:rPr>
          <w:rFonts w:ascii="Arial" w:hAnsi="Arial" w:cs="Arial"/>
          <w:lang w:val="en-US"/>
        </w:rPr>
        <w:t xml:space="preserve"> the full budget if suitable value-creating investments are unavailable.</w:t>
      </w:r>
    </w:p>
    <w:p w14:paraId="1CDA0018" w14:textId="77777777" w:rsidR="00334BB7" w:rsidRPr="0010446F" w:rsidRDefault="00334BB7" w:rsidP="00334BB7">
      <w:pPr>
        <w:pStyle w:val="Heading2"/>
        <w:rPr>
          <w:rFonts w:ascii="Arial" w:hAnsi="Arial" w:cs="Arial"/>
          <w:szCs w:val="24"/>
        </w:rPr>
      </w:pPr>
      <w:bookmarkStart w:id="33" w:name="_Toc227165068"/>
      <w:r w:rsidRPr="0010446F">
        <w:rPr>
          <w:rFonts w:ascii="Arial" w:hAnsi="Arial" w:cs="Arial"/>
          <w:szCs w:val="24"/>
        </w:rPr>
        <w:t>5.6 Final Investment Recommendation</w:t>
      </w:r>
      <w:bookmarkEnd w:id="33"/>
    </w:p>
    <w:p w14:paraId="72424CCB" w14:textId="77777777" w:rsidR="00334BB7" w:rsidRPr="0010446F" w:rsidRDefault="00334BB7" w:rsidP="00334BB7">
      <w:pPr>
        <w:rPr>
          <w:rFonts w:ascii="Arial" w:hAnsi="Arial" w:cs="Arial"/>
          <w:lang w:val="en-US"/>
        </w:rPr>
      </w:pPr>
      <w:r w:rsidRPr="0010446F">
        <w:rPr>
          <w:rFonts w:ascii="Arial" w:hAnsi="Arial" w:cs="Arial"/>
          <w:lang w:val="en-US"/>
        </w:rPr>
        <w:t xml:space="preserve">Based on the comprehensive investment appraisal and capital rationing analysis, Toyota should proceed with </w:t>
      </w:r>
      <w:r w:rsidRPr="0010446F">
        <w:rPr>
          <w:rFonts w:ascii="Arial" w:hAnsi="Arial" w:cs="Arial"/>
          <w:b/>
          <w:bCs/>
          <w:lang w:val="en-US"/>
        </w:rPr>
        <w:t>Project C as the preferred standalone investment opportunity</w:t>
      </w:r>
      <w:r w:rsidRPr="0010446F">
        <w:rPr>
          <w:rFonts w:ascii="Arial" w:hAnsi="Arial" w:cs="Arial"/>
          <w:lang w:val="en-US"/>
        </w:rPr>
        <w:t xml:space="preserve">. Project C is the only project delivering a positive NPV, the highest IRR, the strongest profitability index, and the fastest payback period, indicating superior financial and strategic attractiveness. Although the A + C combination ranks highest under capital </w:t>
      </w:r>
      <w:r w:rsidRPr="0010446F">
        <w:rPr>
          <w:rFonts w:ascii="Arial" w:hAnsi="Arial" w:cs="Arial"/>
          <w:lang w:val="en-US"/>
        </w:rPr>
        <w:lastRenderedPageBreak/>
        <w:t xml:space="preserve">rationing, its negative combined NPV suggests that investing in both projects simultaneously would reduce shareholder value. Therefore, Toyota should </w:t>
      </w:r>
      <w:proofErr w:type="spellStart"/>
      <w:r w:rsidRPr="0010446F">
        <w:rPr>
          <w:rFonts w:ascii="Arial" w:hAnsi="Arial" w:cs="Arial"/>
          <w:lang w:val="en-US"/>
        </w:rPr>
        <w:t>prioritise</w:t>
      </w:r>
      <w:proofErr w:type="spellEnd"/>
      <w:r w:rsidRPr="0010446F">
        <w:rPr>
          <w:rFonts w:ascii="Arial" w:hAnsi="Arial" w:cs="Arial"/>
          <w:lang w:val="en-US"/>
        </w:rPr>
        <w:t xml:space="preserve"> Project C only and preserve remaining capital for future high-return opportunities or reconsider Project A following strategic redesign. This approach best supports disciplined capital allocation and long-term shareholder wealth </w:t>
      </w:r>
      <w:proofErr w:type="spellStart"/>
      <w:r w:rsidRPr="0010446F">
        <w:rPr>
          <w:rFonts w:ascii="Arial" w:hAnsi="Arial" w:cs="Arial"/>
          <w:lang w:val="en-US"/>
        </w:rPr>
        <w:t>maximisation</w:t>
      </w:r>
      <w:proofErr w:type="spellEnd"/>
      <w:r w:rsidRPr="0010446F">
        <w:rPr>
          <w:rFonts w:ascii="Arial" w:hAnsi="Arial" w:cs="Arial"/>
          <w:lang w:val="en-US"/>
        </w:rPr>
        <w:t>.</w:t>
      </w:r>
    </w:p>
    <w:p w14:paraId="7488EACC" w14:textId="77777777" w:rsidR="00490405" w:rsidRPr="0010446F" w:rsidRDefault="00490405" w:rsidP="00490405">
      <w:pPr>
        <w:pStyle w:val="Heading1"/>
        <w:rPr>
          <w:rFonts w:ascii="Arial" w:hAnsi="Arial" w:cs="Arial"/>
          <w:szCs w:val="24"/>
        </w:rPr>
      </w:pPr>
      <w:bookmarkStart w:id="34" w:name="_Toc227165069"/>
      <w:r w:rsidRPr="0010446F">
        <w:rPr>
          <w:rFonts w:ascii="Arial" w:hAnsi="Arial" w:cs="Arial"/>
          <w:szCs w:val="24"/>
        </w:rPr>
        <w:t>6. Conclusion</w:t>
      </w:r>
      <w:bookmarkEnd w:id="34"/>
    </w:p>
    <w:p w14:paraId="43A49968" w14:textId="77777777" w:rsidR="00490405" w:rsidRPr="0010446F" w:rsidRDefault="00490405" w:rsidP="00490405">
      <w:pPr>
        <w:rPr>
          <w:rFonts w:ascii="Arial" w:hAnsi="Arial" w:cs="Arial"/>
          <w:lang w:val="en-US"/>
        </w:rPr>
      </w:pPr>
      <w:r w:rsidRPr="0010446F">
        <w:rPr>
          <w:rFonts w:ascii="Arial" w:hAnsi="Arial" w:cs="Arial"/>
          <w:lang w:val="en-US"/>
        </w:rPr>
        <w:t>Toyota Motor Corporation remains financially robust, demonstrating strong revenue growth, stable profitability, prudent gearing levels, and improving shareholder returns over the FY2021–FY2025 period. These strengths indicate that the company maintains a resilient financial foundation to support future strategic expansion. However, the analysis also highlights key concerns relating to deteriorating working capital efficiency, prolonged receivable collection periods, and weakening operating cash flow performance, which may constrain liquidity and reduce internal financing flexibility if left unaddressed. To address these issues, the report recommends strategic financial restructuring through selective divestiture, retained earnings reinvestment, and strategic partnerships to enhance liquidity, operational agility, and capital allocation efficiency. Furthermore, investment appraisal findings identify Project C as the most financially attractive investment opportunity based on its superior NPV, IRR, and payback performance. Overall, disciplined financial management and strategic restructuring will be essential to sustaining Toyota’s long-term competitiveness in the evolving global EV market.</w:t>
      </w:r>
    </w:p>
    <w:p w14:paraId="1C9E0A05" w14:textId="77777777" w:rsidR="00614463" w:rsidRPr="0010446F" w:rsidRDefault="00614463">
      <w:pPr>
        <w:spacing w:before="0" w:after="160" w:line="259" w:lineRule="auto"/>
        <w:jc w:val="left"/>
        <w:rPr>
          <w:rFonts w:ascii="Arial" w:hAnsi="Arial" w:cs="Arial"/>
        </w:rPr>
      </w:pPr>
      <w:r w:rsidRPr="0010446F">
        <w:rPr>
          <w:rFonts w:ascii="Arial" w:hAnsi="Arial" w:cs="Arial"/>
        </w:rPr>
        <w:br w:type="page"/>
      </w:r>
    </w:p>
    <w:p w14:paraId="75F3101E" w14:textId="77777777" w:rsidR="00614463" w:rsidRPr="0010446F" w:rsidRDefault="00614463" w:rsidP="00C7346B">
      <w:pPr>
        <w:pStyle w:val="Heading1"/>
        <w:rPr>
          <w:rFonts w:ascii="Arial" w:hAnsi="Arial" w:cs="Arial"/>
          <w:szCs w:val="24"/>
        </w:rPr>
      </w:pPr>
      <w:bookmarkStart w:id="35" w:name="_Toc227165070"/>
      <w:r w:rsidRPr="0010446F">
        <w:rPr>
          <w:rFonts w:ascii="Arial" w:hAnsi="Arial" w:cs="Arial"/>
          <w:szCs w:val="24"/>
        </w:rPr>
        <w:lastRenderedPageBreak/>
        <w:t>7. References</w:t>
      </w:r>
      <w:bookmarkEnd w:id="35"/>
    </w:p>
    <w:p w14:paraId="08BE58D8" w14:textId="77777777" w:rsidR="00C33A60" w:rsidRPr="0010446F" w:rsidRDefault="00C33A60" w:rsidP="00C7346B">
      <w:pPr>
        <w:rPr>
          <w:rFonts w:ascii="Arial" w:hAnsi="Arial" w:cs="Arial"/>
        </w:rPr>
      </w:pPr>
      <w:r w:rsidRPr="0010446F">
        <w:rPr>
          <w:rFonts w:ascii="Arial" w:hAnsi="Arial" w:cs="Arial"/>
        </w:rPr>
        <w:t xml:space="preserve">Abubakar, A.O. and </w:t>
      </w:r>
      <w:proofErr w:type="spellStart"/>
      <w:r w:rsidRPr="0010446F">
        <w:rPr>
          <w:rFonts w:ascii="Arial" w:hAnsi="Arial" w:cs="Arial"/>
        </w:rPr>
        <w:t>Anyonje</w:t>
      </w:r>
      <w:proofErr w:type="spellEnd"/>
      <w:r w:rsidRPr="0010446F">
        <w:rPr>
          <w:rFonts w:ascii="Arial" w:hAnsi="Arial" w:cs="Arial"/>
        </w:rPr>
        <w:t>, S.A., 2025. Financial leverage and corporate financial performance: A comprehensive review. </w:t>
      </w:r>
      <w:r w:rsidRPr="0010446F">
        <w:rPr>
          <w:rFonts w:ascii="Arial" w:hAnsi="Arial" w:cs="Arial"/>
          <w:i/>
          <w:iCs/>
        </w:rPr>
        <w:t>East African Finance Journal</w:t>
      </w:r>
      <w:r w:rsidRPr="0010446F">
        <w:rPr>
          <w:rFonts w:ascii="Arial" w:hAnsi="Arial" w:cs="Arial"/>
        </w:rPr>
        <w:t>, </w:t>
      </w:r>
      <w:r w:rsidRPr="0010446F">
        <w:rPr>
          <w:rFonts w:ascii="Arial" w:hAnsi="Arial" w:cs="Arial"/>
          <w:i/>
          <w:iCs/>
        </w:rPr>
        <w:t>4</w:t>
      </w:r>
      <w:r w:rsidRPr="0010446F">
        <w:rPr>
          <w:rFonts w:ascii="Arial" w:hAnsi="Arial" w:cs="Arial"/>
        </w:rPr>
        <w:t>(2), pp.34-54.</w:t>
      </w:r>
    </w:p>
    <w:p w14:paraId="09631962" w14:textId="77777777" w:rsidR="00C33A60" w:rsidRPr="0010446F" w:rsidRDefault="00C33A60" w:rsidP="00B5548F">
      <w:pPr>
        <w:rPr>
          <w:rFonts w:ascii="Arial" w:hAnsi="Arial" w:cs="Arial"/>
          <w:lang w:val="en-US"/>
        </w:rPr>
      </w:pPr>
      <w:proofErr w:type="spellStart"/>
      <w:r w:rsidRPr="0010446F">
        <w:rPr>
          <w:rFonts w:ascii="Arial" w:hAnsi="Arial" w:cs="Arial"/>
        </w:rPr>
        <w:t>Arifaj</w:t>
      </w:r>
      <w:proofErr w:type="spellEnd"/>
      <w:r w:rsidRPr="0010446F">
        <w:rPr>
          <w:rFonts w:ascii="Arial" w:hAnsi="Arial" w:cs="Arial"/>
        </w:rPr>
        <w:t>, A.H., Berisha, V., Morina, F. and Avdyli, E., 2023. Exploring the impact of cash flow, company size, and debt on financial performance in corporations. </w:t>
      </w:r>
      <w:r w:rsidRPr="0010446F">
        <w:rPr>
          <w:rFonts w:ascii="Arial" w:hAnsi="Arial" w:cs="Arial"/>
          <w:i/>
          <w:iCs/>
        </w:rPr>
        <w:t>Investment Management &amp; Financial Innovations</w:t>
      </w:r>
      <w:r w:rsidRPr="0010446F">
        <w:rPr>
          <w:rFonts w:ascii="Arial" w:hAnsi="Arial" w:cs="Arial"/>
        </w:rPr>
        <w:t>, </w:t>
      </w:r>
      <w:r w:rsidRPr="0010446F">
        <w:rPr>
          <w:rFonts w:ascii="Arial" w:hAnsi="Arial" w:cs="Arial"/>
          <w:i/>
          <w:iCs/>
        </w:rPr>
        <w:t>20</w:t>
      </w:r>
      <w:r w:rsidRPr="0010446F">
        <w:rPr>
          <w:rFonts w:ascii="Arial" w:hAnsi="Arial" w:cs="Arial"/>
        </w:rPr>
        <w:t>(3), p.264.</w:t>
      </w:r>
    </w:p>
    <w:p w14:paraId="39D17FF2" w14:textId="77777777" w:rsidR="00C33A60" w:rsidRPr="0010446F" w:rsidRDefault="00C33A60" w:rsidP="00C7346B">
      <w:pPr>
        <w:rPr>
          <w:rFonts w:ascii="Arial" w:hAnsi="Arial" w:cs="Arial"/>
        </w:rPr>
      </w:pPr>
      <w:r w:rsidRPr="0010446F">
        <w:rPr>
          <w:rFonts w:ascii="Arial" w:hAnsi="Arial" w:cs="Arial"/>
        </w:rPr>
        <w:t>Bedell Gadbois, G.R., 2025. Effective Change Management Strategies for Minimizing Financial Impact and Operational Disruption.</w:t>
      </w:r>
    </w:p>
    <w:p w14:paraId="35263B5C" w14:textId="77777777" w:rsidR="00C33A60" w:rsidRPr="0010446F" w:rsidRDefault="00C33A60" w:rsidP="00C7346B">
      <w:pPr>
        <w:rPr>
          <w:rFonts w:ascii="Arial" w:hAnsi="Arial" w:cs="Arial"/>
        </w:rPr>
      </w:pPr>
      <w:proofErr w:type="spellStart"/>
      <w:r w:rsidRPr="0010446F">
        <w:rPr>
          <w:rFonts w:ascii="Arial" w:hAnsi="Arial" w:cs="Arial"/>
        </w:rPr>
        <w:t>Bhattacheryay</w:t>
      </w:r>
      <w:proofErr w:type="spellEnd"/>
      <w:r w:rsidRPr="0010446F">
        <w:rPr>
          <w:rFonts w:ascii="Arial" w:hAnsi="Arial" w:cs="Arial"/>
        </w:rPr>
        <w:t>, S., 2023. Multinational working capital management a study on Toyota Motor Corporation. </w:t>
      </w:r>
      <w:r w:rsidRPr="0010446F">
        <w:rPr>
          <w:rFonts w:ascii="Arial" w:hAnsi="Arial" w:cs="Arial"/>
          <w:i/>
          <w:iCs/>
        </w:rPr>
        <w:t>International Journal of Finance &amp; Economics</w:t>
      </w:r>
      <w:r w:rsidRPr="0010446F">
        <w:rPr>
          <w:rFonts w:ascii="Arial" w:hAnsi="Arial" w:cs="Arial"/>
        </w:rPr>
        <w:t>, </w:t>
      </w:r>
      <w:r w:rsidRPr="0010446F">
        <w:rPr>
          <w:rFonts w:ascii="Arial" w:hAnsi="Arial" w:cs="Arial"/>
          <w:i/>
          <w:iCs/>
        </w:rPr>
        <w:t>28</w:t>
      </w:r>
      <w:r w:rsidRPr="0010446F">
        <w:rPr>
          <w:rFonts w:ascii="Arial" w:hAnsi="Arial" w:cs="Arial"/>
        </w:rPr>
        <w:t>(1), pp.236-256.</w:t>
      </w:r>
    </w:p>
    <w:p w14:paraId="16C00719" w14:textId="77777777" w:rsidR="00C33A60" w:rsidRPr="0010446F" w:rsidRDefault="00C33A60" w:rsidP="00C7346B">
      <w:pPr>
        <w:rPr>
          <w:rFonts w:ascii="Arial" w:hAnsi="Arial" w:cs="Arial"/>
        </w:rPr>
      </w:pPr>
      <w:proofErr w:type="spellStart"/>
      <w:r w:rsidRPr="0010446F">
        <w:rPr>
          <w:rFonts w:ascii="Arial" w:hAnsi="Arial" w:cs="Arial"/>
        </w:rPr>
        <w:t>Bhattacheryay</w:t>
      </w:r>
      <w:proofErr w:type="spellEnd"/>
      <w:r w:rsidRPr="0010446F">
        <w:rPr>
          <w:rFonts w:ascii="Arial" w:hAnsi="Arial" w:cs="Arial"/>
        </w:rPr>
        <w:t>, S., 2023. Multinational working capital management a study on Toyota Motor Corporation. </w:t>
      </w:r>
      <w:r w:rsidRPr="0010446F">
        <w:rPr>
          <w:rFonts w:ascii="Arial" w:hAnsi="Arial" w:cs="Arial"/>
          <w:i/>
          <w:iCs/>
        </w:rPr>
        <w:t>International Journal of Finance &amp; Economics</w:t>
      </w:r>
      <w:r w:rsidRPr="0010446F">
        <w:rPr>
          <w:rFonts w:ascii="Arial" w:hAnsi="Arial" w:cs="Arial"/>
        </w:rPr>
        <w:t>, </w:t>
      </w:r>
      <w:r w:rsidRPr="0010446F">
        <w:rPr>
          <w:rFonts w:ascii="Arial" w:hAnsi="Arial" w:cs="Arial"/>
          <w:i/>
          <w:iCs/>
        </w:rPr>
        <w:t>28</w:t>
      </w:r>
      <w:r w:rsidRPr="0010446F">
        <w:rPr>
          <w:rFonts w:ascii="Arial" w:hAnsi="Arial" w:cs="Arial"/>
        </w:rPr>
        <w:t>(1), pp.236-256.</w:t>
      </w:r>
    </w:p>
    <w:p w14:paraId="5FDD1948" w14:textId="77777777" w:rsidR="00C33A60" w:rsidRPr="0010446F" w:rsidRDefault="00C33A60" w:rsidP="00C7346B">
      <w:pPr>
        <w:rPr>
          <w:rFonts w:ascii="Arial" w:hAnsi="Arial" w:cs="Arial"/>
        </w:rPr>
      </w:pPr>
      <w:r w:rsidRPr="0010446F">
        <w:rPr>
          <w:rFonts w:ascii="Arial" w:hAnsi="Arial" w:cs="Arial"/>
        </w:rPr>
        <w:t xml:space="preserve">Blessing, H. and </w:t>
      </w:r>
      <w:proofErr w:type="spellStart"/>
      <w:r w:rsidRPr="0010446F">
        <w:rPr>
          <w:rFonts w:ascii="Arial" w:hAnsi="Arial" w:cs="Arial"/>
        </w:rPr>
        <w:t>Sakouvogui</w:t>
      </w:r>
      <w:proofErr w:type="spellEnd"/>
      <w:r w:rsidRPr="0010446F">
        <w:rPr>
          <w:rFonts w:ascii="Arial" w:hAnsi="Arial" w:cs="Arial"/>
        </w:rPr>
        <w:t>, G., 2023. Impact of liquidity and solvency ratios on financial performance: a comprehensive analysis. </w:t>
      </w:r>
      <w:r w:rsidRPr="0010446F">
        <w:rPr>
          <w:rFonts w:ascii="Arial" w:hAnsi="Arial" w:cs="Arial"/>
          <w:i/>
          <w:iCs/>
        </w:rPr>
        <w:t>Indonesia Auditing Research Journal</w:t>
      </w:r>
      <w:r w:rsidRPr="0010446F">
        <w:rPr>
          <w:rFonts w:ascii="Arial" w:hAnsi="Arial" w:cs="Arial"/>
        </w:rPr>
        <w:t>, </w:t>
      </w:r>
      <w:r w:rsidRPr="0010446F">
        <w:rPr>
          <w:rFonts w:ascii="Arial" w:hAnsi="Arial" w:cs="Arial"/>
          <w:i/>
          <w:iCs/>
        </w:rPr>
        <w:t>12</w:t>
      </w:r>
      <w:r w:rsidRPr="0010446F">
        <w:rPr>
          <w:rFonts w:ascii="Arial" w:hAnsi="Arial" w:cs="Arial"/>
        </w:rPr>
        <w:t>(3), pp.102-115.</w:t>
      </w:r>
    </w:p>
    <w:p w14:paraId="401FB8C5" w14:textId="77777777" w:rsidR="00C33A60" w:rsidRPr="0010446F" w:rsidRDefault="00C33A60" w:rsidP="00C7346B">
      <w:pPr>
        <w:rPr>
          <w:rFonts w:ascii="Arial" w:hAnsi="Arial" w:cs="Arial"/>
        </w:rPr>
      </w:pPr>
      <w:r w:rsidRPr="0010446F">
        <w:rPr>
          <w:rFonts w:ascii="Arial" w:hAnsi="Arial" w:cs="Arial"/>
        </w:rPr>
        <w:t>Cotter, E., 2023. Net Present Value and Payback Period: An Analysis.</w:t>
      </w:r>
    </w:p>
    <w:p w14:paraId="1C0040B3" w14:textId="77777777" w:rsidR="00C33A60" w:rsidRPr="0010446F" w:rsidRDefault="00C33A60" w:rsidP="00C7346B">
      <w:pPr>
        <w:rPr>
          <w:rFonts w:ascii="Arial" w:hAnsi="Arial" w:cs="Arial"/>
        </w:rPr>
      </w:pPr>
      <w:r w:rsidRPr="0010446F">
        <w:rPr>
          <w:rFonts w:ascii="Arial" w:hAnsi="Arial" w:cs="Arial"/>
        </w:rPr>
        <w:t>Dass, J., 2019. An assessment of supply chain finance and working capital management in organizations. </w:t>
      </w:r>
      <w:r w:rsidRPr="0010446F">
        <w:rPr>
          <w:rFonts w:ascii="Arial" w:hAnsi="Arial" w:cs="Arial"/>
          <w:i/>
          <w:iCs/>
        </w:rPr>
        <w:t>Asian Journal of Managerial Science</w:t>
      </w:r>
      <w:r w:rsidRPr="0010446F">
        <w:rPr>
          <w:rFonts w:ascii="Arial" w:hAnsi="Arial" w:cs="Arial"/>
        </w:rPr>
        <w:t>, </w:t>
      </w:r>
      <w:r w:rsidRPr="0010446F">
        <w:rPr>
          <w:rFonts w:ascii="Arial" w:hAnsi="Arial" w:cs="Arial"/>
          <w:i/>
          <w:iCs/>
        </w:rPr>
        <w:t>8</w:t>
      </w:r>
      <w:r w:rsidRPr="0010446F">
        <w:rPr>
          <w:rFonts w:ascii="Arial" w:hAnsi="Arial" w:cs="Arial"/>
        </w:rPr>
        <w:t>(2), pp.28-33.</w:t>
      </w:r>
    </w:p>
    <w:p w14:paraId="50BED26A" w14:textId="77777777" w:rsidR="00C33A60" w:rsidRPr="0010446F" w:rsidRDefault="00C33A60" w:rsidP="00C7346B">
      <w:pPr>
        <w:rPr>
          <w:rFonts w:ascii="Arial" w:hAnsi="Arial" w:cs="Arial"/>
        </w:rPr>
      </w:pPr>
      <w:r w:rsidRPr="0010446F">
        <w:rPr>
          <w:rFonts w:ascii="Arial" w:hAnsi="Arial" w:cs="Arial"/>
        </w:rPr>
        <w:t>Gupta, V., Khandelwal, B. and Singh, R., 2025. Inventory management practices and supply chain efficiency: Insights from modern techniques.</w:t>
      </w:r>
    </w:p>
    <w:p w14:paraId="439B1FF9" w14:textId="77777777" w:rsidR="00C33A60" w:rsidRPr="0010446F" w:rsidRDefault="00C33A60" w:rsidP="00C7346B">
      <w:pPr>
        <w:rPr>
          <w:rFonts w:ascii="Arial" w:hAnsi="Arial" w:cs="Arial"/>
        </w:rPr>
      </w:pPr>
      <w:r w:rsidRPr="0010446F">
        <w:rPr>
          <w:rFonts w:ascii="Arial" w:hAnsi="Arial" w:cs="Arial"/>
        </w:rPr>
        <w:t>Igwe, Q., 2023. Corporate Restructuring: Strategies, Implications, and Case Studies.</w:t>
      </w:r>
    </w:p>
    <w:p w14:paraId="312669C7" w14:textId="77777777" w:rsidR="00C33A60" w:rsidRPr="0010446F" w:rsidRDefault="00C33A60" w:rsidP="00C7346B">
      <w:pPr>
        <w:rPr>
          <w:rFonts w:ascii="Arial" w:hAnsi="Arial" w:cs="Arial"/>
        </w:rPr>
      </w:pPr>
      <w:r w:rsidRPr="0010446F">
        <w:rPr>
          <w:rFonts w:ascii="Arial" w:hAnsi="Arial" w:cs="Arial"/>
        </w:rPr>
        <w:t>Kona, V.G., 2025. </w:t>
      </w:r>
      <w:r w:rsidRPr="0010446F">
        <w:rPr>
          <w:rFonts w:ascii="Arial" w:hAnsi="Arial" w:cs="Arial"/>
          <w:i/>
          <w:iCs/>
        </w:rPr>
        <w:t>Impact of Exchange Rate Fluctuations on International Business</w:t>
      </w:r>
      <w:r w:rsidRPr="0010446F">
        <w:rPr>
          <w:rFonts w:ascii="Arial" w:hAnsi="Arial" w:cs="Arial"/>
        </w:rPr>
        <w:t> (Doctoral dissertation, Dublin, National College of Ireland).</w:t>
      </w:r>
    </w:p>
    <w:p w14:paraId="29B4B45C" w14:textId="77777777" w:rsidR="00C33A60" w:rsidRPr="0010446F" w:rsidRDefault="00C33A60" w:rsidP="00C7346B">
      <w:pPr>
        <w:rPr>
          <w:rFonts w:ascii="Arial" w:hAnsi="Arial" w:cs="Arial"/>
        </w:rPr>
      </w:pPr>
      <w:r w:rsidRPr="0010446F">
        <w:rPr>
          <w:rFonts w:ascii="Arial" w:hAnsi="Arial" w:cs="Arial"/>
        </w:rPr>
        <w:t xml:space="preserve">Li, Y., Fan, D., Kumar, V. and </w:t>
      </w:r>
      <w:proofErr w:type="spellStart"/>
      <w:r w:rsidRPr="0010446F">
        <w:rPr>
          <w:rFonts w:ascii="Arial" w:hAnsi="Arial" w:cs="Arial"/>
        </w:rPr>
        <w:t>Ananthram</w:t>
      </w:r>
      <w:proofErr w:type="spellEnd"/>
      <w:r w:rsidRPr="0010446F">
        <w:rPr>
          <w:rFonts w:ascii="Arial" w:hAnsi="Arial" w:cs="Arial"/>
        </w:rPr>
        <w:t>, S., 2024. Configuring international growth of emerging market multinational enterprises: a compositional springboarding view in the context of India. </w:t>
      </w:r>
      <w:r w:rsidRPr="0010446F">
        <w:rPr>
          <w:rFonts w:ascii="Arial" w:hAnsi="Arial" w:cs="Arial"/>
          <w:i/>
          <w:iCs/>
        </w:rPr>
        <w:t>Journal of Management Studies</w:t>
      </w:r>
      <w:r w:rsidRPr="0010446F">
        <w:rPr>
          <w:rFonts w:ascii="Arial" w:hAnsi="Arial" w:cs="Arial"/>
        </w:rPr>
        <w:t>, </w:t>
      </w:r>
      <w:r w:rsidRPr="0010446F">
        <w:rPr>
          <w:rFonts w:ascii="Arial" w:hAnsi="Arial" w:cs="Arial"/>
          <w:i/>
          <w:iCs/>
        </w:rPr>
        <w:t>61</w:t>
      </w:r>
      <w:r w:rsidRPr="0010446F">
        <w:rPr>
          <w:rFonts w:ascii="Arial" w:hAnsi="Arial" w:cs="Arial"/>
        </w:rPr>
        <w:t>(6), pp.2570-2603.</w:t>
      </w:r>
    </w:p>
    <w:p w14:paraId="147808B0" w14:textId="77777777" w:rsidR="00C33A60" w:rsidRPr="0010446F" w:rsidRDefault="00C33A60" w:rsidP="00B5548F">
      <w:pPr>
        <w:rPr>
          <w:rFonts w:ascii="Arial" w:hAnsi="Arial" w:cs="Arial"/>
          <w:lang w:val="en-US"/>
        </w:rPr>
      </w:pPr>
      <w:r w:rsidRPr="0010446F">
        <w:rPr>
          <w:rFonts w:ascii="Arial" w:hAnsi="Arial" w:cs="Arial"/>
        </w:rPr>
        <w:lastRenderedPageBreak/>
        <w:t>Muller, B.A., 2025. Sectoral financial analysis of the automotive industry: insights into financial and operational dynamics.</w:t>
      </w:r>
    </w:p>
    <w:p w14:paraId="5BF2048E" w14:textId="77777777" w:rsidR="00C33A60" w:rsidRPr="0010446F" w:rsidRDefault="00C33A60" w:rsidP="00C7346B">
      <w:pPr>
        <w:rPr>
          <w:rFonts w:ascii="Arial" w:hAnsi="Arial" w:cs="Arial"/>
        </w:rPr>
      </w:pPr>
      <w:r w:rsidRPr="0010446F">
        <w:rPr>
          <w:rFonts w:ascii="Arial" w:hAnsi="Arial" w:cs="Arial"/>
        </w:rPr>
        <w:t xml:space="preserve">Mustafina, A.A., </w:t>
      </w:r>
      <w:proofErr w:type="spellStart"/>
      <w:r w:rsidRPr="0010446F">
        <w:rPr>
          <w:rFonts w:ascii="Arial" w:hAnsi="Arial" w:cs="Arial"/>
        </w:rPr>
        <w:t>Kaigorodova</w:t>
      </w:r>
      <w:proofErr w:type="spellEnd"/>
      <w:r w:rsidRPr="0010446F">
        <w:rPr>
          <w:rFonts w:ascii="Arial" w:hAnsi="Arial" w:cs="Arial"/>
        </w:rPr>
        <w:t xml:space="preserve">, G.N., </w:t>
      </w:r>
      <w:proofErr w:type="spellStart"/>
      <w:r w:rsidRPr="0010446F">
        <w:rPr>
          <w:rFonts w:ascii="Arial" w:hAnsi="Arial" w:cs="Arial"/>
        </w:rPr>
        <w:t>Pyrkova</w:t>
      </w:r>
      <w:proofErr w:type="spellEnd"/>
      <w:r w:rsidRPr="0010446F">
        <w:rPr>
          <w:rFonts w:ascii="Arial" w:hAnsi="Arial" w:cs="Arial"/>
        </w:rPr>
        <w:t xml:space="preserve">, G.K., </w:t>
      </w:r>
      <w:proofErr w:type="spellStart"/>
      <w:r w:rsidRPr="0010446F">
        <w:rPr>
          <w:rFonts w:ascii="Arial" w:hAnsi="Arial" w:cs="Arial"/>
        </w:rPr>
        <w:t>Alyakina</w:t>
      </w:r>
      <w:proofErr w:type="spellEnd"/>
      <w:r w:rsidRPr="0010446F">
        <w:rPr>
          <w:rFonts w:ascii="Arial" w:hAnsi="Arial" w:cs="Arial"/>
        </w:rPr>
        <w:t>, D.P. and Kamalova, A.A., 2020. Management of long-term financing in a company. </w:t>
      </w:r>
      <w:r w:rsidRPr="0010446F">
        <w:rPr>
          <w:rFonts w:ascii="Arial" w:hAnsi="Arial" w:cs="Arial"/>
          <w:i/>
          <w:iCs/>
        </w:rPr>
        <w:t xml:space="preserve">Revista Turismo </w:t>
      </w:r>
      <w:proofErr w:type="spellStart"/>
      <w:r w:rsidRPr="0010446F">
        <w:rPr>
          <w:rFonts w:ascii="Arial" w:hAnsi="Arial" w:cs="Arial"/>
          <w:i/>
          <w:iCs/>
        </w:rPr>
        <w:t>Estudos</w:t>
      </w:r>
      <w:proofErr w:type="spellEnd"/>
      <w:r w:rsidRPr="0010446F">
        <w:rPr>
          <w:rFonts w:ascii="Arial" w:hAnsi="Arial" w:cs="Arial"/>
          <w:i/>
          <w:iCs/>
        </w:rPr>
        <w:t xml:space="preserve"> e </w:t>
      </w:r>
      <w:proofErr w:type="spellStart"/>
      <w:r w:rsidRPr="0010446F">
        <w:rPr>
          <w:rFonts w:ascii="Arial" w:hAnsi="Arial" w:cs="Arial"/>
          <w:i/>
          <w:iCs/>
        </w:rPr>
        <w:t>Práticas</w:t>
      </w:r>
      <w:proofErr w:type="spellEnd"/>
      <w:r w:rsidRPr="0010446F">
        <w:rPr>
          <w:rFonts w:ascii="Arial" w:hAnsi="Arial" w:cs="Arial"/>
          <w:i/>
          <w:iCs/>
        </w:rPr>
        <w:t>-RTEP/GEPLAT/UERN</w:t>
      </w:r>
      <w:r w:rsidRPr="0010446F">
        <w:rPr>
          <w:rFonts w:ascii="Arial" w:hAnsi="Arial" w:cs="Arial"/>
        </w:rPr>
        <w:t>, (5), pp.1-8.</w:t>
      </w:r>
    </w:p>
    <w:p w14:paraId="6EA59366" w14:textId="77777777" w:rsidR="00C33A60" w:rsidRPr="0010446F" w:rsidRDefault="00C33A60" w:rsidP="00C7346B">
      <w:pPr>
        <w:rPr>
          <w:rFonts w:ascii="Arial" w:hAnsi="Arial" w:cs="Arial"/>
        </w:rPr>
      </w:pPr>
      <w:proofErr w:type="spellStart"/>
      <w:r w:rsidRPr="0010446F">
        <w:rPr>
          <w:rFonts w:ascii="Arial" w:hAnsi="Arial" w:cs="Arial"/>
        </w:rPr>
        <w:t>Potharla</w:t>
      </w:r>
      <w:proofErr w:type="spellEnd"/>
      <w:r w:rsidRPr="0010446F">
        <w:rPr>
          <w:rFonts w:ascii="Arial" w:hAnsi="Arial" w:cs="Arial"/>
        </w:rPr>
        <w:t>, S., 2025. Financial and strategic analysis of Tata Motors: Insights from corporate finance perspectives. </w:t>
      </w:r>
      <w:r w:rsidRPr="0010446F">
        <w:rPr>
          <w:rFonts w:ascii="Arial" w:hAnsi="Arial" w:cs="Arial"/>
          <w:i/>
          <w:iCs/>
        </w:rPr>
        <w:t>Available at SSRN 5294575</w:t>
      </w:r>
      <w:r w:rsidRPr="0010446F">
        <w:rPr>
          <w:rFonts w:ascii="Arial" w:hAnsi="Arial" w:cs="Arial"/>
        </w:rPr>
        <w:t>.</w:t>
      </w:r>
    </w:p>
    <w:p w14:paraId="6114ABC2" w14:textId="77777777" w:rsidR="00C33A60" w:rsidRPr="0010446F" w:rsidRDefault="00C33A60" w:rsidP="00C7346B">
      <w:pPr>
        <w:rPr>
          <w:rFonts w:ascii="Arial" w:hAnsi="Arial" w:cs="Arial"/>
        </w:rPr>
      </w:pPr>
      <w:r w:rsidRPr="0010446F">
        <w:rPr>
          <w:rFonts w:ascii="Arial" w:hAnsi="Arial" w:cs="Arial"/>
        </w:rPr>
        <w:t>Rehan, H., 2024. The future of electric vehicles: navigating the intersection of AI, cloud technology, and cybersecurity. </w:t>
      </w:r>
      <w:r w:rsidRPr="0010446F">
        <w:rPr>
          <w:rFonts w:ascii="Arial" w:hAnsi="Arial" w:cs="Arial"/>
          <w:i/>
          <w:iCs/>
        </w:rPr>
        <w:t>Valley International Journal Digital Library</w:t>
      </w:r>
      <w:r w:rsidRPr="0010446F">
        <w:rPr>
          <w:rFonts w:ascii="Arial" w:hAnsi="Arial" w:cs="Arial"/>
        </w:rPr>
        <w:t>, </w:t>
      </w:r>
      <w:r w:rsidRPr="0010446F">
        <w:rPr>
          <w:rFonts w:ascii="Arial" w:hAnsi="Arial" w:cs="Arial"/>
          <w:i/>
          <w:iCs/>
        </w:rPr>
        <w:t>12</w:t>
      </w:r>
      <w:r w:rsidRPr="0010446F">
        <w:rPr>
          <w:rFonts w:ascii="Arial" w:hAnsi="Arial" w:cs="Arial"/>
        </w:rPr>
        <w:t>(04), pp.1127-1143.</w:t>
      </w:r>
    </w:p>
    <w:p w14:paraId="710E2D7B" w14:textId="77777777" w:rsidR="00C33A60" w:rsidRPr="0010446F" w:rsidRDefault="00C33A60" w:rsidP="00C7346B">
      <w:pPr>
        <w:rPr>
          <w:rFonts w:ascii="Arial" w:hAnsi="Arial" w:cs="Arial"/>
        </w:rPr>
      </w:pPr>
      <w:r w:rsidRPr="0010446F">
        <w:rPr>
          <w:rFonts w:ascii="Arial" w:hAnsi="Arial" w:cs="Arial"/>
        </w:rPr>
        <w:t xml:space="preserve">Susanti, T., </w:t>
      </w:r>
      <w:proofErr w:type="spellStart"/>
      <w:r w:rsidRPr="0010446F">
        <w:rPr>
          <w:rFonts w:ascii="Arial" w:hAnsi="Arial" w:cs="Arial"/>
        </w:rPr>
        <w:t>Rionaldi</w:t>
      </w:r>
      <w:proofErr w:type="spellEnd"/>
      <w:r w:rsidRPr="0010446F">
        <w:rPr>
          <w:rFonts w:ascii="Arial" w:hAnsi="Arial" w:cs="Arial"/>
        </w:rPr>
        <w:t xml:space="preserve">, R., </w:t>
      </w:r>
      <w:proofErr w:type="spellStart"/>
      <w:r w:rsidRPr="0010446F">
        <w:rPr>
          <w:rFonts w:ascii="Arial" w:hAnsi="Arial" w:cs="Arial"/>
        </w:rPr>
        <w:t>Aristiawan</w:t>
      </w:r>
      <w:proofErr w:type="spellEnd"/>
      <w:r w:rsidRPr="0010446F">
        <w:rPr>
          <w:rFonts w:ascii="Arial" w:hAnsi="Arial" w:cs="Arial"/>
        </w:rPr>
        <w:t xml:space="preserve">, D., </w:t>
      </w:r>
      <w:proofErr w:type="spellStart"/>
      <w:r w:rsidRPr="0010446F">
        <w:rPr>
          <w:rFonts w:ascii="Arial" w:hAnsi="Arial" w:cs="Arial"/>
        </w:rPr>
        <w:t>Taufid</w:t>
      </w:r>
      <w:proofErr w:type="spellEnd"/>
      <w:r w:rsidRPr="0010446F">
        <w:rPr>
          <w:rFonts w:ascii="Arial" w:hAnsi="Arial" w:cs="Arial"/>
        </w:rPr>
        <w:t>, H. and Lusiana, L., 2025. Implementation of Just-In-Time (JIT) in Inventory Management: A Case Study in a Manufacturing Company. </w:t>
      </w:r>
      <w:proofErr w:type="spellStart"/>
      <w:r w:rsidRPr="0010446F">
        <w:rPr>
          <w:rFonts w:ascii="Arial" w:hAnsi="Arial" w:cs="Arial"/>
          <w:i/>
          <w:iCs/>
        </w:rPr>
        <w:t>Eduvest</w:t>
      </w:r>
      <w:proofErr w:type="spellEnd"/>
      <w:r w:rsidRPr="0010446F">
        <w:rPr>
          <w:rFonts w:ascii="Arial" w:hAnsi="Arial" w:cs="Arial"/>
          <w:i/>
          <w:iCs/>
        </w:rPr>
        <w:t>-Journal of Universal Studies</w:t>
      </w:r>
      <w:r w:rsidRPr="0010446F">
        <w:rPr>
          <w:rFonts w:ascii="Arial" w:hAnsi="Arial" w:cs="Arial"/>
        </w:rPr>
        <w:t>, </w:t>
      </w:r>
      <w:r w:rsidRPr="0010446F">
        <w:rPr>
          <w:rFonts w:ascii="Arial" w:hAnsi="Arial" w:cs="Arial"/>
          <w:i/>
          <w:iCs/>
        </w:rPr>
        <w:t>5</w:t>
      </w:r>
      <w:r w:rsidRPr="0010446F">
        <w:rPr>
          <w:rFonts w:ascii="Arial" w:hAnsi="Arial" w:cs="Arial"/>
        </w:rPr>
        <w:t>(7), pp.6208-6216.</w:t>
      </w:r>
    </w:p>
    <w:p w14:paraId="47F3B920" w14:textId="77777777" w:rsidR="00C33A60" w:rsidRPr="0010446F" w:rsidRDefault="00C33A60" w:rsidP="00C7346B">
      <w:pPr>
        <w:rPr>
          <w:rFonts w:ascii="Arial" w:hAnsi="Arial" w:cs="Arial"/>
        </w:rPr>
      </w:pPr>
      <w:proofErr w:type="spellStart"/>
      <w:r w:rsidRPr="0010446F">
        <w:rPr>
          <w:rFonts w:ascii="Arial" w:hAnsi="Arial" w:cs="Arial"/>
        </w:rPr>
        <w:t>Taneri</w:t>
      </w:r>
      <w:proofErr w:type="spellEnd"/>
      <w:r w:rsidRPr="0010446F">
        <w:rPr>
          <w:rFonts w:ascii="Arial" w:hAnsi="Arial" w:cs="Arial"/>
        </w:rPr>
        <w:t>, B., 2026. </w:t>
      </w:r>
      <w:r w:rsidRPr="0010446F">
        <w:rPr>
          <w:rFonts w:ascii="Arial" w:hAnsi="Arial" w:cs="Arial"/>
          <w:i/>
          <w:iCs/>
        </w:rPr>
        <w:t>Building Raw Material Recovery Capabilities: The Case of Electric Batteries in the Automotive Industry</w:t>
      </w:r>
      <w:r w:rsidRPr="0010446F">
        <w:rPr>
          <w:rFonts w:ascii="Arial" w:hAnsi="Arial" w:cs="Arial"/>
        </w:rPr>
        <w:t> (Master's thesis, Middle East Technical University).</w:t>
      </w:r>
    </w:p>
    <w:p w14:paraId="6C11DAC3" w14:textId="77777777" w:rsidR="00C33A60" w:rsidRPr="0010446F" w:rsidRDefault="00C33A60" w:rsidP="00B5548F">
      <w:pPr>
        <w:rPr>
          <w:rFonts w:ascii="Arial" w:hAnsi="Arial" w:cs="Arial"/>
          <w:lang w:val="en-US"/>
        </w:rPr>
      </w:pPr>
      <w:r w:rsidRPr="0010446F">
        <w:rPr>
          <w:rFonts w:ascii="Arial" w:hAnsi="Arial" w:cs="Arial"/>
          <w:lang w:val="en-US"/>
        </w:rPr>
        <w:t xml:space="preserve">Toyota, 2021. Annual Financial Report 2021. [online] available at </w:t>
      </w:r>
      <w:hyperlink r:id="rId14" w:history="1">
        <w:r w:rsidRPr="0010446F">
          <w:rPr>
            <w:rStyle w:val="Hyperlink"/>
            <w:rFonts w:ascii="Arial" w:hAnsi="Arial" w:cs="Arial"/>
            <w:lang w:val="en-US"/>
          </w:rPr>
          <w:t>https://www.toyota-industries.com/investors/items/2021_annual_financial_report_E.pdf</w:t>
        </w:r>
      </w:hyperlink>
    </w:p>
    <w:p w14:paraId="04025864" w14:textId="77777777" w:rsidR="00C33A60" w:rsidRPr="0010446F" w:rsidRDefault="00C33A60" w:rsidP="00B5548F">
      <w:pPr>
        <w:rPr>
          <w:rFonts w:ascii="Arial" w:hAnsi="Arial" w:cs="Arial"/>
          <w:lang w:val="en-US"/>
        </w:rPr>
      </w:pPr>
      <w:r w:rsidRPr="0010446F">
        <w:rPr>
          <w:rFonts w:ascii="Arial" w:hAnsi="Arial" w:cs="Arial"/>
          <w:lang w:val="en-US"/>
        </w:rPr>
        <w:t xml:space="preserve">Toyota, 2022. Annual Financial Report 2022. [online] available at </w:t>
      </w:r>
      <w:hyperlink r:id="rId15" w:history="1">
        <w:r w:rsidRPr="0010446F">
          <w:rPr>
            <w:rStyle w:val="Hyperlink"/>
            <w:rFonts w:ascii="Arial" w:hAnsi="Arial" w:cs="Arial"/>
            <w:lang w:val="en-US"/>
          </w:rPr>
          <w:t>https://www.toyota-industries.com/investors/library/reports/index.html</w:t>
        </w:r>
      </w:hyperlink>
    </w:p>
    <w:p w14:paraId="69059705" w14:textId="77777777" w:rsidR="00C33A60" w:rsidRPr="0010446F" w:rsidRDefault="00C33A60" w:rsidP="00B5548F">
      <w:pPr>
        <w:rPr>
          <w:rFonts w:ascii="Arial" w:hAnsi="Arial" w:cs="Arial"/>
          <w:lang w:val="en-US"/>
        </w:rPr>
      </w:pPr>
      <w:r w:rsidRPr="0010446F">
        <w:rPr>
          <w:rFonts w:ascii="Arial" w:hAnsi="Arial" w:cs="Arial"/>
          <w:lang w:val="en-US"/>
        </w:rPr>
        <w:t xml:space="preserve">Toyota, 2023. Annual Financial Report 2023. [online] available at </w:t>
      </w:r>
      <w:hyperlink r:id="rId16" w:history="1">
        <w:r w:rsidRPr="0010446F">
          <w:rPr>
            <w:rStyle w:val="Hyperlink"/>
            <w:rFonts w:ascii="Arial" w:hAnsi="Arial" w:cs="Arial"/>
            <w:lang w:val="en-US"/>
          </w:rPr>
          <w:t>https://www.toyota-industries.com/investors/item/2023_annual_financial_report_E.pdf</w:t>
        </w:r>
      </w:hyperlink>
    </w:p>
    <w:p w14:paraId="167F787B" w14:textId="77777777" w:rsidR="00C33A60" w:rsidRPr="0010446F" w:rsidRDefault="00C33A60" w:rsidP="00B5548F">
      <w:pPr>
        <w:rPr>
          <w:rFonts w:ascii="Arial" w:hAnsi="Arial" w:cs="Arial"/>
          <w:lang w:val="en-US"/>
        </w:rPr>
      </w:pPr>
      <w:r w:rsidRPr="0010446F">
        <w:rPr>
          <w:rFonts w:ascii="Arial" w:hAnsi="Arial" w:cs="Arial"/>
          <w:lang w:val="en-US"/>
        </w:rPr>
        <w:t xml:space="preserve">Toyota, 2024. Annual Financial Report 2024. [online] available at </w:t>
      </w:r>
      <w:hyperlink r:id="rId17" w:history="1">
        <w:r w:rsidRPr="0010446F">
          <w:rPr>
            <w:rStyle w:val="Hyperlink"/>
            <w:rFonts w:ascii="Arial" w:hAnsi="Arial" w:cs="Arial"/>
            <w:lang w:val="en-US"/>
          </w:rPr>
          <w:t>https://global.toyota/pages/global_toyota/ir/library/annual/2024_001_integrated_en.pdf</w:t>
        </w:r>
      </w:hyperlink>
    </w:p>
    <w:p w14:paraId="333DBC1C" w14:textId="77777777" w:rsidR="00C33A60" w:rsidRPr="0010446F" w:rsidRDefault="00C33A60" w:rsidP="00C7346B">
      <w:pPr>
        <w:rPr>
          <w:rFonts w:ascii="Arial" w:hAnsi="Arial" w:cs="Arial"/>
          <w:lang w:val="en-US"/>
        </w:rPr>
      </w:pPr>
      <w:r w:rsidRPr="0010446F">
        <w:rPr>
          <w:rFonts w:ascii="Arial" w:hAnsi="Arial" w:cs="Arial"/>
          <w:lang w:val="en-US"/>
        </w:rPr>
        <w:t xml:space="preserve">Toyota, 2025. Annual Financial Report 2025. [online] available at </w:t>
      </w:r>
      <w:hyperlink r:id="rId18" w:history="1">
        <w:r w:rsidRPr="0010446F">
          <w:rPr>
            <w:rStyle w:val="Hyperlink"/>
            <w:rFonts w:ascii="Arial" w:hAnsi="Arial" w:cs="Arial"/>
            <w:lang w:val="en-US"/>
          </w:rPr>
          <w:t>https://www.toyota-industries.com/investors/item/2025_annual_financial_report_E.pdf</w:t>
        </w:r>
      </w:hyperlink>
    </w:p>
    <w:p w14:paraId="62664534" w14:textId="77777777" w:rsidR="00C33A60" w:rsidRPr="0010446F" w:rsidRDefault="00C33A60" w:rsidP="00C7346B">
      <w:pPr>
        <w:rPr>
          <w:rFonts w:ascii="Arial" w:hAnsi="Arial" w:cs="Arial"/>
          <w:lang w:val="en-US"/>
        </w:rPr>
      </w:pPr>
      <w:r w:rsidRPr="0010446F">
        <w:rPr>
          <w:rFonts w:ascii="Arial" w:hAnsi="Arial" w:cs="Arial"/>
          <w:lang w:val="en-US"/>
        </w:rPr>
        <w:t xml:space="preserve">Toyota, 2026. Our Picks. [online] available at </w:t>
      </w:r>
      <w:hyperlink r:id="rId19" w:history="1">
        <w:r w:rsidRPr="0010446F">
          <w:rPr>
            <w:rStyle w:val="Hyperlink"/>
            <w:rFonts w:ascii="Arial" w:hAnsi="Arial" w:cs="Arial"/>
            <w:lang w:val="en-US"/>
          </w:rPr>
          <w:t>https://global.toyota/en/</w:t>
        </w:r>
      </w:hyperlink>
    </w:p>
    <w:p w14:paraId="0879BD3A" w14:textId="77777777" w:rsidR="00C33A60" w:rsidRPr="0010446F" w:rsidRDefault="00C33A60" w:rsidP="00C7346B">
      <w:pPr>
        <w:rPr>
          <w:rFonts w:ascii="Arial" w:hAnsi="Arial" w:cs="Arial"/>
        </w:rPr>
      </w:pPr>
      <w:r w:rsidRPr="0010446F">
        <w:rPr>
          <w:rFonts w:ascii="Arial" w:hAnsi="Arial" w:cs="Arial"/>
        </w:rPr>
        <w:lastRenderedPageBreak/>
        <w:t>Wang, Z., 2021, December. Evaluating the Accuracy of Net Present Value and Initial Rate of Return Investment Rules. In </w:t>
      </w:r>
      <w:r w:rsidRPr="0010446F">
        <w:rPr>
          <w:rFonts w:ascii="Arial" w:hAnsi="Arial" w:cs="Arial"/>
          <w:i/>
          <w:iCs/>
        </w:rPr>
        <w:t>2021 3rd International Conference on Economic Management and Cultural Industry (ICEMCI 2021)</w:t>
      </w:r>
      <w:r w:rsidRPr="0010446F">
        <w:rPr>
          <w:rFonts w:ascii="Arial" w:hAnsi="Arial" w:cs="Arial"/>
        </w:rPr>
        <w:t> (pp. 1319-1322). Atlantis Press.</w:t>
      </w:r>
    </w:p>
    <w:p w14:paraId="415D0BAC" w14:textId="77777777" w:rsidR="00C33A60" w:rsidRPr="0010446F" w:rsidRDefault="00C33A60" w:rsidP="00C7346B">
      <w:pPr>
        <w:rPr>
          <w:rFonts w:ascii="Arial" w:hAnsi="Arial" w:cs="Arial"/>
          <w:lang w:val="en-US"/>
        </w:rPr>
      </w:pPr>
      <w:r w:rsidRPr="0010446F">
        <w:rPr>
          <w:rFonts w:ascii="Arial" w:hAnsi="Arial" w:cs="Arial"/>
        </w:rPr>
        <w:t>Xu, J., 2024. </w:t>
      </w:r>
      <w:r w:rsidRPr="0010446F">
        <w:rPr>
          <w:rFonts w:ascii="Arial" w:hAnsi="Arial" w:cs="Arial"/>
          <w:i/>
          <w:iCs/>
        </w:rPr>
        <w:t>Strategic Emerging Industry: Analysis of Development of New Energy Vehicles</w:t>
      </w:r>
      <w:r w:rsidRPr="0010446F">
        <w:rPr>
          <w:rFonts w:ascii="Arial" w:hAnsi="Arial" w:cs="Arial"/>
        </w:rPr>
        <w:t xml:space="preserve"> (Doctoral dissertation, </w:t>
      </w:r>
      <w:proofErr w:type="spellStart"/>
      <w:r w:rsidRPr="0010446F">
        <w:rPr>
          <w:rFonts w:ascii="Arial" w:hAnsi="Arial" w:cs="Arial"/>
        </w:rPr>
        <w:t>Politecnico</w:t>
      </w:r>
      <w:proofErr w:type="spellEnd"/>
      <w:r w:rsidRPr="0010446F">
        <w:rPr>
          <w:rFonts w:ascii="Arial" w:hAnsi="Arial" w:cs="Arial"/>
        </w:rPr>
        <w:t xml:space="preserve"> di Torino).</w:t>
      </w:r>
    </w:p>
    <w:sectPr w:rsidR="00C33A60" w:rsidRPr="0010446F" w:rsidSect="00AE6A16">
      <w:footerReference w:type="default" r:id="rId20"/>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36B671" w14:textId="77777777" w:rsidR="00C84CED" w:rsidRDefault="00C84CED" w:rsidP="00AE6A16">
      <w:pPr>
        <w:spacing w:before="0" w:after="0" w:line="240" w:lineRule="auto"/>
      </w:pPr>
      <w:r>
        <w:separator/>
      </w:r>
    </w:p>
  </w:endnote>
  <w:endnote w:type="continuationSeparator" w:id="0">
    <w:p w14:paraId="09594418" w14:textId="77777777" w:rsidR="00C84CED" w:rsidRDefault="00C84CED" w:rsidP="00AE6A1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5659001"/>
      <w:docPartObj>
        <w:docPartGallery w:val="Page Numbers (Bottom of Page)"/>
        <w:docPartUnique/>
      </w:docPartObj>
    </w:sdtPr>
    <w:sdtEndPr>
      <w:rPr>
        <w:noProof/>
      </w:rPr>
    </w:sdtEndPr>
    <w:sdtContent>
      <w:p w14:paraId="45DACC42" w14:textId="77777777" w:rsidR="00AE6A16" w:rsidRDefault="00AE6A16">
        <w:pPr>
          <w:pStyle w:val="Footer"/>
          <w:jc w:val="right"/>
        </w:pPr>
        <w:r>
          <w:fldChar w:fldCharType="begin"/>
        </w:r>
        <w:r>
          <w:instrText xml:space="preserve"> PAGE   \* MERGEFORMAT </w:instrText>
        </w:r>
        <w:r>
          <w:fldChar w:fldCharType="separate"/>
        </w:r>
        <w:r w:rsidR="002541D0">
          <w:rPr>
            <w:noProof/>
          </w:rPr>
          <w:t>3</w:t>
        </w:r>
        <w:r>
          <w:rPr>
            <w:noProof/>
          </w:rPr>
          <w:fldChar w:fldCharType="end"/>
        </w:r>
      </w:p>
    </w:sdtContent>
  </w:sdt>
  <w:p w14:paraId="75DAE893" w14:textId="77777777" w:rsidR="00AE6A16" w:rsidRDefault="00AE6A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68F7EA" w14:textId="77777777" w:rsidR="00C84CED" w:rsidRDefault="00C84CED" w:rsidP="00AE6A16">
      <w:pPr>
        <w:spacing w:before="0" w:after="0" w:line="240" w:lineRule="auto"/>
      </w:pPr>
      <w:r>
        <w:separator/>
      </w:r>
    </w:p>
  </w:footnote>
  <w:footnote w:type="continuationSeparator" w:id="0">
    <w:p w14:paraId="6F0D255C" w14:textId="77777777" w:rsidR="00C84CED" w:rsidRDefault="00C84CED" w:rsidP="00AE6A16">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6A16"/>
    <w:rsid w:val="00000C2A"/>
    <w:rsid w:val="000145E9"/>
    <w:rsid w:val="000B56A3"/>
    <w:rsid w:val="0010446F"/>
    <w:rsid w:val="00162AFF"/>
    <w:rsid w:val="00165470"/>
    <w:rsid w:val="00180094"/>
    <w:rsid w:val="001E6BD4"/>
    <w:rsid w:val="00202D64"/>
    <w:rsid w:val="00213875"/>
    <w:rsid w:val="00237F11"/>
    <w:rsid w:val="00241F26"/>
    <w:rsid w:val="002541D0"/>
    <w:rsid w:val="002578C6"/>
    <w:rsid w:val="00334BB7"/>
    <w:rsid w:val="00357DF9"/>
    <w:rsid w:val="00361503"/>
    <w:rsid w:val="003932A9"/>
    <w:rsid w:val="0043059F"/>
    <w:rsid w:val="0047260E"/>
    <w:rsid w:val="00490405"/>
    <w:rsid w:val="004F4BC1"/>
    <w:rsid w:val="005B57D6"/>
    <w:rsid w:val="00614463"/>
    <w:rsid w:val="00621786"/>
    <w:rsid w:val="00634836"/>
    <w:rsid w:val="006D2A9A"/>
    <w:rsid w:val="00731434"/>
    <w:rsid w:val="007A54D8"/>
    <w:rsid w:val="007A6A1D"/>
    <w:rsid w:val="007C3064"/>
    <w:rsid w:val="007C6B7D"/>
    <w:rsid w:val="007F2E9F"/>
    <w:rsid w:val="008547E6"/>
    <w:rsid w:val="008817D9"/>
    <w:rsid w:val="008A7102"/>
    <w:rsid w:val="008B113C"/>
    <w:rsid w:val="008B7D7F"/>
    <w:rsid w:val="00944F6A"/>
    <w:rsid w:val="00A6321A"/>
    <w:rsid w:val="00AC7972"/>
    <w:rsid w:val="00AE6A16"/>
    <w:rsid w:val="00B55213"/>
    <w:rsid w:val="00B5548F"/>
    <w:rsid w:val="00B6342D"/>
    <w:rsid w:val="00C33A60"/>
    <w:rsid w:val="00C43955"/>
    <w:rsid w:val="00C556DF"/>
    <w:rsid w:val="00C7346B"/>
    <w:rsid w:val="00C84CED"/>
    <w:rsid w:val="00C84E75"/>
    <w:rsid w:val="00D7663E"/>
    <w:rsid w:val="00D83083"/>
    <w:rsid w:val="00DA7B65"/>
    <w:rsid w:val="00DB06BD"/>
    <w:rsid w:val="00DB553A"/>
    <w:rsid w:val="00DB7FAB"/>
    <w:rsid w:val="00EF61C2"/>
    <w:rsid w:val="00F25BD0"/>
    <w:rsid w:val="00F3692E"/>
    <w:rsid w:val="00F806B0"/>
    <w:rsid w:val="00FB4EEB"/>
    <w:rsid w:val="00FC3A66"/>
    <w:rsid w:val="00FE0F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F5EE9"/>
  <w15:chartTrackingRefBased/>
  <w15:docId w15:val="{F7BFB96E-5AE2-4503-BF4B-D723CA2650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5BD0"/>
    <w:pPr>
      <w:spacing w:before="120" w:after="120" w:line="360" w:lineRule="auto"/>
      <w:jc w:val="both"/>
    </w:pPr>
    <w:rPr>
      <w:rFonts w:ascii="Times New Roman" w:hAnsi="Times New Roman"/>
      <w:kern w:val="2"/>
      <w:sz w:val="24"/>
      <w:szCs w:val="24"/>
      <w:lang w:val="en-IN"/>
      <w14:ligatures w14:val="standardContextual"/>
    </w:rPr>
  </w:style>
  <w:style w:type="paragraph" w:styleId="Heading1">
    <w:name w:val="heading 1"/>
    <w:basedOn w:val="Normal"/>
    <w:next w:val="Normal"/>
    <w:link w:val="Heading1Char"/>
    <w:uiPriority w:val="9"/>
    <w:qFormat/>
    <w:rsid w:val="00AE6A16"/>
    <w:pPr>
      <w:keepNext/>
      <w:keepLines/>
      <w:outlineLvl w:val="0"/>
    </w:pPr>
    <w:rPr>
      <w:rFonts w:eastAsiaTheme="majorEastAsia" w:cstheme="majorBidi"/>
      <w:b/>
      <w:color w:val="000000" w:themeColor="text1"/>
      <w:kern w:val="0"/>
      <w:szCs w:val="40"/>
      <w:lang w:val="en-US"/>
      <w14:ligatures w14:val="none"/>
    </w:rPr>
  </w:style>
  <w:style w:type="paragraph" w:styleId="Heading2">
    <w:name w:val="heading 2"/>
    <w:basedOn w:val="Normal"/>
    <w:next w:val="Normal"/>
    <w:link w:val="Heading2Char"/>
    <w:uiPriority w:val="9"/>
    <w:unhideWhenUsed/>
    <w:qFormat/>
    <w:rsid w:val="007F2E9F"/>
    <w:pPr>
      <w:keepNext/>
      <w:keepLines/>
      <w:outlineLvl w:val="1"/>
    </w:pPr>
    <w:rPr>
      <w:rFonts w:eastAsiaTheme="majorEastAsia" w:cstheme="majorBidi"/>
      <w:kern w:val="0"/>
      <w:szCs w:val="32"/>
      <w:u w:val="single"/>
      <w:lang w:val="en-US"/>
      <w14:ligatures w14:val="none"/>
    </w:rPr>
  </w:style>
  <w:style w:type="paragraph" w:styleId="Heading3">
    <w:name w:val="heading 3"/>
    <w:basedOn w:val="Normal"/>
    <w:next w:val="Normal"/>
    <w:link w:val="Heading3Char"/>
    <w:uiPriority w:val="9"/>
    <w:semiHidden/>
    <w:unhideWhenUsed/>
    <w:qFormat/>
    <w:rsid w:val="00334BB7"/>
    <w:pPr>
      <w:keepNext/>
      <w:keepLines/>
      <w:spacing w:before="40" w:after="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6A16"/>
    <w:rPr>
      <w:rFonts w:ascii="Times New Roman" w:eastAsiaTheme="majorEastAsia" w:hAnsi="Times New Roman" w:cstheme="majorBidi"/>
      <w:b/>
      <w:color w:val="000000" w:themeColor="text1"/>
      <w:sz w:val="24"/>
      <w:szCs w:val="40"/>
    </w:rPr>
  </w:style>
  <w:style w:type="character" w:customStyle="1" w:styleId="Heading2Char">
    <w:name w:val="Heading 2 Char"/>
    <w:basedOn w:val="DefaultParagraphFont"/>
    <w:link w:val="Heading2"/>
    <w:uiPriority w:val="9"/>
    <w:rsid w:val="007F2E9F"/>
    <w:rPr>
      <w:rFonts w:ascii="Times New Roman" w:eastAsiaTheme="majorEastAsia" w:hAnsi="Times New Roman" w:cstheme="majorBidi"/>
      <w:sz w:val="24"/>
      <w:szCs w:val="32"/>
      <w:u w:val="single"/>
    </w:rPr>
  </w:style>
  <w:style w:type="paragraph" w:styleId="Header">
    <w:name w:val="header"/>
    <w:basedOn w:val="Normal"/>
    <w:link w:val="HeaderChar"/>
    <w:uiPriority w:val="99"/>
    <w:unhideWhenUsed/>
    <w:rsid w:val="00AE6A1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AE6A16"/>
    <w:rPr>
      <w:rFonts w:ascii="Times New Roman" w:hAnsi="Times New Roman"/>
      <w:kern w:val="2"/>
      <w:sz w:val="24"/>
      <w:szCs w:val="24"/>
      <w:lang w:val="en-IN"/>
      <w14:ligatures w14:val="standardContextual"/>
    </w:rPr>
  </w:style>
  <w:style w:type="paragraph" w:styleId="Footer">
    <w:name w:val="footer"/>
    <w:basedOn w:val="Normal"/>
    <w:link w:val="FooterChar"/>
    <w:uiPriority w:val="99"/>
    <w:unhideWhenUsed/>
    <w:rsid w:val="00AE6A1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AE6A16"/>
    <w:rPr>
      <w:rFonts w:ascii="Times New Roman" w:hAnsi="Times New Roman"/>
      <w:kern w:val="2"/>
      <w:sz w:val="24"/>
      <w:szCs w:val="24"/>
      <w:lang w:val="en-IN"/>
      <w14:ligatures w14:val="standardContextual"/>
    </w:rPr>
  </w:style>
  <w:style w:type="paragraph" w:styleId="Caption">
    <w:name w:val="caption"/>
    <w:basedOn w:val="Normal"/>
    <w:next w:val="Normal"/>
    <w:uiPriority w:val="35"/>
    <w:unhideWhenUsed/>
    <w:qFormat/>
    <w:rsid w:val="00FE0F5E"/>
    <w:pPr>
      <w:spacing w:before="0" w:after="200" w:line="240" w:lineRule="auto"/>
    </w:pPr>
    <w:rPr>
      <w:i/>
      <w:iCs/>
      <w:color w:val="44546A" w:themeColor="text2"/>
      <w:sz w:val="18"/>
      <w:szCs w:val="18"/>
    </w:rPr>
  </w:style>
  <w:style w:type="paragraph" w:styleId="NoSpacing">
    <w:name w:val="No Spacing"/>
    <w:uiPriority w:val="1"/>
    <w:qFormat/>
    <w:rsid w:val="00180094"/>
    <w:pPr>
      <w:spacing w:after="0" w:line="240" w:lineRule="auto"/>
      <w:jc w:val="both"/>
    </w:pPr>
    <w:rPr>
      <w:rFonts w:ascii="Times New Roman" w:hAnsi="Times New Roman"/>
      <w:kern w:val="2"/>
      <w:sz w:val="24"/>
      <w:szCs w:val="24"/>
      <w:lang w:val="en-IN"/>
      <w14:ligatures w14:val="standardContextual"/>
    </w:rPr>
  </w:style>
  <w:style w:type="paragraph" w:styleId="TOCHeading">
    <w:name w:val="TOC Heading"/>
    <w:basedOn w:val="Heading1"/>
    <w:next w:val="Normal"/>
    <w:uiPriority w:val="39"/>
    <w:unhideWhenUsed/>
    <w:qFormat/>
    <w:rsid w:val="00334BB7"/>
    <w:pPr>
      <w:spacing w:before="240" w:after="0" w:line="259" w:lineRule="auto"/>
      <w:jc w:val="left"/>
      <w:outlineLvl w:val="9"/>
    </w:pPr>
    <w:rPr>
      <w:rFonts w:asciiTheme="majorHAnsi" w:hAnsiTheme="majorHAnsi"/>
      <w:b w:val="0"/>
      <w:color w:val="2E74B5" w:themeColor="accent1" w:themeShade="BF"/>
      <w:sz w:val="32"/>
      <w:szCs w:val="32"/>
    </w:rPr>
  </w:style>
  <w:style w:type="paragraph" w:styleId="TOC1">
    <w:name w:val="toc 1"/>
    <w:basedOn w:val="Normal"/>
    <w:next w:val="Normal"/>
    <w:autoRedefine/>
    <w:uiPriority w:val="39"/>
    <w:unhideWhenUsed/>
    <w:rsid w:val="00334BB7"/>
    <w:pPr>
      <w:spacing w:after="100"/>
    </w:pPr>
  </w:style>
  <w:style w:type="paragraph" w:styleId="TOC2">
    <w:name w:val="toc 2"/>
    <w:basedOn w:val="Normal"/>
    <w:next w:val="Normal"/>
    <w:autoRedefine/>
    <w:uiPriority w:val="39"/>
    <w:unhideWhenUsed/>
    <w:rsid w:val="00334BB7"/>
    <w:pPr>
      <w:spacing w:after="100"/>
      <w:ind w:left="240"/>
    </w:pPr>
  </w:style>
  <w:style w:type="character" w:styleId="Hyperlink">
    <w:name w:val="Hyperlink"/>
    <w:basedOn w:val="DefaultParagraphFont"/>
    <w:uiPriority w:val="99"/>
    <w:unhideWhenUsed/>
    <w:rsid w:val="00334BB7"/>
    <w:rPr>
      <w:color w:val="0563C1" w:themeColor="hyperlink"/>
      <w:u w:val="single"/>
    </w:rPr>
  </w:style>
  <w:style w:type="character" w:customStyle="1" w:styleId="Heading3Char">
    <w:name w:val="Heading 3 Char"/>
    <w:basedOn w:val="DefaultParagraphFont"/>
    <w:link w:val="Heading3"/>
    <w:uiPriority w:val="9"/>
    <w:semiHidden/>
    <w:rsid w:val="00334BB7"/>
    <w:rPr>
      <w:rFonts w:asciiTheme="majorHAnsi" w:eastAsiaTheme="majorEastAsia" w:hAnsiTheme="majorHAnsi" w:cstheme="majorBidi"/>
      <w:color w:val="1F4D78" w:themeColor="accent1" w:themeShade="7F"/>
      <w:kern w:val="2"/>
      <w:sz w:val="24"/>
      <w:szCs w:val="24"/>
      <w:lang w:val="en-IN"/>
      <w14:ligatures w14:val="standardContextual"/>
    </w:rPr>
  </w:style>
  <w:style w:type="table" w:styleId="PlainTable1">
    <w:name w:val="Plain Table 1"/>
    <w:basedOn w:val="TableNormal"/>
    <w:uiPriority w:val="41"/>
    <w:rsid w:val="00334BB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6">
    <w:name w:val="Grid Table 4 Accent 6"/>
    <w:basedOn w:val="TableNormal"/>
    <w:uiPriority w:val="49"/>
    <w:rsid w:val="00334BB7"/>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NormalWeb">
    <w:name w:val="Normal (Web)"/>
    <w:basedOn w:val="Normal"/>
    <w:uiPriority w:val="99"/>
    <w:semiHidden/>
    <w:unhideWhenUsed/>
    <w:rsid w:val="0043059F"/>
    <w:pPr>
      <w:spacing w:before="100" w:beforeAutospacing="1" w:after="100" w:afterAutospacing="1" w:line="240" w:lineRule="auto"/>
      <w:jc w:val="left"/>
    </w:pPr>
    <w:rPr>
      <w:rFonts w:eastAsia="Times New Roman" w:cs="Times New Roman"/>
      <w:kern w:val="0"/>
      <w:lang w:val="en-US"/>
      <w14:ligatures w14:val="none"/>
    </w:rPr>
  </w:style>
  <w:style w:type="character" w:styleId="Strong">
    <w:name w:val="Strong"/>
    <w:basedOn w:val="DefaultParagraphFont"/>
    <w:uiPriority w:val="22"/>
    <w:qFormat/>
    <w:rsid w:val="0043059F"/>
    <w:rPr>
      <w:b/>
      <w:bCs/>
    </w:rPr>
  </w:style>
  <w:style w:type="paragraph" w:styleId="TableofFigures">
    <w:name w:val="table of figures"/>
    <w:basedOn w:val="Normal"/>
    <w:next w:val="Normal"/>
    <w:uiPriority w:val="99"/>
    <w:unhideWhenUsed/>
    <w:rsid w:val="002541D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258962">
      <w:bodyDiv w:val="1"/>
      <w:marLeft w:val="0"/>
      <w:marRight w:val="0"/>
      <w:marTop w:val="0"/>
      <w:marBottom w:val="0"/>
      <w:divBdr>
        <w:top w:val="none" w:sz="0" w:space="0" w:color="auto"/>
        <w:left w:val="none" w:sz="0" w:space="0" w:color="auto"/>
        <w:bottom w:val="none" w:sz="0" w:space="0" w:color="auto"/>
        <w:right w:val="none" w:sz="0" w:space="0" w:color="auto"/>
      </w:divBdr>
    </w:div>
    <w:div w:id="49503901">
      <w:bodyDiv w:val="1"/>
      <w:marLeft w:val="0"/>
      <w:marRight w:val="0"/>
      <w:marTop w:val="0"/>
      <w:marBottom w:val="0"/>
      <w:divBdr>
        <w:top w:val="none" w:sz="0" w:space="0" w:color="auto"/>
        <w:left w:val="none" w:sz="0" w:space="0" w:color="auto"/>
        <w:bottom w:val="none" w:sz="0" w:space="0" w:color="auto"/>
        <w:right w:val="none" w:sz="0" w:space="0" w:color="auto"/>
      </w:divBdr>
    </w:div>
    <w:div w:id="160583021">
      <w:bodyDiv w:val="1"/>
      <w:marLeft w:val="0"/>
      <w:marRight w:val="0"/>
      <w:marTop w:val="0"/>
      <w:marBottom w:val="0"/>
      <w:divBdr>
        <w:top w:val="none" w:sz="0" w:space="0" w:color="auto"/>
        <w:left w:val="none" w:sz="0" w:space="0" w:color="auto"/>
        <w:bottom w:val="none" w:sz="0" w:space="0" w:color="auto"/>
        <w:right w:val="none" w:sz="0" w:space="0" w:color="auto"/>
      </w:divBdr>
      <w:divsChild>
        <w:div w:id="95760597">
          <w:marLeft w:val="0"/>
          <w:marRight w:val="0"/>
          <w:marTop w:val="0"/>
          <w:marBottom w:val="0"/>
          <w:divBdr>
            <w:top w:val="none" w:sz="0" w:space="0" w:color="auto"/>
            <w:left w:val="none" w:sz="0" w:space="0" w:color="auto"/>
            <w:bottom w:val="none" w:sz="0" w:space="0" w:color="auto"/>
            <w:right w:val="none" w:sz="0" w:space="0" w:color="auto"/>
          </w:divBdr>
          <w:divsChild>
            <w:div w:id="1094742991">
              <w:marLeft w:val="0"/>
              <w:marRight w:val="0"/>
              <w:marTop w:val="0"/>
              <w:marBottom w:val="0"/>
              <w:divBdr>
                <w:top w:val="none" w:sz="0" w:space="0" w:color="auto"/>
                <w:left w:val="none" w:sz="0" w:space="0" w:color="auto"/>
                <w:bottom w:val="none" w:sz="0" w:space="0" w:color="auto"/>
                <w:right w:val="none" w:sz="0" w:space="0" w:color="auto"/>
              </w:divBdr>
            </w:div>
          </w:divsChild>
        </w:div>
        <w:div w:id="1970236967">
          <w:marLeft w:val="0"/>
          <w:marRight w:val="0"/>
          <w:marTop w:val="0"/>
          <w:marBottom w:val="0"/>
          <w:divBdr>
            <w:top w:val="none" w:sz="0" w:space="0" w:color="auto"/>
            <w:left w:val="none" w:sz="0" w:space="0" w:color="auto"/>
            <w:bottom w:val="none" w:sz="0" w:space="0" w:color="auto"/>
            <w:right w:val="none" w:sz="0" w:space="0" w:color="auto"/>
          </w:divBdr>
          <w:divsChild>
            <w:div w:id="20591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6980561">
      <w:bodyDiv w:val="1"/>
      <w:marLeft w:val="0"/>
      <w:marRight w:val="0"/>
      <w:marTop w:val="0"/>
      <w:marBottom w:val="0"/>
      <w:divBdr>
        <w:top w:val="none" w:sz="0" w:space="0" w:color="auto"/>
        <w:left w:val="none" w:sz="0" w:space="0" w:color="auto"/>
        <w:bottom w:val="none" w:sz="0" w:space="0" w:color="auto"/>
        <w:right w:val="none" w:sz="0" w:space="0" w:color="auto"/>
      </w:divBdr>
    </w:div>
    <w:div w:id="338193795">
      <w:bodyDiv w:val="1"/>
      <w:marLeft w:val="0"/>
      <w:marRight w:val="0"/>
      <w:marTop w:val="0"/>
      <w:marBottom w:val="0"/>
      <w:divBdr>
        <w:top w:val="none" w:sz="0" w:space="0" w:color="auto"/>
        <w:left w:val="none" w:sz="0" w:space="0" w:color="auto"/>
        <w:bottom w:val="none" w:sz="0" w:space="0" w:color="auto"/>
        <w:right w:val="none" w:sz="0" w:space="0" w:color="auto"/>
      </w:divBdr>
      <w:divsChild>
        <w:div w:id="882062060">
          <w:marLeft w:val="0"/>
          <w:marRight w:val="0"/>
          <w:marTop w:val="0"/>
          <w:marBottom w:val="0"/>
          <w:divBdr>
            <w:top w:val="none" w:sz="0" w:space="0" w:color="auto"/>
            <w:left w:val="none" w:sz="0" w:space="0" w:color="auto"/>
            <w:bottom w:val="none" w:sz="0" w:space="0" w:color="auto"/>
            <w:right w:val="none" w:sz="0" w:space="0" w:color="auto"/>
          </w:divBdr>
          <w:divsChild>
            <w:div w:id="893393736">
              <w:marLeft w:val="0"/>
              <w:marRight w:val="0"/>
              <w:marTop w:val="0"/>
              <w:marBottom w:val="0"/>
              <w:divBdr>
                <w:top w:val="none" w:sz="0" w:space="0" w:color="auto"/>
                <w:left w:val="none" w:sz="0" w:space="0" w:color="auto"/>
                <w:bottom w:val="none" w:sz="0" w:space="0" w:color="auto"/>
                <w:right w:val="none" w:sz="0" w:space="0" w:color="auto"/>
              </w:divBdr>
              <w:divsChild>
                <w:div w:id="219942230">
                  <w:marLeft w:val="0"/>
                  <w:marRight w:val="0"/>
                  <w:marTop w:val="0"/>
                  <w:marBottom w:val="0"/>
                  <w:divBdr>
                    <w:top w:val="none" w:sz="0" w:space="0" w:color="auto"/>
                    <w:left w:val="none" w:sz="0" w:space="0" w:color="auto"/>
                    <w:bottom w:val="none" w:sz="0" w:space="0" w:color="auto"/>
                    <w:right w:val="none" w:sz="0" w:space="0" w:color="auto"/>
                  </w:divBdr>
                  <w:divsChild>
                    <w:div w:id="1177426112">
                      <w:marLeft w:val="0"/>
                      <w:marRight w:val="0"/>
                      <w:marTop w:val="0"/>
                      <w:marBottom w:val="0"/>
                      <w:divBdr>
                        <w:top w:val="none" w:sz="0" w:space="0" w:color="auto"/>
                        <w:left w:val="none" w:sz="0" w:space="0" w:color="auto"/>
                        <w:bottom w:val="none" w:sz="0" w:space="0" w:color="auto"/>
                        <w:right w:val="none" w:sz="0" w:space="0" w:color="auto"/>
                      </w:divBdr>
                      <w:divsChild>
                        <w:div w:id="1062144773">
                          <w:marLeft w:val="0"/>
                          <w:marRight w:val="0"/>
                          <w:marTop w:val="0"/>
                          <w:marBottom w:val="0"/>
                          <w:divBdr>
                            <w:top w:val="none" w:sz="0" w:space="0" w:color="auto"/>
                            <w:left w:val="none" w:sz="0" w:space="0" w:color="auto"/>
                            <w:bottom w:val="none" w:sz="0" w:space="0" w:color="auto"/>
                            <w:right w:val="none" w:sz="0" w:space="0" w:color="auto"/>
                          </w:divBdr>
                          <w:divsChild>
                            <w:div w:id="1517234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6581355">
      <w:bodyDiv w:val="1"/>
      <w:marLeft w:val="0"/>
      <w:marRight w:val="0"/>
      <w:marTop w:val="0"/>
      <w:marBottom w:val="0"/>
      <w:divBdr>
        <w:top w:val="none" w:sz="0" w:space="0" w:color="auto"/>
        <w:left w:val="none" w:sz="0" w:space="0" w:color="auto"/>
        <w:bottom w:val="none" w:sz="0" w:space="0" w:color="auto"/>
        <w:right w:val="none" w:sz="0" w:space="0" w:color="auto"/>
      </w:divBdr>
      <w:divsChild>
        <w:div w:id="803738299">
          <w:marLeft w:val="0"/>
          <w:marRight w:val="0"/>
          <w:marTop w:val="0"/>
          <w:marBottom w:val="0"/>
          <w:divBdr>
            <w:top w:val="none" w:sz="0" w:space="0" w:color="auto"/>
            <w:left w:val="none" w:sz="0" w:space="0" w:color="auto"/>
            <w:bottom w:val="none" w:sz="0" w:space="0" w:color="auto"/>
            <w:right w:val="none" w:sz="0" w:space="0" w:color="auto"/>
          </w:divBdr>
          <w:divsChild>
            <w:div w:id="1614441547">
              <w:marLeft w:val="0"/>
              <w:marRight w:val="0"/>
              <w:marTop w:val="0"/>
              <w:marBottom w:val="0"/>
              <w:divBdr>
                <w:top w:val="none" w:sz="0" w:space="0" w:color="auto"/>
                <w:left w:val="none" w:sz="0" w:space="0" w:color="auto"/>
                <w:bottom w:val="none" w:sz="0" w:space="0" w:color="auto"/>
                <w:right w:val="none" w:sz="0" w:space="0" w:color="auto"/>
              </w:divBdr>
              <w:divsChild>
                <w:div w:id="1703361816">
                  <w:marLeft w:val="0"/>
                  <w:marRight w:val="0"/>
                  <w:marTop w:val="0"/>
                  <w:marBottom w:val="0"/>
                  <w:divBdr>
                    <w:top w:val="none" w:sz="0" w:space="0" w:color="auto"/>
                    <w:left w:val="none" w:sz="0" w:space="0" w:color="auto"/>
                    <w:bottom w:val="none" w:sz="0" w:space="0" w:color="auto"/>
                    <w:right w:val="none" w:sz="0" w:space="0" w:color="auto"/>
                  </w:divBdr>
                  <w:divsChild>
                    <w:div w:id="813763597">
                      <w:marLeft w:val="0"/>
                      <w:marRight w:val="0"/>
                      <w:marTop w:val="0"/>
                      <w:marBottom w:val="0"/>
                      <w:divBdr>
                        <w:top w:val="none" w:sz="0" w:space="0" w:color="auto"/>
                        <w:left w:val="none" w:sz="0" w:space="0" w:color="auto"/>
                        <w:bottom w:val="none" w:sz="0" w:space="0" w:color="auto"/>
                        <w:right w:val="none" w:sz="0" w:space="0" w:color="auto"/>
                      </w:divBdr>
                      <w:divsChild>
                        <w:div w:id="2131508943">
                          <w:marLeft w:val="0"/>
                          <w:marRight w:val="0"/>
                          <w:marTop w:val="0"/>
                          <w:marBottom w:val="0"/>
                          <w:divBdr>
                            <w:top w:val="none" w:sz="0" w:space="0" w:color="auto"/>
                            <w:left w:val="none" w:sz="0" w:space="0" w:color="auto"/>
                            <w:bottom w:val="none" w:sz="0" w:space="0" w:color="auto"/>
                            <w:right w:val="none" w:sz="0" w:space="0" w:color="auto"/>
                          </w:divBdr>
                          <w:divsChild>
                            <w:div w:id="167868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9929641">
      <w:bodyDiv w:val="1"/>
      <w:marLeft w:val="0"/>
      <w:marRight w:val="0"/>
      <w:marTop w:val="0"/>
      <w:marBottom w:val="0"/>
      <w:divBdr>
        <w:top w:val="none" w:sz="0" w:space="0" w:color="auto"/>
        <w:left w:val="none" w:sz="0" w:space="0" w:color="auto"/>
        <w:bottom w:val="none" w:sz="0" w:space="0" w:color="auto"/>
        <w:right w:val="none" w:sz="0" w:space="0" w:color="auto"/>
      </w:divBdr>
    </w:div>
    <w:div w:id="1140417006">
      <w:bodyDiv w:val="1"/>
      <w:marLeft w:val="0"/>
      <w:marRight w:val="0"/>
      <w:marTop w:val="0"/>
      <w:marBottom w:val="0"/>
      <w:divBdr>
        <w:top w:val="none" w:sz="0" w:space="0" w:color="auto"/>
        <w:left w:val="none" w:sz="0" w:space="0" w:color="auto"/>
        <w:bottom w:val="none" w:sz="0" w:space="0" w:color="auto"/>
        <w:right w:val="none" w:sz="0" w:space="0" w:color="auto"/>
      </w:divBdr>
    </w:div>
    <w:div w:id="1149977317">
      <w:bodyDiv w:val="1"/>
      <w:marLeft w:val="0"/>
      <w:marRight w:val="0"/>
      <w:marTop w:val="0"/>
      <w:marBottom w:val="0"/>
      <w:divBdr>
        <w:top w:val="none" w:sz="0" w:space="0" w:color="auto"/>
        <w:left w:val="none" w:sz="0" w:space="0" w:color="auto"/>
        <w:bottom w:val="none" w:sz="0" w:space="0" w:color="auto"/>
        <w:right w:val="none" w:sz="0" w:space="0" w:color="auto"/>
      </w:divBdr>
    </w:div>
    <w:div w:id="1365717303">
      <w:bodyDiv w:val="1"/>
      <w:marLeft w:val="0"/>
      <w:marRight w:val="0"/>
      <w:marTop w:val="0"/>
      <w:marBottom w:val="0"/>
      <w:divBdr>
        <w:top w:val="none" w:sz="0" w:space="0" w:color="auto"/>
        <w:left w:val="none" w:sz="0" w:space="0" w:color="auto"/>
        <w:bottom w:val="none" w:sz="0" w:space="0" w:color="auto"/>
        <w:right w:val="none" w:sz="0" w:space="0" w:color="auto"/>
      </w:divBdr>
      <w:divsChild>
        <w:div w:id="1155292248">
          <w:marLeft w:val="0"/>
          <w:marRight w:val="0"/>
          <w:marTop w:val="0"/>
          <w:marBottom w:val="0"/>
          <w:divBdr>
            <w:top w:val="none" w:sz="0" w:space="0" w:color="auto"/>
            <w:left w:val="none" w:sz="0" w:space="0" w:color="auto"/>
            <w:bottom w:val="none" w:sz="0" w:space="0" w:color="auto"/>
            <w:right w:val="none" w:sz="0" w:space="0" w:color="auto"/>
          </w:divBdr>
          <w:divsChild>
            <w:div w:id="975793335">
              <w:marLeft w:val="0"/>
              <w:marRight w:val="0"/>
              <w:marTop w:val="0"/>
              <w:marBottom w:val="0"/>
              <w:divBdr>
                <w:top w:val="none" w:sz="0" w:space="0" w:color="auto"/>
                <w:left w:val="none" w:sz="0" w:space="0" w:color="auto"/>
                <w:bottom w:val="none" w:sz="0" w:space="0" w:color="auto"/>
                <w:right w:val="none" w:sz="0" w:space="0" w:color="auto"/>
              </w:divBdr>
              <w:divsChild>
                <w:div w:id="1707869189">
                  <w:marLeft w:val="0"/>
                  <w:marRight w:val="0"/>
                  <w:marTop w:val="0"/>
                  <w:marBottom w:val="0"/>
                  <w:divBdr>
                    <w:top w:val="none" w:sz="0" w:space="0" w:color="auto"/>
                    <w:left w:val="none" w:sz="0" w:space="0" w:color="auto"/>
                    <w:bottom w:val="none" w:sz="0" w:space="0" w:color="auto"/>
                    <w:right w:val="none" w:sz="0" w:space="0" w:color="auto"/>
                  </w:divBdr>
                  <w:divsChild>
                    <w:div w:id="1120221764">
                      <w:marLeft w:val="0"/>
                      <w:marRight w:val="0"/>
                      <w:marTop w:val="0"/>
                      <w:marBottom w:val="0"/>
                      <w:divBdr>
                        <w:top w:val="none" w:sz="0" w:space="0" w:color="auto"/>
                        <w:left w:val="none" w:sz="0" w:space="0" w:color="auto"/>
                        <w:bottom w:val="none" w:sz="0" w:space="0" w:color="auto"/>
                        <w:right w:val="none" w:sz="0" w:space="0" w:color="auto"/>
                      </w:divBdr>
                      <w:divsChild>
                        <w:div w:id="492379066">
                          <w:marLeft w:val="0"/>
                          <w:marRight w:val="0"/>
                          <w:marTop w:val="0"/>
                          <w:marBottom w:val="0"/>
                          <w:divBdr>
                            <w:top w:val="none" w:sz="0" w:space="0" w:color="auto"/>
                            <w:left w:val="none" w:sz="0" w:space="0" w:color="auto"/>
                            <w:bottom w:val="none" w:sz="0" w:space="0" w:color="auto"/>
                            <w:right w:val="none" w:sz="0" w:space="0" w:color="auto"/>
                          </w:divBdr>
                          <w:divsChild>
                            <w:div w:id="1584561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2472758">
      <w:bodyDiv w:val="1"/>
      <w:marLeft w:val="0"/>
      <w:marRight w:val="0"/>
      <w:marTop w:val="0"/>
      <w:marBottom w:val="0"/>
      <w:divBdr>
        <w:top w:val="none" w:sz="0" w:space="0" w:color="auto"/>
        <w:left w:val="none" w:sz="0" w:space="0" w:color="auto"/>
        <w:bottom w:val="none" w:sz="0" w:space="0" w:color="auto"/>
        <w:right w:val="none" w:sz="0" w:space="0" w:color="auto"/>
      </w:divBdr>
    </w:div>
    <w:div w:id="1902205022">
      <w:bodyDiv w:val="1"/>
      <w:marLeft w:val="0"/>
      <w:marRight w:val="0"/>
      <w:marTop w:val="0"/>
      <w:marBottom w:val="0"/>
      <w:divBdr>
        <w:top w:val="none" w:sz="0" w:space="0" w:color="auto"/>
        <w:left w:val="none" w:sz="0" w:space="0" w:color="auto"/>
        <w:bottom w:val="none" w:sz="0" w:space="0" w:color="auto"/>
        <w:right w:val="none" w:sz="0" w:space="0" w:color="auto"/>
      </w:divBdr>
    </w:div>
    <w:div w:id="1948153011">
      <w:bodyDiv w:val="1"/>
      <w:marLeft w:val="0"/>
      <w:marRight w:val="0"/>
      <w:marTop w:val="0"/>
      <w:marBottom w:val="0"/>
      <w:divBdr>
        <w:top w:val="none" w:sz="0" w:space="0" w:color="auto"/>
        <w:left w:val="none" w:sz="0" w:space="0" w:color="auto"/>
        <w:bottom w:val="none" w:sz="0" w:space="0" w:color="auto"/>
        <w:right w:val="none" w:sz="0" w:space="0" w:color="auto"/>
      </w:divBdr>
    </w:div>
    <w:div w:id="2067486767">
      <w:bodyDiv w:val="1"/>
      <w:marLeft w:val="0"/>
      <w:marRight w:val="0"/>
      <w:marTop w:val="0"/>
      <w:marBottom w:val="0"/>
      <w:divBdr>
        <w:top w:val="none" w:sz="0" w:space="0" w:color="auto"/>
        <w:left w:val="none" w:sz="0" w:space="0" w:color="auto"/>
        <w:bottom w:val="none" w:sz="0" w:space="0" w:color="auto"/>
        <w:right w:val="none" w:sz="0" w:space="0" w:color="auto"/>
      </w:divBdr>
    </w:div>
    <w:div w:id="2118328333">
      <w:bodyDiv w:val="1"/>
      <w:marLeft w:val="0"/>
      <w:marRight w:val="0"/>
      <w:marTop w:val="0"/>
      <w:marBottom w:val="0"/>
      <w:divBdr>
        <w:top w:val="none" w:sz="0" w:space="0" w:color="auto"/>
        <w:left w:val="none" w:sz="0" w:space="0" w:color="auto"/>
        <w:bottom w:val="none" w:sz="0" w:space="0" w:color="auto"/>
        <w:right w:val="none" w:sz="0" w:space="0" w:color="auto"/>
      </w:divBdr>
    </w:div>
    <w:div w:id="2125420628">
      <w:bodyDiv w:val="1"/>
      <w:marLeft w:val="0"/>
      <w:marRight w:val="0"/>
      <w:marTop w:val="0"/>
      <w:marBottom w:val="0"/>
      <w:divBdr>
        <w:top w:val="none" w:sz="0" w:space="0" w:color="auto"/>
        <w:left w:val="none" w:sz="0" w:space="0" w:color="auto"/>
        <w:bottom w:val="none" w:sz="0" w:space="0" w:color="auto"/>
        <w:right w:val="none" w:sz="0" w:space="0" w:color="auto"/>
      </w:divBdr>
    </w:div>
    <w:div w:id="2131584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toyota-industries.com/investors/item/2025_annual_financial_report_E.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global.toyota/pages/global_toyota/ir/library/annual/2024_001_integrated_en.pdf" TargetMode="External"/><Relationship Id="rId2" Type="http://schemas.openxmlformats.org/officeDocument/2006/relationships/styles" Target="styles.xml"/><Relationship Id="rId16" Type="http://schemas.openxmlformats.org/officeDocument/2006/relationships/hyperlink" Target="https://www.toyota-industries.com/investors/item/2023_annual_financial_report_E.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toyota-industries.com/investors/library/reports/index.html" TargetMode="External"/><Relationship Id="rId10" Type="http://schemas.openxmlformats.org/officeDocument/2006/relationships/image" Target="media/image4.png"/><Relationship Id="rId19" Type="http://schemas.openxmlformats.org/officeDocument/2006/relationships/hyperlink" Target="https://global.toyota/en/"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toyota-industries.com/investors/items/2021_annual_financial_report_E.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A52410-F5CF-4610-8FCD-7BC0EF916A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7553</Words>
  <Characters>43054</Characters>
  <Application>Microsoft Office Word</Application>
  <DocSecurity>0</DocSecurity>
  <Lines>358</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Vishal kathiriya</dc:creator>
  <cp:keywords/>
  <dc:description/>
  <cp:lastModifiedBy>vishalkathiriya9090@outlook.com</cp:lastModifiedBy>
  <cp:revision>2</cp:revision>
  <dcterms:created xsi:type="dcterms:W3CDTF">2026-04-24T10:35:00Z</dcterms:created>
  <dcterms:modified xsi:type="dcterms:W3CDTF">2026-04-24T10:35:00Z</dcterms:modified>
</cp:coreProperties>
</file>