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7AC8" w:rsidRDefault="003428FA" w:rsidP="00B10031">
      <w:pPr>
        <w:ind w:firstLine="720"/>
      </w:pPr>
      <w:r>
        <w:t xml:space="preserve">This essay will </w:t>
      </w:r>
      <w:r w:rsidR="00E621F6">
        <w:t>describe what advocacy is in terms of health and social care,</w:t>
      </w:r>
      <w:r w:rsidR="00B10031">
        <w:t xml:space="preserve"> concentrating on an advocate’s job role,</w:t>
      </w:r>
      <w:r w:rsidR="00E621F6">
        <w:t xml:space="preserve"> the </w:t>
      </w:r>
      <w:r w:rsidR="00B10031">
        <w:t xml:space="preserve">skills in which an advocate should possess and the </w:t>
      </w:r>
      <w:r w:rsidR="00E621F6">
        <w:t>importance in which it has within this field of work</w:t>
      </w:r>
      <w:r w:rsidR="00B10031">
        <w:t>.</w:t>
      </w:r>
      <w:r w:rsidR="00E621F6">
        <w:t xml:space="preserve"> </w:t>
      </w:r>
      <w:r w:rsidR="00B10031">
        <w:t xml:space="preserve">This essay </w:t>
      </w:r>
      <w:r w:rsidR="00E621F6">
        <w:t>will also briefly describe the history of advocacy within health and social care,</w:t>
      </w:r>
      <w:r w:rsidR="00B10031">
        <w:t xml:space="preserve"> providing an example of practice of how advocacy on a micro level, can change matters on a macro level and</w:t>
      </w:r>
      <w:r w:rsidR="00537AC8">
        <w:t xml:space="preserve"> will then describe what constitutes empowerment,</w:t>
      </w:r>
      <w:r w:rsidR="00B10031">
        <w:t xml:space="preserve"> including political empowerment,</w:t>
      </w:r>
      <w:r w:rsidR="00537AC8">
        <w:t xml:space="preserve"> agency and anti-oppressive practice in relation to a health </w:t>
      </w:r>
      <w:bookmarkStart w:id="0" w:name="_GoBack"/>
      <w:bookmarkEnd w:id="0"/>
      <w:r w:rsidR="00537AC8">
        <w:t xml:space="preserve">and social care advocate when </w:t>
      </w:r>
      <w:r w:rsidR="00B10031">
        <w:t>advocating for a client.</w:t>
      </w:r>
    </w:p>
    <w:p w:rsidR="00B10031" w:rsidRDefault="00A6748C" w:rsidP="00B10031">
      <w:pPr>
        <w:ind w:firstLine="720"/>
      </w:pPr>
      <w:r>
        <w:t xml:space="preserve">There is often much uncertainty and debate about what advocacy is, and the role of the advocate as there are many different </w:t>
      </w:r>
      <w:r w:rsidR="00B10031">
        <w:t xml:space="preserve">forms </w:t>
      </w:r>
      <w:r>
        <w:t xml:space="preserve">of advocacy that has developed in the welfare state. Bateman (2000) </w:t>
      </w:r>
      <w:r w:rsidR="00B10031">
        <w:t>explains</w:t>
      </w:r>
      <w:r>
        <w:t xml:space="preserve"> that as a result of these different </w:t>
      </w:r>
      <w:r w:rsidR="00B10031">
        <w:t>forms</w:t>
      </w:r>
      <w:r w:rsidR="00132CB4">
        <w:t>, advocacy means something different to different people.</w:t>
      </w:r>
      <w:r w:rsidR="00B10031">
        <w:t xml:space="preserve"> </w:t>
      </w:r>
      <w:r w:rsidR="006C13F4">
        <w:t xml:space="preserve">Mind (2013) </w:t>
      </w:r>
      <w:r>
        <w:t>describes that a</w:t>
      </w:r>
      <w:r w:rsidR="003428FA">
        <w:t xml:space="preserve">n advocate within health and social care is </w:t>
      </w:r>
      <w:r w:rsidR="00DE4BBB">
        <w:t>‘</w:t>
      </w:r>
      <w:r w:rsidR="003428FA">
        <w:t>independent from the local authority</w:t>
      </w:r>
      <w:r w:rsidR="00DE4BBB">
        <w:t>’</w:t>
      </w:r>
      <w:r w:rsidR="003428FA">
        <w:t xml:space="preserve"> and the </w:t>
      </w:r>
      <w:r w:rsidR="00B10031">
        <w:t>N</w:t>
      </w:r>
      <w:r w:rsidR="003428FA">
        <w:t xml:space="preserve">ational </w:t>
      </w:r>
      <w:r w:rsidR="00B10031">
        <w:t>H</w:t>
      </w:r>
      <w:r w:rsidR="003428FA">
        <w:t xml:space="preserve">ealth </w:t>
      </w:r>
      <w:r w:rsidR="00B10031">
        <w:t>S</w:t>
      </w:r>
      <w:r w:rsidR="003428FA">
        <w:t>ervice (NHS). Advocates are professionals</w:t>
      </w:r>
      <w:r w:rsidR="00B10031">
        <w:t>,</w:t>
      </w:r>
      <w:r w:rsidR="003428FA">
        <w:t xml:space="preserve"> </w:t>
      </w:r>
      <w:r w:rsidR="00384A28">
        <w:t xml:space="preserve">who </w:t>
      </w:r>
      <w:r w:rsidR="003428FA">
        <w:t xml:space="preserve">are trained to help people to understand their rights, to express their wishes and to make sure that their voice is heard. The Care Act </w:t>
      </w:r>
      <w:r w:rsidR="00384A28">
        <w:t>(</w:t>
      </w:r>
      <w:r w:rsidR="003428FA">
        <w:t>2014</w:t>
      </w:r>
      <w:r w:rsidR="00384A28">
        <w:t>)</w:t>
      </w:r>
      <w:r w:rsidR="003428FA">
        <w:t xml:space="preserve"> </w:t>
      </w:r>
      <w:r w:rsidR="00DE4BBB">
        <w:t>directs</w:t>
      </w:r>
      <w:r w:rsidR="003428FA">
        <w:t xml:space="preserve"> that when decisions</w:t>
      </w:r>
      <w:r w:rsidR="00DE4BBB">
        <w:t xml:space="preserve"> need to be made regarding a person’s social care, the individual</w:t>
      </w:r>
      <w:r w:rsidR="003428FA">
        <w:t xml:space="preserve"> </w:t>
      </w:r>
      <w:r w:rsidR="00DE4BBB">
        <w:t xml:space="preserve">must be able to participate as much as possible and consider their values, beliefs, wishes and feelings and all of their relevant circumstances are taken into account. </w:t>
      </w:r>
      <w:r w:rsidR="003428FA">
        <w:t xml:space="preserve">The Care Act </w:t>
      </w:r>
      <w:r w:rsidR="00DE4BBB">
        <w:t>(</w:t>
      </w:r>
      <w:r w:rsidR="003428FA">
        <w:t>2014</w:t>
      </w:r>
      <w:r w:rsidR="00DE4BBB">
        <w:t>)</w:t>
      </w:r>
      <w:r w:rsidR="003428FA">
        <w:t xml:space="preserve"> </w:t>
      </w:r>
      <w:r w:rsidR="00DE4BBB">
        <w:t xml:space="preserve">also gives </w:t>
      </w:r>
      <w:r w:rsidR="003428FA">
        <w:t xml:space="preserve">local authorities </w:t>
      </w:r>
      <w:r w:rsidR="00DE4BBB">
        <w:t xml:space="preserve">the duty to co-ordinate with clients regarding the decisions that are being made about their care and support. </w:t>
      </w:r>
      <w:r w:rsidR="006C33A3">
        <w:t>In Wales</w:t>
      </w:r>
      <w:r w:rsidR="00DE4BBB">
        <w:t>,</w:t>
      </w:r>
      <w:r w:rsidR="006C33A3">
        <w:t xml:space="preserve"> the Social Services and Well-being (Wales) Act 2014 </w:t>
      </w:r>
      <w:r w:rsidR="00B10031">
        <w:t>states</w:t>
      </w:r>
      <w:r w:rsidR="006C33A3">
        <w:t xml:space="preserve"> that local authorities do not</w:t>
      </w:r>
      <w:r w:rsidR="00DE4BBB">
        <w:t xml:space="preserve"> necessarily have to arrange for an advocate, however, they must arrange for an independent advocate to support the client if they do not have an appropriate person who can help them.</w:t>
      </w:r>
      <w:r w:rsidR="006C33A3">
        <w:t xml:space="preserve"> </w:t>
      </w:r>
      <w:r w:rsidR="00927DA0">
        <w:t xml:space="preserve">Henderson and </w:t>
      </w:r>
      <w:proofErr w:type="spellStart"/>
      <w:r w:rsidR="00927DA0">
        <w:t>Pochin</w:t>
      </w:r>
      <w:proofErr w:type="spellEnd"/>
      <w:r w:rsidR="00927DA0">
        <w:t xml:space="preserve"> (2001) describes advocacy as a process of identifying with and representing a person’s view or concern</w:t>
      </w:r>
      <w:r w:rsidR="00603CAB">
        <w:t xml:space="preserve">. </w:t>
      </w:r>
    </w:p>
    <w:p w:rsidR="00934C2F" w:rsidRPr="00B10031" w:rsidRDefault="00B33D1B" w:rsidP="00B10031">
      <w:pPr>
        <w:ind w:firstLine="720"/>
      </w:pPr>
      <w:r>
        <w:t>Skills for care (</w:t>
      </w:r>
      <w:proofErr w:type="spellStart"/>
      <w:proofErr w:type="gramStart"/>
      <w:r>
        <w:t>n,d</w:t>
      </w:r>
      <w:proofErr w:type="spellEnd"/>
      <w:proofErr w:type="gramEnd"/>
      <w:r>
        <w:t>) describe that w</w:t>
      </w:r>
      <w:r w:rsidR="00934C2F">
        <w:t>ithin an advocate</w:t>
      </w:r>
      <w:r w:rsidR="00CB1B43">
        <w:t>’</w:t>
      </w:r>
      <w:r w:rsidR="00934C2F">
        <w:t xml:space="preserve">s role, an advocate would support vulnerable people to make decisions and to amplify their voice when decisions are being made about their lives. </w:t>
      </w:r>
      <w:r w:rsidR="00CB1B43">
        <w:t>This would include securing the persons rights, which may involve accessing services and ensuring that the individual is involved in all aspects o</w:t>
      </w:r>
      <w:r w:rsidR="00D1606E">
        <w:t>f</w:t>
      </w:r>
      <w:r w:rsidR="00CB1B43">
        <w:t xml:space="preserve"> their care and support planning. An advocate should be able to explore options in order to help the individual make decisions about their own lives</w:t>
      </w:r>
      <w:r w:rsidR="00B10031">
        <w:t>,</w:t>
      </w:r>
      <w:r>
        <w:t xml:space="preserve"> specifically empowering individuals to self-advocate and represent themselves</w:t>
      </w:r>
      <w:r w:rsidR="00B10031">
        <w:t>,</w:t>
      </w:r>
      <w:r>
        <w:t xml:space="preserve"> however, before the individual has gained self-advocacy an advocate should represent the individual and sp</w:t>
      </w:r>
      <w:r w:rsidR="004013D1">
        <w:t>e</w:t>
      </w:r>
      <w:r>
        <w:t>ak up on their behalf in order for them to gain confidence</w:t>
      </w:r>
      <w:r w:rsidR="002135EF">
        <w:t xml:space="preserve"> and support them to express their views, wishes and choices regarding the services that they receive</w:t>
      </w:r>
      <w:r w:rsidR="00471525">
        <w:t>. Skills for care (</w:t>
      </w:r>
      <w:proofErr w:type="spellStart"/>
      <w:r w:rsidR="00471525">
        <w:t>n.d</w:t>
      </w:r>
      <w:proofErr w:type="spellEnd"/>
      <w:r w:rsidR="00471525">
        <w:t xml:space="preserve">) illustrate that there are many forms of advocates that work within the health and social care sector, as they could work for both private or charity </w:t>
      </w:r>
      <w:r w:rsidR="00471525">
        <w:lastRenderedPageBreak/>
        <w:t xml:space="preserve">advocacy services </w:t>
      </w:r>
      <w:r w:rsidR="00471525">
        <w:rPr>
          <w:color w:val="000000" w:themeColor="text1"/>
        </w:rPr>
        <w:t>which can include working with people with physical difficulties, learning disabilities, mental health problems, people from black, Asian and minority ethnic backgrounds or elderly people. An advocate could also work as a statutory independent advocate for a local authority, however since 2002, local authorities must arrange access</w:t>
      </w:r>
      <w:r w:rsidR="00575931">
        <w:rPr>
          <w:color w:val="000000" w:themeColor="text1"/>
        </w:rPr>
        <w:t xml:space="preserve"> to advocacy for individuals with specific disabilities. These would include, children who are receiving services under the Children Act 1989. Individuals </w:t>
      </w:r>
      <w:r w:rsidR="00B10031">
        <w:rPr>
          <w:color w:val="000000" w:themeColor="text1"/>
        </w:rPr>
        <w:t>who do not have the appropriate person to represent them and who</w:t>
      </w:r>
      <w:r w:rsidR="00575931">
        <w:rPr>
          <w:color w:val="000000" w:themeColor="text1"/>
        </w:rPr>
        <w:t xml:space="preserve"> lack capacity to make decisions about serious medical treatment</w:t>
      </w:r>
      <w:r w:rsidR="00B10031">
        <w:rPr>
          <w:color w:val="000000" w:themeColor="text1"/>
        </w:rPr>
        <w:t>,</w:t>
      </w:r>
      <w:r w:rsidR="00575931">
        <w:rPr>
          <w:color w:val="000000" w:themeColor="text1"/>
        </w:rPr>
        <w:t xml:space="preserve"> or long</w:t>
      </w:r>
      <w:r w:rsidR="00B10031">
        <w:rPr>
          <w:color w:val="000000" w:themeColor="text1"/>
        </w:rPr>
        <w:t>-</w:t>
      </w:r>
      <w:r w:rsidR="00575931">
        <w:rPr>
          <w:color w:val="000000" w:themeColor="text1"/>
        </w:rPr>
        <w:t xml:space="preserve">term change of accommodation </w:t>
      </w:r>
      <w:r w:rsidR="00B10031">
        <w:rPr>
          <w:color w:val="000000" w:themeColor="text1"/>
        </w:rPr>
        <w:t xml:space="preserve">would be appointed an </w:t>
      </w:r>
      <w:r w:rsidR="00575931">
        <w:rPr>
          <w:color w:val="000000" w:themeColor="text1"/>
        </w:rPr>
        <w:t xml:space="preserve">independent mental capacity advocate </w:t>
      </w:r>
      <w:r w:rsidR="00B10031">
        <w:rPr>
          <w:color w:val="000000" w:themeColor="text1"/>
        </w:rPr>
        <w:t>(</w:t>
      </w:r>
      <w:r w:rsidR="00575931">
        <w:rPr>
          <w:color w:val="000000" w:themeColor="text1"/>
        </w:rPr>
        <w:t>IMCA</w:t>
      </w:r>
      <w:r w:rsidR="00B10031">
        <w:rPr>
          <w:color w:val="000000" w:themeColor="text1"/>
        </w:rPr>
        <w:t xml:space="preserve">). An </w:t>
      </w:r>
      <w:r w:rsidR="00575931">
        <w:rPr>
          <w:color w:val="000000" w:themeColor="text1"/>
        </w:rPr>
        <w:t xml:space="preserve">individual who </w:t>
      </w:r>
      <w:r w:rsidR="00B10031">
        <w:rPr>
          <w:color w:val="000000" w:themeColor="text1"/>
        </w:rPr>
        <w:t xml:space="preserve">is </w:t>
      </w:r>
      <w:r w:rsidR="00575931">
        <w:rPr>
          <w:color w:val="000000" w:themeColor="text1"/>
        </w:rPr>
        <w:t>subject</w:t>
      </w:r>
      <w:r w:rsidR="00B10031">
        <w:rPr>
          <w:color w:val="000000" w:themeColor="text1"/>
        </w:rPr>
        <w:t>ed</w:t>
      </w:r>
      <w:r w:rsidR="00575931">
        <w:rPr>
          <w:color w:val="000000" w:themeColor="text1"/>
        </w:rPr>
        <w:t xml:space="preserve"> to the Mental Health Act 1983, </w:t>
      </w:r>
      <w:r w:rsidR="00B10031">
        <w:rPr>
          <w:color w:val="000000" w:themeColor="text1"/>
        </w:rPr>
        <w:t xml:space="preserve">would be appointed an </w:t>
      </w:r>
      <w:r w:rsidR="00A11167">
        <w:rPr>
          <w:color w:val="000000" w:themeColor="text1"/>
        </w:rPr>
        <w:t xml:space="preserve">Independent Mental Health Advocate </w:t>
      </w:r>
      <w:r w:rsidR="00B10031">
        <w:rPr>
          <w:color w:val="000000" w:themeColor="text1"/>
        </w:rPr>
        <w:t>(</w:t>
      </w:r>
      <w:r w:rsidR="00A11167">
        <w:rPr>
          <w:color w:val="000000" w:themeColor="text1"/>
        </w:rPr>
        <w:t>IMHA). An advocate working within social care needs specific skills which involve the ability to develop goo</w:t>
      </w:r>
      <w:r w:rsidR="00205EE6">
        <w:rPr>
          <w:color w:val="000000" w:themeColor="text1"/>
        </w:rPr>
        <w:t>d</w:t>
      </w:r>
      <w:r w:rsidR="00A11167">
        <w:rPr>
          <w:color w:val="000000" w:themeColor="text1"/>
        </w:rPr>
        <w:t xml:space="preserve"> working relationships </w:t>
      </w:r>
      <w:r w:rsidR="00205EE6">
        <w:rPr>
          <w:color w:val="000000" w:themeColor="text1"/>
        </w:rPr>
        <w:t xml:space="preserve">including </w:t>
      </w:r>
      <w:r w:rsidR="00A11167">
        <w:rPr>
          <w:color w:val="000000" w:themeColor="text1"/>
        </w:rPr>
        <w:t>diverse communication skills with the ability to be able to not only communicate effectively, but also actively listen to the individual, a strong research ability, and a willingness to keep up to date with policies and legislation and knowing people</w:t>
      </w:r>
      <w:r w:rsidR="00205EE6">
        <w:rPr>
          <w:color w:val="000000" w:themeColor="text1"/>
        </w:rPr>
        <w:t>’</w:t>
      </w:r>
      <w:r w:rsidR="00A11167">
        <w:rPr>
          <w:color w:val="000000" w:themeColor="text1"/>
        </w:rPr>
        <w:t>s rights.</w:t>
      </w:r>
      <w:r w:rsidR="00205EE6">
        <w:rPr>
          <w:color w:val="000000" w:themeColor="text1"/>
        </w:rPr>
        <w:t xml:space="preserve"> </w:t>
      </w:r>
      <w:r w:rsidR="004013D1">
        <w:rPr>
          <w:color w:val="000000" w:themeColor="text1"/>
        </w:rPr>
        <w:t xml:space="preserve">Bateman (2000 p.82) lists six core skills that an advocate should have, the first being interviewing, as interviewing a client </w:t>
      </w:r>
      <w:r w:rsidR="00B10031">
        <w:rPr>
          <w:color w:val="000000" w:themeColor="text1"/>
        </w:rPr>
        <w:t xml:space="preserve">is </w:t>
      </w:r>
      <w:r w:rsidR="004013D1">
        <w:rPr>
          <w:color w:val="000000" w:themeColor="text1"/>
        </w:rPr>
        <w:t xml:space="preserve">the main method of obtaining instructions and keeping clients informed. The second, assertiveness and force, as </w:t>
      </w:r>
      <w:r w:rsidR="00DE4BBB">
        <w:rPr>
          <w:color w:val="000000" w:themeColor="text1"/>
        </w:rPr>
        <w:t xml:space="preserve">within </w:t>
      </w:r>
      <w:r w:rsidR="004013D1">
        <w:rPr>
          <w:color w:val="000000" w:themeColor="text1"/>
        </w:rPr>
        <w:t>advocacy</w:t>
      </w:r>
      <w:r w:rsidR="00DE4BBB">
        <w:rPr>
          <w:color w:val="000000" w:themeColor="text1"/>
        </w:rPr>
        <w:t xml:space="preserve">, obtaining a result from an opponent for the client inevitably needs persistence and assertiveness. </w:t>
      </w:r>
      <w:r w:rsidR="004013D1">
        <w:rPr>
          <w:color w:val="000000" w:themeColor="text1"/>
        </w:rPr>
        <w:t xml:space="preserve">The third, </w:t>
      </w:r>
      <w:r w:rsidR="00B10031">
        <w:rPr>
          <w:color w:val="000000" w:themeColor="text1"/>
        </w:rPr>
        <w:t>n</w:t>
      </w:r>
      <w:r w:rsidR="004013D1">
        <w:rPr>
          <w:color w:val="000000" w:themeColor="text1"/>
        </w:rPr>
        <w:t>egotiation</w:t>
      </w:r>
      <w:r w:rsidR="00CD11E5">
        <w:rPr>
          <w:color w:val="000000" w:themeColor="text1"/>
        </w:rPr>
        <w:t xml:space="preserve">, </w:t>
      </w:r>
      <w:r w:rsidR="00B10031">
        <w:rPr>
          <w:color w:val="000000" w:themeColor="text1"/>
        </w:rPr>
        <w:t xml:space="preserve">as </w:t>
      </w:r>
      <w:r w:rsidR="00CD11E5">
        <w:rPr>
          <w:color w:val="000000" w:themeColor="text1"/>
        </w:rPr>
        <w:t>advocacy is concerned with obtaining the best possible result for the client</w:t>
      </w:r>
      <w:r w:rsidR="00B10031">
        <w:rPr>
          <w:color w:val="000000" w:themeColor="text1"/>
        </w:rPr>
        <w:t>,</w:t>
      </w:r>
      <w:r w:rsidR="00CD11E5">
        <w:rPr>
          <w:color w:val="000000" w:themeColor="text1"/>
        </w:rPr>
        <w:t xml:space="preserve"> as opposed to trying to reach a compromise. The fourth, </w:t>
      </w:r>
      <w:r w:rsidR="00B10031">
        <w:rPr>
          <w:color w:val="000000" w:themeColor="text1"/>
        </w:rPr>
        <w:t>s</w:t>
      </w:r>
      <w:r w:rsidR="00CD11E5">
        <w:rPr>
          <w:color w:val="000000" w:themeColor="text1"/>
        </w:rPr>
        <w:t xml:space="preserve">elf-management, </w:t>
      </w:r>
      <w:r w:rsidR="00B10031">
        <w:rPr>
          <w:color w:val="000000" w:themeColor="text1"/>
        </w:rPr>
        <w:t xml:space="preserve">as </w:t>
      </w:r>
      <w:r w:rsidR="00CD11E5">
        <w:rPr>
          <w:color w:val="000000" w:themeColor="text1"/>
        </w:rPr>
        <w:t>in order to be an effective advocate, you have to be well-organised and methodical</w:t>
      </w:r>
      <w:r w:rsidR="00B10031">
        <w:rPr>
          <w:color w:val="000000" w:themeColor="text1"/>
        </w:rPr>
        <w:t>,</w:t>
      </w:r>
      <w:r w:rsidR="00CD11E5">
        <w:rPr>
          <w:color w:val="000000" w:themeColor="text1"/>
        </w:rPr>
        <w:t xml:space="preserve"> in order to make optimal use of yourself as a resource for the client. The fifth, </w:t>
      </w:r>
      <w:r w:rsidR="00B10031">
        <w:rPr>
          <w:color w:val="000000" w:themeColor="text1"/>
        </w:rPr>
        <w:t>l</w:t>
      </w:r>
      <w:r w:rsidR="00CD11E5">
        <w:rPr>
          <w:color w:val="000000" w:themeColor="text1"/>
        </w:rPr>
        <w:t xml:space="preserve">egal knowledge and research, which is invaluable for the client, as an advocate, negotiation skills may not be enough and it would be advisable to rely on the law or other rules set out at the beginning of the case, also establishing if there were to be a legal basis to a case before starting negotiations. The sixth and final core skill is litigation. This is the term used to describe the process that an advocate would use to present their client’s case to an arbitrator or decision maker. These core skills show the diversity needed to be an advocate in order to empower individuals, </w:t>
      </w:r>
      <w:r w:rsidR="006871C5">
        <w:rPr>
          <w:color w:val="000000" w:themeColor="text1"/>
        </w:rPr>
        <w:t>and how being multi-functional can benefit the individual greatly.</w:t>
      </w:r>
      <w:r w:rsidR="00CD11E5">
        <w:rPr>
          <w:color w:val="000000" w:themeColor="text1"/>
        </w:rPr>
        <w:t xml:space="preserve"> </w:t>
      </w:r>
      <w:r w:rsidR="00205EE6">
        <w:rPr>
          <w:color w:val="000000" w:themeColor="text1"/>
        </w:rPr>
        <w:t>Bateman (2000</w:t>
      </w:r>
      <w:r w:rsidR="007C1071">
        <w:rPr>
          <w:color w:val="000000" w:themeColor="text1"/>
        </w:rPr>
        <w:t xml:space="preserve"> p.81</w:t>
      </w:r>
      <w:r w:rsidR="00205EE6">
        <w:rPr>
          <w:color w:val="000000" w:themeColor="text1"/>
        </w:rPr>
        <w:t>) describes that advocacy, unlike most other job roles within social care or health organisations does not have short courses specifically on the skills in which an advocate should have within the social care role. There are few books available on the subject, and advocacy is not often considered within professional qualification courses for nurses, social workers and housing staff. Bateman describes this as ‘absurd’, as he believes</w:t>
      </w:r>
      <w:r w:rsidR="007C1071">
        <w:rPr>
          <w:color w:val="000000" w:themeColor="text1"/>
        </w:rPr>
        <w:t xml:space="preserve"> that advocacy has been highly developed within the welfare rights field, however, the well </w:t>
      </w:r>
      <w:r w:rsidR="007C1071">
        <w:rPr>
          <w:color w:val="000000" w:themeColor="text1"/>
        </w:rPr>
        <w:lastRenderedPageBreak/>
        <w:t xml:space="preserve">structured and regulated social security system has favoured security law over advocacy skills, which has resulted in a greater need for independent advocacy within the health and social care sector. </w:t>
      </w:r>
    </w:p>
    <w:p w:rsidR="00511B5B" w:rsidRDefault="00603CAB" w:rsidP="00A734EF">
      <w:pPr>
        <w:ind w:firstLine="720"/>
      </w:pPr>
      <w:r>
        <w:t>Understanding advocacy in the historical context of social work</w:t>
      </w:r>
      <w:r w:rsidR="00384A28">
        <w:t>,</w:t>
      </w:r>
      <w:r>
        <w:t xml:space="preserve"> it is considered that the early social workers saw the need for social work within the </w:t>
      </w:r>
      <w:r w:rsidR="00340602">
        <w:t>poverty-stricken</w:t>
      </w:r>
      <w:r>
        <w:t xml:space="preserve"> areas of the country</w:t>
      </w:r>
      <w:r w:rsidR="00384A28">
        <w:t>. Advocacy has been a prominent movement since the 19</w:t>
      </w:r>
      <w:r w:rsidR="00384A28" w:rsidRPr="00384A28">
        <w:rPr>
          <w:vertAlign w:val="superscript"/>
        </w:rPr>
        <w:t>th</w:t>
      </w:r>
      <w:r w:rsidR="00384A28">
        <w:t xml:space="preserve"> century, which has gained momentum over time, reaching parliament, implementing new laws and policies regarding social care. Wilks (2012</w:t>
      </w:r>
      <w:r w:rsidR="00AE1C45">
        <w:t xml:space="preserve"> p.6</w:t>
      </w:r>
      <w:r w:rsidR="00384A28">
        <w:t>) Suggests that the settlement movement, which intensified at the end of the 19</w:t>
      </w:r>
      <w:r w:rsidR="00384A28" w:rsidRPr="00384A28">
        <w:rPr>
          <w:vertAlign w:val="superscript"/>
        </w:rPr>
        <w:t>th</w:t>
      </w:r>
      <w:r w:rsidR="00384A28">
        <w:t xml:space="preserve"> century offered a new way of looking at social care, as the poverty was growing, the authorities needed to understand why, and then address the problem. H</w:t>
      </w:r>
      <w:r w:rsidR="00340602">
        <w:t>owever</w:t>
      </w:r>
      <w:r w:rsidR="00384A28">
        <w:t>,</w:t>
      </w:r>
      <w:r w:rsidR="00340602">
        <w:t xml:space="preserve"> the advocacy tool was seen as a more radical tradition in the U</w:t>
      </w:r>
      <w:r w:rsidR="00B10031">
        <w:t>nited Kingdom</w:t>
      </w:r>
      <w:r w:rsidR="00340602">
        <w:t>, but it was keen to embrace advocacy as a practical tool</w:t>
      </w:r>
      <w:r w:rsidR="00384A28">
        <w:t xml:space="preserve"> </w:t>
      </w:r>
      <w:r w:rsidR="00AE1C45">
        <w:t>and incorporate within the social care setting to create agency for the people who were oppressed within their own communities</w:t>
      </w:r>
      <w:r w:rsidR="00340602">
        <w:t>. Wilks (2012) explains that community development has a long tradition of promoting self-help, or self-advocacy</w:t>
      </w:r>
      <w:r w:rsidR="00B0618A">
        <w:t xml:space="preserve"> along with community activism and campaigning. Mantle and </w:t>
      </w:r>
      <w:proofErr w:type="spellStart"/>
      <w:r w:rsidR="00B0618A">
        <w:t>Blackwith</w:t>
      </w:r>
      <w:proofErr w:type="spellEnd"/>
      <w:r w:rsidR="00B0618A">
        <w:t xml:space="preserve"> (2010)</w:t>
      </w:r>
      <w:r w:rsidR="00511B5B">
        <w:t xml:space="preserve"> </w:t>
      </w:r>
      <w:r w:rsidR="00B10031">
        <w:t>debate</w:t>
      </w:r>
      <w:r w:rsidR="00511B5B">
        <w:t xml:space="preserve"> that more community orientated social work should have advocacy a</w:t>
      </w:r>
      <w:r w:rsidR="00B10031">
        <w:t>s</w:t>
      </w:r>
      <w:r w:rsidR="00511B5B">
        <w:t xml:space="preserve"> its central focus.</w:t>
      </w:r>
      <w:r w:rsidR="00AE1C45">
        <w:t xml:space="preserve"> An example of individual advocac</w:t>
      </w:r>
      <w:r w:rsidR="008700BD">
        <w:t>y couple</w:t>
      </w:r>
      <w:r w:rsidR="00DE749E">
        <w:t>d</w:t>
      </w:r>
      <w:r w:rsidR="008700BD">
        <w:t xml:space="preserve"> with campaigning (or cause advocacy), is the poor mans lawyer scheme. Wilks (2012 p.6) explains that this scheme started in the Mansfield settlement in 1819 where students from Oxford and Cambridge colleges came to spend time amongst the poor and engage in the community development activities. Spencer (2009) explains that understanding the poverty within this area, a </w:t>
      </w:r>
      <w:r w:rsidR="00BC5F5D">
        <w:t>provision for pro-bono legal advice was established, which quickly spread to the other settlements around the United Kingdom, gaining momentum as a campaign, which was launched for the state support as the provision of legal services, which eventually piloted the current legal system.</w:t>
      </w:r>
      <w:r w:rsidR="007B7ACE">
        <w:t xml:space="preserve"> </w:t>
      </w:r>
    </w:p>
    <w:p w:rsidR="00B10031" w:rsidRDefault="007B7ACE" w:rsidP="00DE4BBB">
      <w:pPr>
        <w:ind w:firstLine="720"/>
      </w:pPr>
      <w:r>
        <w:t xml:space="preserve">A second angle in which to associate advocacy with </w:t>
      </w:r>
      <w:r w:rsidR="00223D32">
        <w:t xml:space="preserve">health and social care is considering Wilks’s (2012) explanation of looking at the impact that advocacy has had outside of social work, specifically looking at the service-user movement, which has been crucial in enabling different groups of people, including those with learning difficulties to collectively begin to advocate and lobby for more control over their individual care. This initiated the independent living movement which was sought after, and then achieved, which enhanced the control that people with disabilities had regarding their own personal care. Following a successful campaign, </w:t>
      </w:r>
      <w:r w:rsidR="00223D32" w:rsidRPr="00E621F6">
        <w:t xml:space="preserve">the Community Care (direct Payments) Act </w:t>
      </w:r>
      <w:r w:rsidR="000A6B8B" w:rsidRPr="00E621F6">
        <w:t>(</w:t>
      </w:r>
      <w:r w:rsidR="00223D32" w:rsidRPr="00E621F6">
        <w:t>1996</w:t>
      </w:r>
      <w:r w:rsidR="000A6B8B" w:rsidRPr="00E621F6">
        <w:t>)</w:t>
      </w:r>
      <w:r w:rsidR="00C747D2">
        <w:t xml:space="preserve"> came into force on the 1</w:t>
      </w:r>
      <w:r w:rsidR="00C747D2" w:rsidRPr="00C747D2">
        <w:rPr>
          <w:vertAlign w:val="superscript"/>
        </w:rPr>
        <w:t>st</w:t>
      </w:r>
      <w:r w:rsidR="00C747D2">
        <w:t xml:space="preserve"> of April 1997 </w:t>
      </w:r>
      <w:r w:rsidR="000A6B8B">
        <w:t xml:space="preserve">which </w:t>
      </w:r>
      <w:r w:rsidR="00C747D2">
        <w:t>g</w:t>
      </w:r>
      <w:r w:rsidR="000A6B8B">
        <w:t>ives</w:t>
      </w:r>
      <w:r w:rsidR="00C747D2">
        <w:t xml:space="preserve"> local authorities </w:t>
      </w:r>
      <w:r w:rsidR="000A6B8B">
        <w:t xml:space="preserve">the power to </w:t>
      </w:r>
      <w:r w:rsidR="00DE4BBB">
        <w:t>give</w:t>
      </w:r>
      <w:r w:rsidR="000A6B8B">
        <w:t xml:space="preserve"> direct payments to people between the ages of 18 and 65 who ha</w:t>
      </w:r>
      <w:r w:rsidR="00D1606E">
        <w:t>ve</w:t>
      </w:r>
      <w:r w:rsidR="000A6B8B">
        <w:t xml:space="preserve"> been assessed as needing community care services. </w:t>
      </w:r>
      <w:r w:rsidR="00DE4BBB">
        <w:lastRenderedPageBreak/>
        <w:t xml:space="preserve">This has been perceived as giving control and independence back to people with disabilities. </w:t>
      </w:r>
      <w:r w:rsidR="000A6B8B">
        <w:t xml:space="preserve">The Community Care (direct payments) Act (1996) gave </w:t>
      </w:r>
      <w:r w:rsidR="00B10031">
        <w:t>money</w:t>
      </w:r>
      <w:r w:rsidR="000A6B8B">
        <w:t xml:space="preserve"> to people with which to buy their own care, with the amount based on their own individual assessment needs. </w:t>
      </w:r>
      <w:r w:rsidR="00DE4BBB">
        <w:t>T</w:t>
      </w:r>
      <w:r w:rsidR="00433B5A">
        <w:t xml:space="preserve">his was a direct result of advocacy </w:t>
      </w:r>
      <w:r w:rsidR="00AE1C45">
        <w:t>within h</w:t>
      </w:r>
      <w:r w:rsidR="00511B5B">
        <w:t>ealth and social work</w:t>
      </w:r>
      <w:r w:rsidR="00B10031">
        <w:t>,</w:t>
      </w:r>
      <w:r w:rsidR="00511B5B">
        <w:t xml:space="preserve"> </w:t>
      </w:r>
      <w:r w:rsidR="00433B5A">
        <w:t xml:space="preserve">which </w:t>
      </w:r>
      <w:r w:rsidR="00511B5B">
        <w:t>can contribute to many people’s lives,</w:t>
      </w:r>
      <w:r w:rsidR="00E4409B">
        <w:t xml:space="preserve"> an advocate’s role </w:t>
      </w:r>
      <w:r w:rsidR="00433B5A">
        <w:t xml:space="preserve">within this field </w:t>
      </w:r>
      <w:r w:rsidR="00E4409B">
        <w:t xml:space="preserve">is to </w:t>
      </w:r>
      <w:r w:rsidR="00DE4BBB">
        <w:t xml:space="preserve">empower and support disadvantaged or vulnerable people and to make sure that their rights are being upheld. </w:t>
      </w:r>
      <w:r w:rsidR="00E4409B">
        <w:t>This could include individuals who are physically disabled,</w:t>
      </w:r>
      <w:r w:rsidR="00DE4BBB">
        <w:t xml:space="preserve"> have mental illnesses</w:t>
      </w:r>
      <w:r w:rsidR="00E4409B">
        <w:t xml:space="preserve"> or those </w:t>
      </w:r>
      <w:r w:rsidR="0096036E">
        <w:t xml:space="preserve">with </w:t>
      </w:r>
      <w:r w:rsidR="00E4409B">
        <w:t xml:space="preserve">age degenerating diseases such as dementia. </w:t>
      </w:r>
    </w:p>
    <w:p w:rsidR="003428FA" w:rsidRDefault="00B10031" w:rsidP="00B10031">
      <w:pPr>
        <w:ind w:firstLine="720"/>
      </w:pPr>
      <w:r>
        <w:t xml:space="preserve">When considering the roles and skills in which an Advocate needs, it is important to consider what an advocate can provide to the client. </w:t>
      </w:r>
      <w:r w:rsidR="00E4409B">
        <w:t xml:space="preserve">Empowerment </w:t>
      </w:r>
      <w:r w:rsidR="008E6F6B">
        <w:t>is viewed by Thompson (2002 p</w:t>
      </w:r>
      <w:r>
        <w:t>.</w:t>
      </w:r>
      <w:r w:rsidR="008E6F6B">
        <w:t>302) as</w:t>
      </w:r>
      <w:r w:rsidR="001F4683">
        <w:t xml:space="preserve"> a crucial part of the advocacy role, suggesting that advocacy is </w:t>
      </w:r>
      <w:r w:rsidR="00D1606E">
        <w:t>a</w:t>
      </w:r>
      <w:r w:rsidR="001F4683">
        <w:t>n important form of empowerment</w:t>
      </w:r>
      <w:r>
        <w:t>,</w:t>
      </w:r>
      <w:r w:rsidR="001F4683">
        <w:t xml:space="preserve"> where powerless individuals</w:t>
      </w:r>
      <w:r>
        <w:t>,</w:t>
      </w:r>
      <w:r w:rsidR="001F4683">
        <w:t xml:space="preserve"> or groups are supported in their attempts to influence o</w:t>
      </w:r>
      <w:r>
        <w:t>r</w:t>
      </w:r>
      <w:r w:rsidR="001F4683">
        <w:t xml:space="preserve"> challenge the more powerful people or organisations within our society. </w:t>
      </w:r>
      <w:r w:rsidR="00130A55">
        <w:t>In Thompson’s view, advocacy has a substantial role to play in empowering practice within social care</w:t>
      </w:r>
      <w:r>
        <w:t>,</w:t>
      </w:r>
      <w:r w:rsidR="00130A55">
        <w:t xml:space="preserve"> and also has the ability to </w:t>
      </w:r>
      <w:r w:rsidR="00EF0D96">
        <w:t>g</w:t>
      </w:r>
      <w:r w:rsidR="00130A55">
        <w:t xml:space="preserve">ive </w:t>
      </w:r>
      <w:r>
        <w:t>individuals not only</w:t>
      </w:r>
      <w:r w:rsidR="00130A55">
        <w:t xml:space="preserve"> the independence and freedom, but to be able to make real changes to the world. To achieve this an advocate can empower people psychologically and structurally</w:t>
      </w:r>
      <w:r>
        <w:t xml:space="preserve">, however, </w:t>
      </w:r>
      <w:r w:rsidR="00130A55">
        <w:t>Boylan and Dalrymple (2009, p</w:t>
      </w:r>
      <w:r>
        <w:t>.</w:t>
      </w:r>
      <w:r w:rsidR="00130A55">
        <w:t xml:space="preserve">2) </w:t>
      </w:r>
      <w:r>
        <w:t>s</w:t>
      </w:r>
      <w:r w:rsidR="00130A55">
        <w:t xml:space="preserve">uggest that advocacy has more scope than this, for it could have ‘radical potential’ </w:t>
      </w:r>
      <w:r w:rsidR="00250858">
        <w:t>to promote the voice and agency</w:t>
      </w:r>
      <w:r>
        <w:t xml:space="preserve"> of the client</w:t>
      </w:r>
      <w:r w:rsidR="00250858">
        <w:t>. Payne (2006) concurs with this claim, indicating that advocacy has the ability to play a part in the vision that social work has, and the goals that has been set for the transformation within society by ‘</w:t>
      </w:r>
      <w:r>
        <w:t>e</w:t>
      </w:r>
      <w:r w:rsidR="00250858">
        <w:t xml:space="preserve">nabling disadvantaged and oppressed people to gain personal and social empowerment through changes in society’ </w:t>
      </w:r>
      <w:sdt>
        <w:sdtPr>
          <w:id w:val="-1967195340"/>
          <w:citation/>
        </w:sdtPr>
        <w:sdtContent>
          <w:r w:rsidR="00250858">
            <w:fldChar w:fldCharType="begin"/>
          </w:r>
          <w:r w:rsidR="00250858">
            <w:instrText xml:space="preserve">CITATION MPa06 \p 14 \l 2057 </w:instrText>
          </w:r>
          <w:r w:rsidR="00250858">
            <w:fldChar w:fldCharType="separate"/>
          </w:r>
          <w:r w:rsidR="00250858" w:rsidRPr="00250858">
            <w:rPr>
              <w:noProof/>
            </w:rPr>
            <w:t>(Payne, 2006, p. 14)</w:t>
          </w:r>
          <w:r w:rsidR="00250858">
            <w:fldChar w:fldCharType="end"/>
          </w:r>
        </w:sdtContent>
      </w:sdt>
      <w:r w:rsidR="00250858">
        <w:t>.</w:t>
      </w:r>
      <w:r w:rsidR="00FC6E30">
        <w:t xml:space="preserve"> </w:t>
      </w:r>
      <w:r w:rsidR="00DF5319">
        <w:t xml:space="preserve">When looking closer at the health and social care sector, empowerment can be explained as a key concept, in which Glasby (2012) illuminates empowerment as a key concept, which involves the service user (in the terms of a service user being a person who uses the health service) </w:t>
      </w:r>
      <w:r w:rsidR="0088686D">
        <w:t>and a person in power, however</w:t>
      </w:r>
      <w:r>
        <w:t>,</w:t>
      </w:r>
      <w:r w:rsidR="0088686D">
        <w:t xml:space="preserve"> this is </w:t>
      </w:r>
      <w:r w:rsidR="00DF5319">
        <w:t>often contested in a political way</w:t>
      </w:r>
      <w:r>
        <w:t>.</w:t>
      </w:r>
      <w:r w:rsidR="0088686D">
        <w:t xml:space="preserve"> Barnes and Walker (1996) critically evaluated </w:t>
      </w:r>
      <w:r>
        <w:t>the</w:t>
      </w:r>
      <w:r w:rsidR="0088686D">
        <w:t xml:space="preserve"> empowerment model that was </w:t>
      </w:r>
      <w:r w:rsidR="00CD49EE">
        <w:t xml:space="preserve">adopted by the British government, calling it shallow and </w:t>
      </w:r>
      <w:r w:rsidR="00D1606E">
        <w:t>expressed</w:t>
      </w:r>
      <w:r w:rsidR="00CD49EE">
        <w:t xml:space="preserve"> that it did not consider the genuine empowerment needed by the service users</w:t>
      </w:r>
      <w:r>
        <w:t xml:space="preserve">. </w:t>
      </w:r>
      <w:r w:rsidR="00CD49EE">
        <w:t>Barnes and Walker outline eight key principles to which the empowerment of service users could be realised</w:t>
      </w:r>
      <w:r>
        <w:t xml:space="preserve"> and</w:t>
      </w:r>
      <w:r w:rsidR="003A1C32">
        <w:t xml:space="preserve"> demonstrates that within health and social care, the service users are simply consumers </w:t>
      </w:r>
      <w:r>
        <w:t>where by</w:t>
      </w:r>
      <w:r w:rsidR="003A1C32">
        <w:t xml:space="preserve"> consumer empowerment is in fact the same as if the consumer were buying a product from a shop</w:t>
      </w:r>
      <w:r>
        <w:t xml:space="preserve">. </w:t>
      </w:r>
      <w:r w:rsidR="00A50CA4">
        <w:t>Rogers and Pilgrim (2010)</w:t>
      </w:r>
      <w:r w:rsidR="00FF6B35">
        <w:t xml:space="preserve"> </w:t>
      </w:r>
      <w:r w:rsidR="00696496">
        <w:t>support Barnes and W</w:t>
      </w:r>
      <w:r w:rsidR="00C36911">
        <w:t xml:space="preserve">alker by implying that service users can be seen in one of four different ways, these are, as patients, as customers, as survivors, and as providers themselves, and by viewing the service </w:t>
      </w:r>
      <w:r w:rsidR="00C36911">
        <w:lastRenderedPageBreak/>
        <w:t xml:space="preserve">users within these four categories, it can be seen that individuals have different levels of involvement, or in terms of empowerment, have different levels of power as individuals. How a person is </w:t>
      </w:r>
      <w:r w:rsidR="00F92A41">
        <w:t>perceived</w:t>
      </w:r>
      <w:r w:rsidR="00C36911">
        <w:t xml:space="preserve"> </w:t>
      </w:r>
      <w:r w:rsidR="00F92A41">
        <w:t>plays</w:t>
      </w:r>
      <w:r w:rsidR="00C36911">
        <w:t xml:space="preserve"> a critical</w:t>
      </w:r>
      <w:r w:rsidR="00F92A41">
        <w:t xml:space="preserve"> role to the level of service that is received.</w:t>
      </w:r>
      <w:r>
        <w:t xml:space="preserve"> </w:t>
      </w:r>
    </w:p>
    <w:p w:rsidR="00B10031" w:rsidRDefault="00B10031" w:rsidP="00B10031">
      <w:pPr>
        <w:ind w:firstLine="720"/>
      </w:pPr>
      <w:r>
        <w:t>By empowering an individual, an advocate is able to give the client agency which</w:t>
      </w:r>
      <w:r>
        <w:t xml:space="preserve"> in terms of social science is a concept which has become a source of confusion</w:t>
      </w:r>
      <w:r>
        <w:t xml:space="preserve">. </w:t>
      </w:r>
      <w:proofErr w:type="spellStart"/>
      <w:r>
        <w:t>Emirbayer</w:t>
      </w:r>
      <w:proofErr w:type="spellEnd"/>
      <w:r>
        <w:t xml:space="preserve"> and </w:t>
      </w:r>
      <w:proofErr w:type="spellStart"/>
      <w:r>
        <w:t>Mische</w:t>
      </w:r>
      <w:proofErr w:type="spellEnd"/>
      <w:r>
        <w:t xml:space="preserve"> (1998) explain that the term ‘agency’ can be associated with a number of terms, including, self-hood, motivation, will, choice and freedom, however, many theorists have neglected to recognise agency as an individual category in its own right. </w:t>
      </w:r>
      <w:r w:rsidR="00D1606E">
        <w:t>M</w:t>
      </w:r>
      <w:r>
        <w:t xml:space="preserve">any of the present-day concepts of human agency can be traced back to the Enlightenment debate, over whether instrumental rationality or moral and norm-based action is the truest expression of human freedom. The early Enlightenment, which can be described as the movement from religion to modernity, creating the social construction theory, </w:t>
      </w:r>
      <w:r>
        <w:t xml:space="preserve">which </w:t>
      </w:r>
      <w:r>
        <w:t>gave individuals the opportunity to be ‘free agents’ who are able to make rational choices for themselves and for their society. It can be considered that the concept of agency is, the ability for an individual to have choice, and in terms of advocacy, to have choice would translate to having self-advocacy</w:t>
      </w:r>
      <w:r>
        <w:t xml:space="preserve">. </w:t>
      </w:r>
      <w:r>
        <w:t xml:space="preserve">Bateman (2000) describes self-advocacy as ‘a process in which an individual, or a group of people, speak or act on their own behalf in pursuit of their own needs and interests’. Within health and social care, it is often determined that individuals may not have the capacity to make decisions or understand situations that involve a choice </w:t>
      </w:r>
      <w:r>
        <w:t xml:space="preserve">that </w:t>
      </w:r>
      <w:r>
        <w:t>they may have to make, with the assistance of an advocate, the individual has the knowledge, confidence and understanding to be able to make the choice that they may need.</w:t>
      </w:r>
    </w:p>
    <w:p w:rsidR="00B10031" w:rsidRDefault="00B10031" w:rsidP="00B10031">
      <w:pPr>
        <w:ind w:firstLine="720"/>
      </w:pPr>
      <w:r>
        <w:t xml:space="preserve">In order to promote empowerment and agency, an advocate must participate in anti-oppressive practice in order to provide the client with equality. </w:t>
      </w:r>
      <w:r w:rsidR="00253860">
        <w:t xml:space="preserve">Clifford and Burke (2009) define anti-oppressive practice as an adjectival phrase that is currently not universally accepted or </w:t>
      </w:r>
      <w:r>
        <w:t>approved and</w:t>
      </w:r>
      <w:r w:rsidR="00253860">
        <w:t xml:space="preserve"> recommend that the word is taken as it reads</w:t>
      </w:r>
      <w:r>
        <w:t>.</w:t>
      </w:r>
      <w:r w:rsidR="00253860">
        <w:t xml:space="preserve"> Anti-oppressive practice refers to the powerful, that will seek to incorporate critical terms into their dominant discourse, however, Clifford and Burke argue that anti-oppressive practice indicates a position, that individuals take up the seriousness of social diversity and </w:t>
      </w:r>
      <w:r w:rsidR="002A33CE">
        <w:t>equality</w:t>
      </w:r>
      <w:r w:rsidR="00253860">
        <w:t xml:space="preserve">, therefore in order to be anti-oppressive, it is to be in favour of social change, taking part in solving human relationships and the empowerment and liberation of people to implement well-being. These objectives can be argued against, however, Clifford and Burke make clear that by using these objectives, anti-oppressive practice </w:t>
      </w:r>
      <w:r w:rsidR="002A33CE">
        <w:t xml:space="preserve">focusses on ethical and political concepts, such as rights, social justice, empowerment and liberation, which are all paramount to advocacy within health and social work. Considering that </w:t>
      </w:r>
      <w:r w:rsidR="005952A5">
        <w:t>‘</w:t>
      </w:r>
      <w:r w:rsidR="002A33CE">
        <w:t>anti-oppressive</w:t>
      </w:r>
      <w:r w:rsidR="005952A5">
        <w:t>’</w:t>
      </w:r>
      <w:r w:rsidR="002A33CE">
        <w:t xml:space="preserve"> is the opposite of oppressive, Neil Thompson </w:t>
      </w:r>
      <w:r w:rsidR="005952A5">
        <w:t xml:space="preserve">(2012) </w:t>
      </w:r>
      <w:r w:rsidR="005952A5">
        <w:lastRenderedPageBreak/>
        <w:t xml:space="preserve">describes oppression as the outcome of unfair treatment or discrimination of people, as un-fair treatment of individuals associated with discrimination has oppressive consequences. However, oppression and anti-oppressive practice within health and social work can be abused, as a person working within this field can have a position of power, this coupled with an individual, or service-user who </w:t>
      </w:r>
      <w:r w:rsidR="006871C5">
        <w:t xml:space="preserve">is in need of the service, although has little agency, it would be </w:t>
      </w:r>
      <w:r w:rsidR="00D1606E">
        <w:t>easy</w:t>
      </w:r>
      <w:r w:rsidR="006871C5">
        <w:t xml:space="preserve"> for the health or social worker to oppress an individual if the worker did not have the essential characteristics of an advocate.</w:t>
      </w:r>
      <w:r>
        <w:t xml:space="preserve"> </w:t>
      </w:r>
    </w:p>
    <w:p w:rsidR="00B10031" w:rsidRDefault="00B10031" w:rsidP="00B10031">
      <w:pPr>
        <w:ind w:firstLine="720"/>
      </w:pPr>
      <w:r>
        <w:t xml:space="preserve">Advocacy is a very unique yet important role, that is often misunderstood and underestimated when considering the skills in which an advocate must have. Considering </w:t>
      </w:r>
      <w:r w:rsidR="00D1606E">
        <w:t xml:space="preserve">that </w:t>
      </w:r>
      <w:r>
        <w:t>the history of advocacy is extensive, it can be argued that advocacy is invaluable within the health and social care sector, to not only provide clients with empowerment and agency using anti-oppressive practice, but to provide confidence, and security to those who are in need. Advocacy West Wales (</w:t>
      </w:r>
      <w:proofErr w:type="spellStart"/>
      <w:proofErr w:type="gramStart"/>
      <w:r>
        <w:t>n,d</w:t>
      </w:r>
      <w:proofErr w:type="spellEnd"/>
      <w:proofErr w:type="gramEnd"/>
      <w:r>
        <w:t>) state that ‘an advocate will not tell you what to do, but will help you decide for yourself’. This is an exemplary statement of what advocacy is, and how it can help people in need, buy giving individuals the courage an advocate can help make dramatic changes to people’s lives, and help both the individual and the company or organisation to understand the rights in which they have, and to get the clearest and most pleasant result for your client.</w:t>
      </w:r>
    </w:p>
    <w:p w:rsidR="00B10031" w:rsidRDefault="00B10031" w:rsidP="00B10031">
      <w:pPr>
        <w:ind w:firstLine="720"/>
      </w:pPr>
    </w:p>
    <w:sdt>
      <w:sdtPr>
        <w:id w:val="1410275860"/>
        <w:docPartObj>
          <w:docPartGallery w:val="Bibliographies"/>
          <w:docPartUnique/>
        </w:docPartObj>
      </w:sdtPr>
      <w:sdtEndPr>
        <w:rPr>
          <w:rFonts w:ascii="Times New Roman" w:eastAsiaTheme="minorHAnsi" w:hAnsi="Times New Roman" w:cs="Times New Roman (Body CS)"/>
          <w:b w:val="0"/>
          <w:bCs w:val="0"/>
          <w:color w:val="auto"/>
          <w:sz w:val="24"/>
          <w:szCs w:val="24"/>
          <w:lang w:val="en-GB" w:bidi="ar-SA"/>
        </w:rPr>
      </w:sdtEndPr>
      <w:sdtContent>
        <w:p w:rsidR="00B10031" w:rsidRPr="00B10031" w:rsidRDefault="00D1606E" w:rsidP="00B10031">
          <w:pPr>
            <w:pStyle w:val="Heading1"/>
            <w:rPr>
              <w:rFonts w:ascii="Times New Roman" w:hAnsi="Times New Roman" w:cs="Times New Roman"/>
              <w:color w:val="000000" w:themeColor="text1"/>
            </w:rPr>
          </w:pPr>
          <w:r>
            <w:rPr>
              <w:rFonts w:ascii="Times New Roman" w:hAnsi="Times New Roman" w:cs="Times New Roman"/>
              <w:color w:val="000000" w:themeColor="text1"/>
            </w:rPr>
            <w:t>References</w:t>
          </w:r>
        </w:p>
        <w:sdt>
          <w:sdtPr>
            <w:id w:val="111145805"/>
            <w:bibliography/>
          </w:sdtPr>
          <w:sdtContent>
            <w:p w:rsidR="00B10031" w:rsidRPr="00B10031" w:rsidRDefault="00B10031" w:rsidP="00B10031">
              <w:pPr>
                <w:pStyle w:val="Bibliography"/>
                <w:jc w:val="left"/>
                <w:rPr>
                  <w:noProof/>
                  <w:lang w:val="en-US"/>
                </w:rPr>
              </w:pPr>
              <w:r>
                <w:fldChar w:fldCharType="begin"/>
              </w:r>
              <w:r>
                <w:instrText xml:space="preserve"> BIBLIOGRAPHY </w:instrText>
              </w:r>
              <w:r>
                <w:fldChar w:fldCharType="separate"/>
              </w:r>
            </w:p>
            <w:p w:rsidR="00B10031" w:rsidRDefault="00B10031" w:rsidP="00B10031">
              <w:pPr>
                <w:pStyle w:val="Bibliography"/>
                <w:jc w:val="left"/>
                <w:rPr>
                  <w:noProof/>
                  <w:lang w:val="en-US"/>
                </w:rPr>
              </w:pPr>
              <w:r>
                <w:rPr>
                  <w:noProof/>
                  <w:lang w:val="en-US"/>
                </w:rPr>
                <w:t xml:space="preserve">Advocacy West Wales (n.d) </w:t>
              </w:r>
              <w:r>
                <w:rPr>
                  <w:i/>
                  <w:iCs/>
                  <w:noProof/>
                  <w:lang w:val="en-US"/>
                </w:rPr>
                <w:t>What is an advocate?.</w:t>
              </w:r>
              <w:r>
                <w:rPr>
                  <w:noProof/>
                  <w:lang w:val="en-US"/>
                </w:rPr>
                <w:t xml:space="preserve"> </w:t>
              </w:r>
              <w:r>
                <w:rPr>
                  <w:noProof/>
                  <w:lang w:val="en-US"/>
                </w:rPr>
                <w:br/>
                <w:t xml:space="preserve">Available at: </w:t>
              </w:r>
              <w:r>
                <w:rPr>
                  <w:noProof/>
                  <w:u w:val="single"/>
                  <w:lang w:val="en-US"/>
                </w:rPr>
                <w:t>http://advocacywestwales.org.uk</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Barnes, M. &amp; Walker, A (1996) Consumerism versus Empowerment: a principled approach to the involvement of older service users. </w:t>
              </w:r>
              <w:r>
                <w:rPr>
                  <w:i/>
                  <w:iCs/>
                  <w:noProof/>
                  <w:lang w:val="en-US"/>
                </w:rPr>
                <w:t xml:space="preserve">Policy and Politics, </w:t>
              </w:r>
              <w:r>
                <w:rPr>
                  <w:noProof/>
                  <w:lang w:val="en-US"/>
                </w:rPr>
                <w:t>24(4), pp. 375-393.</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Bateman, N (2000) </w:t>
              </w:r>
              <w:r>
                <w:rPr>
                  <w:i/>
                  <w:iCs/>
                  <w:noProof/>
                  <w:lang w:val="en-US"/>
                </w:rPr>
                <w:t xml:space="preserve">Advocacy skills for Health and Social care Professionals. </w:t>
              </w:r>
              <w:r>
                <w:rPr>
                  <w:noProof/>
                  <w:lang w:val="en-US"/>
                </w:rPr>
                <w:t>London: Athenaeum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lastRenderedPageBreak/>
                <w:t xml:space="preserve">Boylan, J. &amp; Dalrymple, J (2009) </w:t>
              </w:r>
              <w:r>
                <w:rPr>
                  <w:i/>
                  <w:iCs/>
                  <w:noProof/>
                  <w:lang w:val="en-US"/>
                </w:rPr>
                <w:t xml:space="preserve">Understanding Advocacy for children and young people. </w:t>
              </w:r>
              <w:r>
                <w:rPr>
                  <w:noProof/>
                  <w:lang w:val="en-US"/>
                </w:rPr>
                <w:t>Berkshire: Open University Press.</w:t>
              </w:r>
            </w:p>
            <w:p w:rsidR="00B10031" w:rsidRPr="00B10031" w:rsidRDefault="00B10031" w:rsidP="00B10031">
              <w:pPr>
                <w:rPr>
                  <w:lang w:val="en-US"/>
                </w:rPr>
              </w:pPr>
            </w:p>
            <w:p w:rsidR="00B10031" w:rsidRDefault="00B10031" w:rsidP="00B10031">
              <w:pPr>
                <w:rPr>
                  <w:lang w:val="en-US"/>
                </w:rPr>
              </w:pPr>
            </w:p>
            <w:p w:rsidR="00B10031" w:rsidRDefault="00B10031" w:rsidP="00B10031">
              <w:pPr>
                <w:pStyle w:val="Bibliography"/>
                <w:jc w:val="left"/>
                <w:rPr>
                  <w:noProof/>
                  <w:lang w:val="en-US"/>
                </w:rPr>
              </w:pPr>
              <w:r>
                <w:rPr>
                  <w:i/>
                  <w:iCs/>
                  <w:noProof/>
                  <w:lang w:val="en-US"/>
                </w:rPr>
                <w:t xml:space="preserve">Care Act 2014 </w:t>
              </w:r>
              <w:r>
                <w:rPr>
                  <w:noProof/>
                  <w:lang w:val="en-US"/>
                </w:rPr>
                <w:t xml:space="preserve">Available at: </w:t>
              </w:r>
              <w:r>
                <w:rPr>
                  <w:noProof/>
                  <w:u w:val="single"/>
                  <w:lang w:val="en-US"/>
                </w:rPr>
                <w:t>http://www.legislation.gov.uk/ukpga/2014/23/pdfs/ukpga_20140023_en.pdf</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i/>
                  <w:iCs/>
                  <w:noProof/>
                  <w:lang w:val="en-US"/>
                </w:rPr>
                <w:t xml:space="preserve">Children Act 1989 </w:t>
              </w:r>
              <w:r>
                <w:rPr>
                  <w:noProof/>
                  <w:lang w:val="en-US"/>
                </w:rPr>
                <w:t xml:space="preserve">Available at: </w:t>
              </w:r>
              <w:r>
                <w:rPr>
                  <w:noProof/>
                  <w:u w:val="single"/>
                  <w:lang w:val="en-US"/>
                </w:rPr>
                <w:t>http://www.legislation.gov.uk/ukpga/1989/41/enacted</w:t>
              </w:r>
              <w:r>
                <w:rPr>
                  <w:noProof/>
                  <w:lang w:val="en-US"/>
                </w:rPr>
                <w:br/>
                <w:t>Accessed 19/4/2019</w:t>
              </w:r>
            </w:p>
            <w:p w:rsidR="00B10031" w:rsidRPr="00B10031" w:rsidRDefault="00B10031" w:rsidP="00B10031">
              <w:pPr>
                <w:rPr>
                  <w:lang w:val="en-US"/>
                </w:rPr>
              </w:pP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Clifford, D. &amp; Burke, B (2009) </w:t>
              </w:r>
              <w:r>
                <w:rPr>
                  <w:i/>
                  <w:iCs/>
                  <w:noProof/>
                  <w:lang w:val="en-US"/>
                </w:rPr>
                <w:t xml:space="preserve">Anti-oppressive Ethics and Values in Social Work. </w:t>
              </w:r>
              <w:r>
                <w:rPr>
                  <w:noProof/>
                  <w:lang w:val="en-US"/>
                </w:rPr>
                <w:t>London: Palgrave Macmillan.</w:t>
              </w:r>
            </w:p>
            <w:p w:rsidR="00B10031" w:rsidRDefault="00B10031" w:rsidP="00B10031">
              <w:pPr>
                <w:rPr>
                  <w:lang w:val="en-US"/>
                </w:rPr>
              </w:pPr>
            </w:p>
            <w:p w:rsidR="00B10031" w:rsidRDefault="00B10031" w:rsidP="00B10031">
              <w:pPr>
                <w:pStyle w:val="Bibliography"/>
                <w:jc w:val="left"/>
                <w:rPr>
                  <w:noProof/>
                  <w:lang w:val="en-US"/>
                </w:rPr>
              </w:pPr>
              <w:r>
                <w:rPr>
                  <w:i/>
                  <w:iCs/>
                  <w:noProof/>
                  <w:lang w:val="en-US"/>
                </w:rPr>
                <w:t>Community Care (Direct Payments) Act 1996</w:t>
              </w:r>
              <w:r>
                <w:rPr>
                  <w:noProof/>
                  <w:lang w:val="en-US"/>
                </w:rPr>
                <w:t xml:space="preserve"> Available at: </w:t>
              </w:r>
              <w:r>
                <w:rPr>
                  <w:noProof/>
                  <w:u w:val="single"/>
                  <w:lang w:val="en-US"/>
                </w:rPr>
                <w:t>http://www.legislation.gov.uk/ukpga/1996/30/pdfs/ukpga_19960030_en.pdf</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Emirbayer, M. &amp; Mische, A (1998) What is Agency? </w:t>
              </w:r>
              <w:r>
                <w:rPr>
                  <w:i/>
                  <w:iCs/>
                  <w:noProof/>
                  <w:lang w:val="en-US"/>
                </w:rPr>
                <w:t xml:space="preserve">American Journal of Sociology, </w:t>
              </w:r>
              <w:r>
                <w:rPr>
                  <w:noProof/>
                  <w:lang w:val="en-US"/>
                </w:rPr>
                <w:t>103(4), pp. 962-1023. Available at:</w:t>
              </w:r>
              <w:r w:rsidRPr="00B10031">
                <w:t xml:space="preserve"> </w:t>
              </w:r>
              <w:r w:rsidRPr="00B10031">
                <w:rPr>
                  <w:noProof/>
                  <w:lang w:val="en-US"/>
                </w:rPr>
                <w:t>https://pdfs.semanticscholar.org/8927/615e80bbcd46c04cfeccfb9f10ec9b8b4de1.pdf</w:t>
              </w:r>
              <w:r>
                <w:rPr>
                  <w:noProof/>
                  <w:lang w:val="en-US"/>
                </w:rPr>
                <w:t xml:space="preserve"> </w:t>
              </w:r>
            </w:p>
            <w:p w:rsidR="00B10031" w:rsidRDefault="00B10031" w:rsidP="00B10031">
              <w:pPr>
                <w:rPr>
                  <w:lang w:val="en-US"/>
                </w:rPr>
              </w:pPr>
              <w:r>
                <w:rPr>
                  <w:lang w:val="en-US"/>
                </w:rPr>
                <w:t>Accessed 19/4/2019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Glasby, J (2012) </w:t>
              </w:r>
              <w:r>
                <w:rPr>
                  <w:i/>
                  <w:iCs/>
                  <w:noProof/>
                  <w:lang w:val="en-US"/>
                </w:rPr>
                <w:t xml:space="preserve">Understanding Health and Social Care. </w:t>
              </w:r>
              <w:r>
                <w:rPr>
                  <w:noProof/>
                  <w:lang w:val="en-US"/>
                </w:rPr>
                <w:t>2nd ed. Bristol: Policy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Henderson, R. &amp; Pochin, M (2001) </w:t>
              </w:r>
              <w:r>
                <w:rPr>
                  <w:i/>
                  <w:iCs/>
                  <w:noProof/>
                  <w:lang w:val="en-US"/>
                </w:rPr>
                <w:t xml:space="preserve">A Right Result? Advocacy, Justice, and Empowerment. </w:t>
              </w:r>
              <w:r>
                <w:rPr>
                  <w:noProof/>
                  <w:lang w:val="en-US"/>
                </w:rPr>
                <w:t>Bristol: Policy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Mantle, G. &amp; Blackwith, D (2010) Poverty and Social Work. </w:t>
              </w:r>
              <w:r>
                <w:rPr>
                  <w:i/>
                  <w:iCs/>
                  <w:noProof/>
                  <w:lang w:val="en-US"/>
                </w:rPr>
                <w:t xml:space="preserve">Brittish Journal of Social Work, </w:t>
              </w:r>
              <w:r>
                <w:rPr>
                  <w:noProof/>
                  <w:lang w:val="en-US"/>
                </w:rPr>
                <w:t>Volume 40, pp. 2380-2397.</w:t>
              </w:r>
            </w:p>
            <w:p w:rsidR="00B10031" w:rsidRPr="00B10031" w:rsidRDefault="00B10031" w:rsidP="00B10031">
              <w:pPr>
                <w:pStyle w:val="Bibliography"/>
                <w:jc w:val="left"/>
                <w:rPr>
                  <w:noProof/>
                  <w:lang w:val="en-US"/>
                </w:rPr>
              </w:pPr>
              <w:r>
                <w:rPr>
                  <w:i/>
                  <w:iCs/>
                  <w:noProof/>
                  <w:lang w:val="en-US"/>
                </w:rPr>
                <w:t>Mental Health Act 1983</w:t>
              </w:r>
              <w:r>
                <w:rPr>
                  <w:noProof/>
                  <w:lang w:val="en-US"/>
                </w:rPr>
                <w:t xml:space="preserve"> Available at: </w:t>
              </w:r>
              <w:r>
                <w:rPr>
                  <w:noProof/>
                  <w:u w:val="single"/>
                  <w:lang w:val="en-US"/>
                </w:rPr>
                <w:t>http://www.legislation.gov.uk/ukpga/1983/20/pdfs/ukpga_19830020_en.pdf</w:t>
              </w:r>
              <w:r>
                <w:rPr>
                  <w:noProof/>
                  <w:lang w:val="en-US"/>
                </w:rPr>
                <w:br/>
                <w:t>Accessed 19/04/2019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MIND (2013) </w:t>
              </w:r>
              <w:r>
                <w:rPr>
                  <w:i/>
                  <w:iCs/>
                  <w:noProof/>
                  <w:lang w:val="en-US"/>
                </w:rPr>
                <w:t xml:space="preserve">Health and Social Care Rights. </w:t>
              </w:r>
              <w:r>
                <w:rPr>
                  <w:noProof/>
                  <w:lang w:val="en-US"/>
                </w:rPr>
                <w:t xml:space="preserve">Available at: </w:t>
              </w:r>
              <w:r>
                <w:rPr>
                  <w:noProof/>
                  <w:u w:val="single"/>
                  <w:lang w:val="en-US"/>
                </w:rPr>
                <w:t>https://www.mind.org.uk/information-support/guides-to-support-and-services/advocacy/social-care-advocates/#.XKuaKC2ZPpA</w:t>
              </w:r>
              <w:r>
                <w:rPr>
                  <w:noProof/>
                  <w:lang w:val="en-US"/>
                </w:rPr>
                <w:br/>
                <w:t>Accessed 8/4/2019</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Payne, M (2006) </w:t>
              </w:r>
              <w:r>
                <w:rPr>
                  <w:i/>
                  <w:iCs/>
                  <w:noProof/>
                  <w:lang w:val="en-US"/>
                </w:rPr>
                <w:t xml:space="preserve">What is Professional Social Work?. </w:t>
              </w:r>
              <w:r>
                <w:rPr>
                  <w:noProof/>
                  <w:lang w:val="en-US"/>
                </w:rPr>
                <w:t>2 ed. Bristol: Policy Press.</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Rogers, A. &amp; Pilgrim, D (2010) </w:t>
              </w:r>
              <w:r>
                <w:rPr>
                  <w:i/>
                  <w:iCs/>
                  <w:noProof/>
                  <w:lang w:val="en-US"/>
                </w:rPr>
                <w:t xml:space="preserve">A Sociology of mental health and illness. </w:t>
              </w:r>
              <w:r>
                <w:rPr>
                  <w:noProof/>
                  <w:lang w:val="en-US"/>
                </w:rPr>
                <w:t>Maidenhead: Open University .</w:t>
              </w:r>
            </w:p>
            <w:p w:rsidR="00B10031" w:rsidRDefault="00B10031" w:rsidP="00B10031">
              <w:pPr>
                <w:pStyle w:val="Bibliography"/>
                <w:jc w:val="left"/>
                <w:rPr>
                  <w:noProof/>
                  <w:lang w:val="en-US"/>
                </w:rPr>
              </w:pPr>
              <w:r>
                <w:rPr>
                  <w:noProof/>
                  <w:lang w:val="en-US"/>
                </w:rPr>
                <w:t xml:space="preserve">Thompson, N (2002) Social work with adults. In: </w:t>
              </w:r>
              <w:r>
                <w:rPr>
                  <w:i/>
                  <w:iCs/>
                  <w:noProof/>
                  <w:lang w:val="en-US"/>
                </w:rPr>
                <w:t xml:space="preserve">Social Work: Themes, Issues and Critical Debates. </w:t>
              </w:r>
              <w:r>
                <w:rPr>
                  <w:noProof/>
                  <w:lang w:val="en-US"/>
                </w:rPr>
                <w:t>Basingstoke: Palgrave.</w:t>
              </w:r>
            </w:p>
            <w:p w:rsidR="00B10031" w:rsidRDefault="00B10031" w:rsidP="00B10031">
              <w:pPr>
                <w:rPr>
                  <w:lang w:val="en-US"/>
                </w:rPr>
              </w:pPr>
            </w:p>
            <w:p w:rsidR="00B10031" w:rsidRDefault="00B10031" w:rsidP="00B10031">
              <w:pPr>
                <w:pStyle w:val="Bibliography"/>
                <w:jc w:val="left"/>
                <w:rPr>
                  <w:noProof/>
                  <w:lang w:val="en-US"/>
                </w:rPr>
              </w:pPr>
              <w:r>
                <w:rPr>
                  <w:noProof/>
                  <w:lang w:val="en-US"/>
                </w:rPr>
                <w:t xml:space="preserve">Skills for Care (n.d) </w:t>
              </w:r>
              <w:r>
                <w:rPr>
                  <w:i/>
                  <w:iCs/>
                  <w:noProof/>
                  <w:lang w:val="en-US"/>
                </w:rPr>
                <w:t>Think Care Carrers: Advocacy Worker.</w:t>
              </w:r>
              <w:r>
                <w:rPr>
                  <w:noProof/>
                  <w:lang w:val="en-US"/>
                </w:rPr>
                <w:t xml:space="preserve"> Available at: </w:t>
              </w:r>
              <w:r>
                <w:rPr>
                  <w:noProof/>
                  <w:u w:val="single"/>
                  <w:lang w:val="en-US"/>
                </w:rPr>
                <w:t>https://www.skillsforcare.org.uk/Careers-in-care/Job-roles/Roles/Advocacy-worker.aspx</w:t>
              </w:r>
              <w:r>
                <w:rPr>
                  <w:noProof/>
                  <w:lang w:val="en-US"/>
                </w:rPr>
                <w:br/>
                <w:t>Accessed 10/4/2019</w:t>
              </w:r>
            </w:p>
            <w:p w:rsidR="00B10031" w:rsidRDefault="00B10031" w:rsidP="00B10031">
              <w:pPr>
                <w:rPr>
                  <w:lang w:val="en-US"/>
                </w:rPr>
              </w:pPr>
            </w:p>
            <w:p w:rsidR="00B10031" w:rsidRDefault="00B10031" w:rsidP="00B10031">
              <w:pPr>
                <w:pStyle w:val="Bibliography"/>
                <w:jc w:val="left"/>
                <w:rPr>
                  <w:noProof/>
                  <w:lang w:val="en-US"/>
                </w:rPr>
              </w:pPr>
              <w:r>
                <w:rPr>
                  <w:i/>
                  <w:iCs/>
                  <w:noProof/>
                  <w:lang w:val="en-US"/>
                </w:rPr>
                <w:t>Social Services and Well-being (Wales) Act 2014</w:t>
              </w:r>
              <w:r>
                <w:rPr>
                  <w:noProof/>
                  <w:lang w:val="en-US"/>
                </w:rPr>
                <w:t xml:space="preserve"> Available at: </w:t>
              </w:r>
              <w:r>
                <w:rPr>
                  <w:noProof/>
                  <w:u w:val="single"/>
                  <w:lang w:val="en-US"/>
                </w:rPr>
                <w:t>http://www.legislation.gov.uk/anaw/2014/4/pdfs/anaw_20140004_en.pdf</w:t>
              </w:r>
              <w:r>
                <w:rPr>
                  <w:noProof/>
                  <w:lang w:val="en-US"/>
                </w:rPr>
                <w:br/>
                <w:t>Accessed 19/4/2019</w:t>
              </w:r>
            </w:p>
            <w:p w:rsidR="00B10031" w:rsidRPr="00B10031" w:rsidRDefault="00B10031" w:rsidP="00B10031">
              <w:pPr>
                <w:rPr>
                  <w:color w:val="000000" w:themeColor="text1"/>
                  <w:lang w:val="en-US"/>
                </w:rPr>
              </w:pPr>
            </w:p>
            <w:p w:rsidR="00B10031" w:rsidRPr="00B10031" w:rsidRDefault="00B10031" w:rsidP="00B10031">
              <w:pPr>
                <w:jc w:val="left"/>
                <w:rPr>
                  <w:color w:val="000000" w:themeColor="text1"/>
                </w:rPr>
              </w:pPr>
              <w:r w:rsidRPr="00B10031">
                <w:rPr>
                  <w:color w:val="000000" w:themeColor="text1"/>
                </w:rPr>
                <w:t xml:space="preserve">Spencer, B (2009) The Poor Man’s Lawyer Service: a precursor to legal aid </w:t>
              </w:r>
              <w:r w:rsidRPr="00B10031">
                <w:rPr>
                  <w:i/>
                  <w:color w:val="000000" w:themeColor="text1"/>
                </w:rPr>
                <w:t xml:space="preserve">Legal Action </w:t>
              </w:r>
              <w:r w:rsidRPr="00B10031">
                <w:rPr>
                  <w:color w:val="000000" w:themeColor="text1"/>
                </w:rPr>
                <w:t>(May) pp6-7</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Thomson, N (2012) </w:t>
              </w:r>
              <w:r>
                <w:rPr>
                  <w:i/>
                  <w:iCs/>
                  <w:noProof/>
                  <w:lang w:val="en-US"/>
                </w:rPr>
                <w:t xml:space="preserve">Anti-discriminatory Practice. </w:t>
              </w:r>
              <w:r>
                <w:rPr>
                  <w:noProof/>
                  <w:lang w:val="en-US"/>
                </w:rPr>
                <w:t>5th ed. London: Palgrave Macmillan.</w:t>
              </w:r>
            </w:p>
            <w:p w:rsidR="00B10031" w:rsidRPr="00B10031" w:rsidRDefault="00B10031" w:rsidP="00B10031">
              <w:pPr>
                <w:rPr>
                  <w:lang w:val="en-US"/>
                </w:rPr>
              </w:pPr>
            </w:p>
            <w:p w:rsidR="00B10031" w:rsidRDefault="00B10031" w:rsidP="00B10031">
              <w:pPr>
                <w:pStyle w:val="Bibliography"/>
                <w:jc w:val="left"/>
                <w:rPr>
                  <w:noProof/>
                  <w:lang w:val="en-US"/>
                </w:rPr>
              </w:pPr>
              <w:r>
                <w:rPr>
                  <w:noProof/>
                  <w:lang w:val="en-US"/>
                </w:rPr>
                <w:t xml:space="preserve">Wilks, T (2012) </w:t>
              </w:r>
              <w:r>
                <w:rPr>
                  <w:i/>
                  <w:iCs/>
                  <w:noProof/>
                  <w:lang w:val="en-US"/>
                </w:rPr>
                <w:t xml:space="preserve">Advocacy and Social Work Practice. </w:t>
              </w:r>
              <w:r>
                <w:rPr>
                  <w:noProof/>
                  <w:lang w:val="en-US"/>
                </w:rPr>
                <w:t>Berkshire: Open University Press.</w:t>
              </w:r>
            </w:p>
            <w:p w:rsidR="00B10031" w:rsidRDefault="00B10031" w:rsidP="00B10031">
              <w:pPr>
                <w:jc w:val="left"/>
              </w:pPr>
              <w:r>
                <w:rPr>
                  <w:b/>
                  <w:bCs/>
                  <w:noProof/>
                </w:rPr>
                <w:fldChar w:fldCharType="end"/>
              </w:r>
            </w:p>
          </w:sdtContent>
        </w:sdt>
      </w:sdtContent>
    </w:sdt>
    <w:p w:rsidR="00A02B14" w:rsidRPr="00BC5F5D" w:rsidRDefault="00A02B14" w:rsidP="00B10031">
      <w:pPr>
        <w:jc w:val="left"/>
        <w:rPr>
          <w:color w:val="FF0000"/>
        </w:rPr>
      </w:pPr>
    </w:p>
    <w:sectPr w:rsidR="00A02B14" w:rsidRPr="00BC5F5D" w:rsidSect="00B10031">
      <w:headerReference w:type="even" r:id="rId7"/>
      <w:headerReference w:type="default" r:id="rId8"/>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433A" w:rsidRDefault="009D433A" w:rsidP="00B10031">
      <w:pPr>
        <w:spacing w:line="240" w:lineRule="auto"/>
      </w:pPr>
      <w:r>
        <w:separator/>
      </w:r>
    </w:p>
  </w:endnote>
  <w:endnote w:type="continuationSeparator" w:id="0">
    <w:p w:rsidR="009D433A" w:rsidRDefault="009D433A" w:rsidP="00B100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433A" w:rsidRDefault="009D433A" w:rsidP="00B10031">
      <w:pPr>
        <w:spacing w:line="240" w:lineRule="auto"/>
      </w:pPr>
      <w:r>
        <w:separator/>
      </w:r>
    </w:p>
  </w:footnote>
  <w:footnote w:type="continuationSeparator" w:id="0">
    <w:p w:rsidR="009D433A" w:rsidRDefault="009D433A" w:rsidP="00B100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8838867"/>
      <w:docPartObj>
        <w:docPartGallery w:val="Page Numbers (Top of Page)"/>
        <w:docPartUnique/>
      </w:docPartObj>
    </w:sdtPr>
    <w:sdtContent>
      <w:p w:rsidR="00B10031" w:rsidRDefault="00B10031" w:rsidP="002B251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rsidR="00B10031" w:rsidRDefault="00B10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9775759"/>
      <w:docPartObj>
        <w:docPartGallery w:val="Page Numbers (Top of Page)"/>
        <w:docPartUnique/>
      </w:docPartObj>
    </w:sdtPr>
    <w:sdtContent>
      <w:p w:rsidR="00B10031" w:rsidRDefault="00B10031" w:rsidP="002B2510">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10031" w:rsidRDefault="00B10031">
    <w:pPr>
      <w:pStyle w:val="Header"/>
    </w:pPr>
    <w:r>
      <w:t>Module Code: ECAY4001                                                                Student Number:1805211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mirrorMargin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8FA"/>
    <w:rsid w:val="000A6B8B"/>
    <w:rsid w:val="00130A55"/>
    <w:rsid w:val="00132CB4"/>
    <w:rsid w:val="001F4683"/>
    <w:rsid w:val="001F7F38"/>
    <w:rsid w:val="00205EE6"/>
    <w:rsid w:val="00211318"/>
    <w:rsid w:val="002135EF"/>
    <w:rsid w:val="00223D32"/>
    <w:rsid w:val="00250858"/>
    <w:rsid w:val="00253860"/>
    <w:rsid w:val="00265ABC"/>
    <w:rsid w:val="002A33CE"/>
    <w:rsid w:val="00340602"/>
    <w:rsid w:val="003428FA"/>
    <w:rsid w:val="00384A28"/>
    <w:rsid w:val="003A1C32"/>
    <w:rsid w:val="004013D1"/>
    <w:rsid w:val="00433B5A"/>
    <w:rsid w:val="00460957"/>
    <w:rsid w:val="00471525"/>
    <w:rsid w:val="00511B5B"/>
    <w:rsid w:val="00537AC8"/>
    <w:rsid w:val="00575931"/>
    <w:rsid w:val="005952A5"/>
    <w:rsid w:val="005F2F22"/>
    <w:rsid w:val="00603CAB"/>
    <w:rsid w:val="00607DCC"/>
    <w:rsid w:val="00612410"/>
    <w:rsid w:val="006871C5"/>
    <w:rsid w:val="00696496"/>
    <w:rsid w:val="006C13F4"/>
    <w:rsid w:val="006C33A3"/>
    <w:rsid w:val="00701F9C"/>
    <w:rsid w:val="00773CBE"/>
    <w:rsid w:val="007B7ACE"/>
    <w:rsid w:val="007C1071"/>
    <w:rsid w:val="007D1FEB"/>
    <w:rsid w:val="008700BD"/>
    <w:rsid w:val="0088686D"/>
    <w:rsid w:val="008E6F6B"/>
    <w:rsid w:val="00927DA0"/>
    <w:rsid w:val="00934C2F"/>
    <w:rsid w:val="0096036E"/>
    <w:rsid w:val="009D433A"/>
    <w:rsid w:val="00A02B14"/>
    <w:rsid w:val="00A11167"/>
    <w:rsid w:val="00A50CA4"/>
    <w:rsid w:val="00A6748C"/>
    <w:rsid w:val="00A734EF"/>
    <w:rsid w:val="00AE1C45"/>
    <w:rsid w:val="00B0618A"/>
    <w:rsid w:val="00B10031"/>
    <w:rsid w:val="00B33D1B"/>
    <w:rsid w:val="00B72D2B"/>
    <w:rsid w:val="00BC5F5D"/>
    <w:rsid w:val="00C36911"/>
    <w:rsid w:val="00C747D2"/>
    <w:rsid w:val="00CB1B43"/>
    <w:rsid w:val="00CD11E5"/>
    <w:rsid w:val="00CD49EE"/>
    <w:rsid w:val="00D1606E"/>
    <w:rsid w:val="00D64816"/>
    <w:rsid w:val="00DE4BBB"/>
    <w:rsid w:val="00DE749E"/>
    <w:rsid w:val="00DF5319"/>
    <w:rsid w:val="00E05E66"/>
    <w:rsid w:val="00E4409B"/>
    <w:rsid w:val="00E621F6"/>
    <w:rsid w:val="00EF0D96"/>
    <w:rsid w:val="00F92A41"/>
    <w:rsid w:val="00FC6E30"/>
    <w:rsid w:val="00FF6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8FC2"/>
  <w15:chartTrackingRefBased/>
  <w15:docId w15:val="{56AB2BB0-AABF-9542-8197-609497119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Body CS)"/>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031"/>
    <w:pPr>
      <w:keepNext/>
      <w:keepLines/>
      <w:spacing w:before="480" w:line="276" w:lineRule="auto"/>
      <w:jc w:val="left"/>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21F6"/>
    <w:rPr>
      <w:color w:val="0563C1" w:themeColor="hyperlink"/>
      <w:u w:val="single"/>
    </w:rPr>
  </w:style>
  <w:style w:type="character" w:styleId="UnresolvedMention">
    <w:name w:val="Unresolved Mention"/>
    <w:basedOn w:val="DefaultParagraphFont"/>
    <w:uiPriority w:val="99"/>
    <w:semiHidden/>
    <w:unhideWhenUsed/>
    <w:rsid w:val="00E621F6"/>
    <w:rPr>
      <w:color w:val="605E5C"/>
      <w:shd w:val="clear" w:color="auto" w:fill="E1DFDD"/>
    </w:rPr>
  </w:style>
  <w:style w:type="character" w:customStyle="1" w:styleId="Heading1Char">
    <w:name w:val="Heading 1 Char"/>
    <w:basedOn w:val="DefaultParagraphFont"/>
    <w:link w:val="Heading1"/>
    <w:uiPriority w:val="9"/>
    <w:rsid w:val="00B1003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10031"/>
  </w:style>
  <w:style w:type="paragraph" w:styleId="Header">
    <w:name w:val="header"/>
    <w:basedOn w:val="Normal"/>
    <w:link w:val="HeaderChar"/>
    <w:uiPriority w:val="99"/>
    <w:unhideWhenUsed/>
    <w:rsid w:val="00B10031"/>
    <w:pPr>
      <w:tabs>
        <w:tab w:val="center" w:pos="4680"/>
        <w:tab w:val="right" w:pos="9360"/>
      </w:tabs>
      <w:spacing w:line="240" w:lineRule="auto"/>
    </w:pPr>
  </w:style>
  <w:style w:type="character" w:customStyle="1" w:styleId="HeaderChar">
    <w:name w:val="Header Char"/>
    <w:basedOn w:val="DefaultParagraphFont"/>
    <w:link w:val="Header"/>
    <w:uiPriority w:val="99"/>
    <w:rsid w:val="00B10031"/>
  </w:style>
  <w:style w:type="paragraph" w:styleId="Footer">
    <w:name w:val="footer"/>
    <w:basedOn w:val="Normal"/>
    <w:link w:val="FooterChar"/>
    <w:uiPriority w:val="99"/>
    <w:unhideWhenUsed/>
    <w:rsid w:val="00B10031"/>
    <w:pPr>
      <w:tabs>
        <w:tab w:val="center" w:pos="4680"/>
        <w:tab w:val="right" w:pos="9360"/>
      </w:tabs>
      <w:spacing w:line="240" w:lineRule="auto"/>
    </w:pPr>
  </w:style>
  <w:style w:type="character" w:customStyle="1" w:styleId="FooterChar">
    <w:name w:val="Footer Char"/>
    <w:basedOn w:val="DefaultParagraphFont"/>
    <w:link w:val="Footer"/>
    <w:uiPriority w:val="99"/>
    <w:rsid w:val="00B10031"/>
  </w:style>
  <w:style w:type="character" w:styleId="PageNumber">
    <w:name w:val="page number"/>
    <w:basedOn w:val="DefaultParagraphFont"/>
    <w:uiPriority w:val="99"/>
    <w:semiHidden/>
    <w:unhideWhenUsed/>
    <w:rsid w:val="00B10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387404">
      <w:bodyDiv w:val="1"/>
      <w:marLeft w:val="0"/>
      <w:marRight w:val="0"/>
      <w:marTop w:val="0"/>
      <w:marBottom w:val="0"/>
      <w:divBdr>
        <w:top w:val="none" w:sz="0" w:space="0" w:color="auto"/>
        <w:left w:val="none" w:sz="0" w:space="0" w:color="auto"/>
        <w:bottom w:val="none" w:sz="0" w:space="0" w:color="auto"/>
        <w:right w:val="none" w:sz="0" w:space="0" w:color="auto"/>
      </w:divBdr>
    </w:div>
    <w:div w:id="210770456">
      <w:bodyDiv w:val="1"/>
      <w:marLeft w:val="0"/>
      <w:marRight w:val="0"/>
      <w:marTop w:val="0"/>
      <w:marBottom w:val="0"/>
      <w:divBdr>
        <w:top w:val="none" w:sz="0" w:space="0" w:color="auto"/>
        <w:left w:val="none" w:sz="0" w:space="0" w:color="auto"/>
        <w:bottom w:val="none" w:sz="0" w:space="0" w:color="auto"/>
        <w:right w:val="none" w:sz="0" w:space="0" w:color="auto"/>
      </w:divBdr>
    </w:div>
    <w:div w:id="366177604">
      <w:bodyDiv w:val="1"/>
      <w:marLeft w:val="0"/>
      <w:marRight w:val="0"/>
      <w:marTop w:val="0"/>
      <w:marBottom w:val="0"/>
      <w:divBdr>
        <w:top w:val="none" w:sz="0" w:space="0" w:color="auto"/>
        <w:left w:val="none" w:sz="0" w:space="0" w:color="auto"/>
        <w:bottom w:val="none" w:sz="0" w:space="0" w:color="auto"/>
        <w:right w:val="none" w:sz="0" w:space="0" w:color="auto"/>
      </w:divBdr>
    </w:div>
    <w:div w:id="481460150">
      <w:bodyDiv w:val="1"/>
      <w:marLeft w:val="0"/>
      <w:marRight w:val="0"/>
      <w:marTop w:val="0"/>
      <w:marBottom w:val="0"/>
      <w:divBdr>
        <w:top w:val="none" w:sz="0" w:space="0" w:color="auto"/>
        <w:left w:val="none" w:sz="0" w:space="0" w:color="auto"/>
        <w:bottom w:val="none" w:sz="0" w:space="0" w:color="auto"/>
        <w:right w:val="none" w:sz="0" w:space="0" w:color="auto"/>
      </w:divBdr>
    </w:div>
    <w:div w:id="745881857">
      <w:bodyDiv w:val="1"/>
      <w:marLeft w:val="0"/>
      <w:marRight w:val="0"/>
      <w:marTop w:val="0"/>
      <w:marBottom w:val="0"/>
      <w:divBdr>
        <w:top w:val="none" w:sz="0" w:space="0" w:color="auto"/>
        <w:left w:val="none" w:sz="0" w:space="0" w:color="auto"/>
        <w:bottom w:val="none" w:sz="0" w:space="0" w:color="auto"/>
        <w:right w:val="none" w:sz="0" w:space="0" w:color="auto"/>
      </w:divBdr>
    </w:div>
    <w:div w:id="819544910">
      <w:bodyDiv w:val="1"/>
      <w:marLeft w:val="0"/>
      <w:marRight w:val="0"/>
      <w:marTop w:val="0"/>
      <w:marBottom w:val="0"/>
      <w:divBdr>
        <w:top w:val="none" w:sz="0" w:space="0" w:color="auto"/>
        <w:left w:val="none" w:sz="0" w:space="0" w:color="auto"/>
        <w:bottom w:val="none" w:sz="0" w:space="0" w:color="auto"/>
        <w:right w:val="none" w:sz="0" w:space="0" w:color="auto"/>
      </w:divBdr>
    </w:div>
    <w:div w:id="859972796">
      <w:bodyDiv w:val="1"/>
      <w:marLeft w:val="0"/>
      <w:marRight w:val="0"/>
      <w:marTop w:val="0"/>
      <w:marBottom w:val="0"/>
      <w:divBdr>
        <w:top w:val="none" w:sz="0" w:space="0" w:color="auto"/>
        <w:left w:val="none" w:sz="0" w:space="0" w:color="auto"/>
        <w:bottom w:val="none" w:sz="0" w:space="0" w:color="auto"/>
        <w:right w:val="none" w:sz="0" w:space="0" w:color="auto"/>
      </w:divBdr>
    </w:div>
    <w:div w:id="863592418">
      <w:bodyDiv w:val="1"/>
      <w:marLeft w:val="0"/>
      <w:marRight w:val="0"/>
      <w:marTop w:val="0"/>
      <w:marBottom w:val="0"/>
      <w:divBdr>
        <w:top w:val="none" w:sz="0" w:space="0" w:color="auto"/>
        <w:left w:val="none" w:sz="0" w:space="0" w:color="auto"/>
        <w:bottom w:val="none" w:sz="0" w:space="0" w:color="auto"/>
        <w:right w:val="none" w:sz="0" w:space="0" w:color="auto"/>
      </w:divBdr>
    </w:div>
    <w:div w:id="979265233">
      <w:bodyDiv w:val="1"/>
      <w:marLeft w:val="0"/>
      <w:marRight w:val="0"/>
      <w:marTop w:val="0"/>
      <w:marBottom w:val="0"/>
      <w:divBdr>
        <w:top w:val="none" w:sz="0" w:space="0" w:color="auto"/>
        <w:left w:val="none" w:sz="0" w:space="0" w:color="auto"/>
        <w:bottom w:val="none" w:sz="0" w:space="0" w:color="auto"/>
        <w:right w:val="none" w:sz="0" w:space="0" w:color="auto"/>
      </w:divBdr>
    </w:div>
    <w:div w:id="1028676678">
      <w:bodyDiv w:val="1"/>
      <w:marLeft w:val="0"/>
      <w:marRight w:val="0"/>
      <w:marTop w:val="0"/>
      <w:marBottom w:val="0"/>
      <w:divBdr>
        <w:top w:val="none" w:sz="0" w:space="0" w:color="auto"/>
        <w:left w:val="none" w:sz="0" w:space="0" w:color="auto"/>
        <w:bottom w:val="none" w:sz="0" w:space="0" w:color="auto"/>
        <w:right w:val="none" w:sz="0" w:space="0" w:color="auto"/>
      </w:divBdr>
    </w:div>
    <w:div w:id="1040742631">
      <w:bodyDiv w:val="1"/>
      <w:marLeft w:val="0"/>
      <w:marRight w:val="0"/>
      <w:marTop w:val="0"/>
      <w:marBottom w:val="0"/>
      <w:divBdr>
        <w:top w:val="none" w:sz="0" w:space="0" w:color="auto"/>
        <w:left w:val="none" w:sz="0" w:space="0" w:color="auto"/>
        <w:bottom w:val="none" w:sz="0" w:space="0" w:color="auto"/>
        <w:right w:val="none" w:sz="0" w:space="0" w:color="auto"/>
      </w:divBdr>
    </w:div>
    <w:div w:id="1094474476">
      <w:bodyDiv w:val="1"/>
      <w:marLeft w:val="0"/>
      <w:marRight w:val="0"/>
      <w:marTop w:val="0"/>
      <w:marBottom w:val="0"/>
      <w:divBdr>
        <w:top w:val="none" w:sz="0" w:space="0" w:color="auto"/>
        <w:left w:val="none" w:sz="0" w:space="0" w:color="auto"/>
        <w:bottom w:val="none" w:sz="0" w:space="0" w:color="auto"/>
        <w:right w:val="none" w:sz="0" w:space="0" w:color="auto"/>
      </w:divBdr>
    </w:div>
    <w:div w:id="1164663257">
      <w:bodyDiv w:val="1"/>
      <w:marLeft w:val="0"/>
      <w:marRight w:val="0"/>
      <w:marTop w:val="0"/>
      <w:marBottom w:val="0"/>
      <w:divBdr>
        <w:top w:val="none" w:sz="0" w:space="0" w:color="auto"/>
        <w:left w:val="none" w:sz="0" w:space="0" w:color="auto"/>
        <w:bottom w:val="none" w:sz="0" w:space="0" w:color="auto"/>
        <w:right w:val="none" w:sz="0" w:space="0" w:color="auto"/>
      </w:divBdr>
    </w:div>
    <w:div w:id="1257785274">
      <w:bodyDiv w:val="1"/>
      <w:marLeft w:val="0"/>
      <w:marRight w:val="0"/>
      <w:marTop w:val="0"/>
      <w:marBottom w:val="0"/>
      <w:divBdr>
        <w:top w:val="none" w:sz="0" w:space="0" w:color="auto"/>
        <w:left w:val="none" w:sz="0" w:space="0" w:color="auto"/>
        <w:bottom w:val="none" w:sz="0" w:space="0" w:color="auto"/>
        <w:right w:val="none" w:sz="0" w:space="0" w:color="auto"/>
      </w:divBdr>
    </w:div>
    <w:div w:id="1267926090">
      <w:bodyDiv w:val="1"/>
      <w:marLeft w:val="0"/>
      <w:marRight w:val="0"/>
      <w:marTop w:val="0"/>
      <w:marBottom w:val="0"/>
      <w:divBdr>
        <w:top w:val="none" w:sz="0" w:space="0" w:color="auto"/>
        <w:left w:val="none" w:sz="0" w:space="0" w:color="auto"/>
        <w:bottom w:val="none" w:sz="0" w:space="0" w:color="auto"/>
        <w:right w:val="none" w:sz="0" w:space="0" w:color="auto"/>
      </w:divBdr>
    </w:div>
    <w:div w:id="1295060458">
      <w:bodyDiv w:val="1"/>
      <w:marLeft w:val="0"/>
      <w:marRight w:val="0"/>
      <w:marTop w:val="0"/>
      <w:marBottom w:val="0"/>
      <w:divBdr>
        <w:top w:val="none" w:sz="0" w:space="0" w:color="auto"/>
        <w:left w:val="none" w:sz="0" w:space="0" w:color="auto"/>
        <w:bottom w:val="none" w:sz="0" w:space="0" w:color="auto"/>
        <w:right w:val="none" w:sz="0" w:space="0" w:color="auto"/>
      </w:divBdr>
    </w:div>
    <w:div w:id="1497645675">
      <w:bodyDiv w:val="1"/>
      <w:marLeft w:val="0"/>
      <w:marRight w:val="0"/>
      <w:marTop w:val="0"/>
      <w:marBottom w:val="0"/>
      <w:divBdr>
        <w:top w:val="none" w:sz="0" w:space="0" w:color="auto"/>
        <w:left w:val="none" w:sz="0" w:space="0" w:color="auto"/>
        <w:bottom w:val="none" w:sz="0" w:space="0" w:color="auto"/>
        <w:right w:val="none" w:sz="0" w:space="0" w:color="auto"/>
      </w:divBdr>
    </w:div>
    <w:div w:id="1649750387">
      <w:bodyDiv w:val="1"/>
      <w:marLeft w:val="0"/>
      <w:marRight w:val="0"/>
      <w:marTop w:val="0"/>
      <w:marBottom w:val="0"/>
      <w:divBdr>
        <w:top w:val="none" w:sz="0" w:space="0" w:color="auto"/>
        <w:left w:val="none" w:sz="0" w:space="0" w:color="auto"/>
        <w:bottom w:val="none" w:sz="0" w:space="0" w:color="auto"/>
        <w:right w:val="none" w:sz="0" w:space="0" w:color="auto"/>
      </w:divBdr>
    </w:div>
    <w:div w:id="1650591516">
      <w:bodyDiv w:val="1"/>
      <w:marLeft w:val="0"/>
      <w:marRight w:val="0"/>
      <w:marTop w:val="0"/>
      <w:marBottom w:val="0"/>
      <w:divBdr>
        <w:top w:val="none" w:sz="0" w:space="0" w:color="auto"/>
        <w:left w:val="none" w:sz="0" w:space="0" w:color="auto"/>
        <w:bottom w:val="none" w:sz="0" w:space="0" w:color="auto"/>
        <w:right w:val="none" w:sz="0" w:space="0" w:color="auto"/>
      </w:divBdr>
    </w:div>
    <w:div w:id="1684091226">
      <w:bodyDiv w:val="1"/>
      <w:marLeft w:val="0"/>
      <w:marRight w:val="0"/>
      <w:marTop w:val="0"/>
      <w:marBottom w:val="0"/>
      <w:divBdr>
        <w:top w:val="none" w:sz="0" w:space="0" w:color="auto"/>
        <w:left w:val="none" w:sz="0" w:space="0" w:color="auto"/>
        <w:bottom w:val="none" w:sz="0" w:space="0" w:color="auto"/>
        <w:right w:val="none" w:sz="0" w:space="0" w:color="auto"/>
      </w:divBdr>
    </w:div>
    <w:div w:id="1700009706">
      <w:bodyDiv w:val="1"/>
      <w:marLeft w:val="0"/>
      <w:marRight w:val="0"/>
      <w:marTop w:val="0"/>
      <w:marBottom w:val="0"/>
      <w:divBdr>
        <w:top w:val="none" w:sz="0" w:space="0" w:color="auto"/>
        <w:left w:val="none" w:sz="0" w:space="0" w:color="auto"/>
        <w:bottom w:val="none" w:sz="0" w:space="0" w:color="auto"/>
        <w:right w:val="none" w:sz="0" w:space="0" w:color="auto"/>
      </w:divBdr>
    </w:div>
    <w:div w:id="1725522296">
      <w:bodyDiv w:val="1"/>
      <w:marLeft w:val="0"/>
      <w:marRight w:val="0"/>
      <w:marTop w:val="0"/>
      <w:marBottom w:val="0"/>
      <w:divBdr>
        <w:top w:val="none" w:sz="0" w:space="0" w:color="auto"/>
        <w:left w:val="none" w:sz="0" w:space="0" w:color="auto"/>
        <w:bottom w:val="none" w:sz="0" w:space="0" w:color="auto"/>
        <w:right w:val="none" w:sz="0" w:space="0" w:color="auto"/>
      </w:divBdr>
    </w:div>
    <w:div w:id="1998878250">
      <w:bodyDiv w:val="1"/>
      <w:marLeft w:val="0"/>
      <w:marRight w:val="0"/>
      <w:marTop w:val="0"/>
      <w:marBottom w:val="0"/>
      <w:divBdr>
        <w:top w:val="none" w:sz="0" w:space="0" w:color="auto"/>
        <w:left w:val="none" w:sz="0" w:space="0" w:color="auto"/>
        <w:bottom w:val="none" w:sz="0" w:space="0" w:color="auto"/>
        <w:right w:val="none" w:sz="0" w:space="0" w:color="auto"/>
      </w:divBdr>
    </w:div>
    <w:div w:id="2083142675">
      <w:bodyDiv w:val="1"/>
      <w:marLeft w:val="0"/>
      <w:marRight w:val="0"/>
      <w:marTop w:val="0"/>
      <w:marBottom w:val="0"/>
      <w:divBdr>
        <w:top w:val="none" w:sz="0" w:space="0" w:color="auto"/>
        <w:left w:val="none" w:sz="0" w:space="0" w:color="auto"/>
        <w:bottom w:val="none" w:sz="0" w:space="0" w:color="auto"/>
        <w:right w:val="none" w:sz="0" w:space="0" w:color="auto"/>
      </w:divBdr>
    </w:div>
    <w:div w:id="213643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Nei001</b:Tag>
    <b:SourceType>Book</b:SourceType>
    <b:Guid>{20A9E90A-E7D1-5A4F-B247-23EB0DFC8DD5}</b:Guid>
    <b:Title>Advocacy skills for Health and Social care Professionals</b:Title>
    <b:Year>2000</b:Year>
    <b:Author>
      <b:Author>
        <b:NameList>
          <b:Person>
            <b:Last>Bateman</b:Last>
            <b:First>Neil</b:First>
          </b:Person>
        </b:NameList>
      </b:Author>
    </b:Author>
    <b:City>London</b:City>
    <b:Publisher>Athenaeum Press</b:Publisher>
    <b:RefOrder>2</b:RefOrder>
  </b:Source>
  <b:Source>
    <b:Tag>Hen011</b:Tag>
    <b:SourceType>Book</b:SourceType>
    <b:Guid>{982079B2-6028-A24C-9E3D-A2FA27F974E1}</b:Guid>
    <b:Author>
      <b:Author>
        <b:NameList>
          <b:Person>
            <b:Last>Henderson</b:Last>
            <b:First>R</b:First>
          </b:Person>
          <b:Person>
            <b:Last>Pochin</b:Last>
            <b:First>M</b:First>
          </b:Person>
        </b:NameList>
      </b:Author>
    </b:Author>
    <b:Title>A Right Result? Advocacy, Justice, and Empowerment </b:Title>
    <b:City>Bristol</b:City>
    <b:Publisher>Policy Press</b:Publisher>
    <b:Year>2001</b:Year>
    <b:RefOrder>3</b:RefOrder>
  </b:Source>
  <b:Source>
    <b:Tag>Tom121</b:Tag>
    <b:SourceType>Book</b:SourceType>
    <b:Guid>{09E8C983-B71C-3F48-A2AB-6EC5535822CC}</b:Guid>
    <b:Author>
      <b:Author>
        <b:NameList>
          <b:Person>
            <b:Last>Wilks</b:Last>
            <b:First>Tom</b:First>
          </b:Person>
        </b:NameList>
      </b:Author>
    </b:Author>
    <b:Title>Advocacy and Social Work Practice</b:Title>
    <b:City>Berkshire</b:City>
    <b:Publisher>Open University Press</b:Publisher>
    <b:Year>2012</b:Year>
    <b:RefOrder>4</b:RefOrder>
  </b:Source>
  <b:Source>
    <b:Tag>Man10</b:Tag>
    <b:SourceType>JournalArticle</b:SourceType>
    <b:Guid>{D902EF69-78A4-8A4D-8CA9-F8D6865549E8}</b:Guid>
    <b:Title>Poverty and Social Work</b:Title>
    <b:Year>2010</b:Year>
    <b:Author>
      <b:Author>
        <b:NameList>
          <b:Person>
            <b:Last>Mantle</b:Last>
            <b:First>G</b:First>
          </b:Person>
          <b:Person>
            <b:Last>Blackwith</b:Last>
            <b:First>D</b:First>
          </b:Person>
        </b:NameList>
      </b:Author>
    </b:Author>
    <b:JournalName>Brittish Journal of Social Work</b:JournalName>
    <b:Volume>40</b:Volume>
    <b:Pages>2380-2397</b:Pages>
    <b:RefOrder>5</b:RefOrder>
  </b:Source>
  <b:Source>
    <b:Tag>Tho02</b:Tag>
    <b:SourceType>BookSection</b:SourceType>
    <b:Guid>{88E25AD9-B799-5D49-B8F4-C65EB8143AEE}</b:Guid>
    <b:Title>Social work with adults</b:Title>
    <b:JournalName>Social Work: Themes, Issues and Critical Debates</b:JournalName>
    <b:Year>2002</b:Year>
    <b:City>Basingstoke</b:City>
    <b:Publisher>Palgrave</b:Publisher>
    <b:Author>
      <b:Author>
        <b:NameList>
          <b:Person>
            <b:Last>Thompson</b:Last>
            <b:First>Neil</b:First>
          </b:Person>
        </b:NameList>
      </b:Author>
    </b:Author>
    <b:BookTitle>Social Work: Themes, Issues and Critical Debates</b:BookTitle>
    <b:RefOrder>6</b:RefOrder>
  </b:Source>
  <b:Source>
    <b:Tag>Boy091</b:Tag>
    <b:SourceType>Book</b:SourceType>
    <b:Guid>{0A2C369C-C0FE-8F40-A5A9-10FFC3287682}</b:Guid>
    <b:Title>Understanding Advocacy for children and young people</b:Title>
    <b:City>Berkshire</b:City>
    <b:Publisher>Open University Press</b:Publisher>
    <b:Year>2009</b:Year>
    <b:Author>
      <b:Author>
        <b:NameList>
          <b:Person>
            <b:Last>Boylan</b:Last>
            <b:First>Jane</b:First>
          </b:Person>
          <b:Person>
            <b:Last>Dalrymple</b:Last>
            <b:First>Jane</b:First>
          </b:Person>
        </b:NameList>
      </b:Author>
    </b:Author>
    <b:RefOrder>7</b:RefOrder>
  </b:Source>
  <b:Source>
    <b:Tag>MPa06</b:Tag>
    <b:SourceType>Book</b:SourceType>
    <b:Guid>{5CF5F847-CF1C-4F45-961E-94728C84FD41}</b:Guid>
    <b:Author>
      <b:Author>
        <b:NameList>
          <b:Person>
            <b:Last>Payne</b:Last>
            <b:First>M</b:First>
          </b:Person>
        </b:NameList>
      </b:Author>
    </b:Author>
    <b:Title>What is Professional Social Work?</b:Title>
    <b:City>Bristol</b:City>
    <b:Publisher>Policy Press</b:Publisher>
    <b:Year>2006</b:Year>
    <b:Edition>2</b:Edition>
    <b:RefOrder>1</b:RefOrder>
  </b:Source>
  <b:Source>
    <b:Tag>Min13</b:Tag>
    <b:SourceType>InternetSite</b:SourceType>
    <b:Guid>{702B0B9E-4741-4444-A3C0-6E5EDCB216A1}</b:Guid>
    <b:Author>
      <b:Author>
        <b:NameList>
          <b:Person>
            <b:Last>MIND</b:Last>
          </b:Person>
        </b:NameList>
      </b:Author>
    </b:Author>
    <b:Title>Health and Social Care Rights</b:Title>
    <b:URL>https://www.mind.org.uk/information-support/guides-to-support-and-services/advocacy/social-care-advocates/#.XKuaKC2ZPpA</b:URL>
    <b:Year>2013</b:Year>
    <b:YearAccessed>2019</b:YearAccessed>
    <b:MonthAccessed>4</b:MonthAccessed>
    <b:DayAccessed>8</b:DayAccessed>
    <b:RefOrder>8</b:RefOrder>
  </b:Source>
  <b:Source>
    <b:Tag>Ski19</b:Tag>
    <b:SourceType>InternetSite</b:SourceType>
    <b:Guid>{DC6BE48F-5E64-A246-8C63-CC914141A56E}</b:Guid>
    <b:Title>Think Care Carrers: Advocacy Worker</b:Title>
    <b:Author>
      <b:Author>
        <b:NameList>
          <b:Person>
            <b:Last>Care</b:Last>
            <b:First>Skills</b:First>
            <b:Middle>For</b:Middle>
          </b:Person>
        </b:NameList>
      </b:Author>
    </b:Author>
    <b:URL>https://www.skillsforcare.org.uk/Careers-in-care/Job-roles/Roles/Advocacy-worker.aspx</b:URL>
    <b:YearAccessed>2019</b:YearAccessed>
    <b:MonthAccessed>4</b:MonthAccessed>
    <b:DayAccessed>10</b:DayAccessed>
    <b:RefOrder>9</b:RefOrder>
  </b:Source>
  <b:Source>
    <b:Tag>Jon12</b:Tag>
    <b:SourceType>Book</b:SourceType>
    <b:Guid>{53E879F4-AB39-A745-9F8B-C87A2E56A508}</b:Guid>
    <b:Title>Understanding Health and Social Care</b:Title>
    <b:Year>2012</b:Year>
    <b:Author>
      <b:Author>
        <b:NameList>
          <b:Person>
            <b:Last>Glasby</b:Last>
            <b:First>Jon</b:First>
          </b:Person>
        </b:NameList>
      </b:Author>
    </b:Author>
    <b:City>Bristol</b:City>
    <b:Publisher>Policy Press</b:Publisher>
    <b:Edition>2nd</b:Edition>
    <b:RefOrder>10</b:RefOrder>
  </b:Source>
  <b:Source>
    <b:Tag>Bar96</b:Tag>
    <b:SourceType>JournalArticle</b:SourceType>
    <b:Guid>{0E97695A-239C-CB43-9ECE-1AFE35F96474}</b:Guid>
    <b:Title>Consumerism versus Empowerment: a principled approach to the involvement of older service users</b:Title>
    <b:Year>1996</b:Year>
    <b:Author>
      <b:Author>
        <b:NameList>
          <b:Person>
            <b:Last>Barnes</b:Last>
            <b:First>M</b:First>
          </b:Person>
          <b:Person>
            <b:Last>Walker</b:Last>
            <b:First>A</b:First>
          </b:Person>
        </b:NameList>
      </b:Author>
    </b:Author>
    <b:JournalName>Policy and Politics</b:JournalName>
    <b:Volume>24</b:Volume>
    <b:Issue>4</b:Issue>
    <b:Pages>375-393</b:Pages>
    <b:RefOrder>11</b:RefOrder>
  </b:Source>
  <b:Source>
    <b:Tag>Rog10</b:Tag>
    <b:SourceType>Book</b:SourceType>
    <b:Guid>{FAC75604-9893-0A47-BE11-9E15E8B47BE6}</b:Guid>
    <b:Title>A Sociology of mental health and illness </b:Title>
    <b:Year>2010</b:Year>
    <b:Author>
      <b:Author>
        <b:NameList>
          <b:Person>
            <b:Last>Rogers</b:Last>
            <b:First>A</b:First>
          </b:Person>
          <b:Person>
            <b:Last>Pilgrim</b:Last>
            <b:First>D</b:First>
          </b:Person>
        </b:NameList>
      </b:Author>
    </b:Author>
    <b:City>Maidenhead</b:City>
    <b:Publisher>Open University </b:Publisher>
    <b:RefOrder>12</b:RefOrder>
  </b:Source>
  <b:Source>
    <b:Tag>Cli091</b:Tag>
    <b:SourceType>Book</b:SourceType>
    <b:Guid>{934A1D07-AB9E-6F40-83BC-C5F9E3476888}</b:Guid>
    <b:Author>
      <b:Author>
        <b:NameList>
          <b:Person>
            <b:Last>Clifford</b:Last>
            <b:First>Derek</b:First>
          </b:Person>
          <b:Person>
            <b:Last>Burke</b:Last>
            <b:First>Beverley</b:First>
          </b:Person>
        </b:NameList>
      </b:Author>
    </b:Author>
    <b:Title>Anti-oppressive Ethics and Values in Social Work</b:Title>
    <b:City>London</b:City>
    <b:Publisher>Palgrave Macmillan</b:Publisher>
    <b:Year>2009</b:Year>
    <b:RefOrder>13</b:RefOrder>
  </b:Source>
  <b:Source>
    <b:Tag>Nei12</b:Tag>
    <b:SourceType>Book</b:SourceType>
    <b:Guid>{952E5914-76FD-E24E-97AE-F5C896813F7D}</b:Guid>
    <b:Author>
      <b:Author>
        <b:NameList>
          <b:Person>
            <b:Last>Thomson</b:Last>
            <b:First>Neil</b:First>
          </b:Person>
        </b:NameList>
      </b:Author>
    </b:Author>
    <b:Title>Anti-discriminatory Practice</b:Title>
    <b:City>London</b:City>
    <b:Publisher>Palgrave Macmillan</b:Publisher>
    <b:Year>2012</b:Year>
    <b:Edition>5th</b:Edition>
    <b:RefOrder>14</b:RefOrder>
  </b:Source>
  <b:Source>
    <b:Tag>Car19</b:Tag>
    <b:SourceType>InternetSite</b:SourceType>
    <b:Guid>{D10EB97C-370C-1A45-B37D-906F91177864}</b:Guid>
    <b:URL>http://www.legislation.gov.uk/ukpga/2014/23/pdfs/ukpga_20140023_en.pdf</b:URL>
    <b:YearAccessed>2019</b:YearAccessed>
    <b:MonthAccessed>04</b:MonthAccessed>
    <b:DayAccessed>19</b:DayAccessed>
    <b:Title>Care Act 2014</b:Title>
    <b:RefOrder>15</b:RefOrder>
  </b:Source>
  <b:Source>
    <b:Tag>Soc19</b:Tag>
    <b:SourceType>InternetSite</b:SourceType>
    <b:Guid>{691C36F1-45AD-A94C-ACA6-405ABFEDE637}</b:Guid>
    <b:Title>Social Services and Well-being (Wales) Act 2014</b:Title>
    <b:URL>http://www.legislation.gov.uk/anaw/2014/4/pdfs/anaw_20140004_en.pdf</b:URL>
    <b:YearAccessed>2019</b:YearAccessed>
    <b:MonthAccessed>4</b:MonthAccessed>
    <b:DayAccessed>19</b:DayAccessed>
    <b:RefOrder>16</b:RefOrder>
  </b:Source>
  <b:Source>
    <b:Tag>Men19</b:Tag>
    <b:SourceType>InternetSite</b:SourceType>
    <b:Guid>{4936104C-CCBD-A546-BCF6-B7F4A327E9DF}</b:Guid>
    <b:Title>Mental Health Act 1983</b:Title>
    <b:URL>http://www.legislation.gov.uk/ukpga/1983/20/pdfs/ukpga_19830020_en.pdf</b:URL>
    <b:YearAccessed>2019</b:YearAccessed>
    <b:MonthAccessed>04</b:MonthAccessed>
    <b:DayAccessed>19</b:DayAccessed>
    <b:RefOrder>17</b:RefOrder>
  </b:Source>
  <b:Source>
    <b:Tag>Com19</b:Tag>
    <b:SourceType>InternetSite</b:SourceType>
    <b:Guid>{98D17338-0BD8-6746-AFA5-FFB314D50346}</b:Guid>
    <b:Title>Community Care (Direct Payments) Act 1996</b:Title>
    <b:URL>http://www.legislation.gov.uk/ukpga/1996/30/pdfs/ukpga_19960030_en.pdf</b:URL>
    <b:YearAccessed>2019</b:YearAccessed>
    <b:MonthAccessed>04</b:MonthAccessed>
    <b:DayAccessed>19</b:DayAccessed>
    <b:RefOrder>18</b:RefOrder>
  </b:Source>
  <b:Source>
    <b:Tag>chi19</b:Tag>
    <b:SourceType>InternetSite</b:SourceType>
    <b:Guid>{D4D30B87-4FFE-DF43-9A70-0CC67C7923C0}</b:Guid>
    <b:Title>Children Act 1989</b:Title>
    <b:URL>http://www.legislation.gov.uk/ukpga/1989/41/enacted</b:URL>
    <b:YearAccessed>2019</b:YearAccessed>
    <b:MonthAccessed>4</b:MonthAccessed>
    <b:DayAccessed>19</b:DayAccessed>
    <b:RefOrder>19</b:RefOrder>
  </b:Source>
  <b:Source>
    <b:Tag>Adv19</b:Tag>
    <b:SourceType>InternetSite</b:SourceType>
    <b:Guid>{141A317C-4300-2847-A87B-5DD8CCCDC7EE}</b:Guid>
    <b:Author>
      <b:Author>
        <b:NameList>
          <b:Person>
            <b:Last>Wales</b:Last>
            <b:First>Advocacy</b:First>
            <b:Middle>West</b:Middle>
          </b:Person>
        </b:NameList>
      </b:Author>
    </b:Author>
    <b:Title>What is an advocate?</b:Title>
    <b:URL>http://advocacywestwales.org.uk</b:URL>
    <b:YearAccessed>2019</b:YearAccessed>
    <b:MonthAccessed>04</b:MonthAccessed>
    <b:DayAccessed>19</b:DayAccessed>
    <b:RefOrder>20</b:RefOrder>
  </b:Source>
  <b:Source>
    <b:Tag>Emi98</b:Tag>
    <b:SourceType>JournalArticle</b:SourceType>
    <b:Guid>{955313A0-7BDB-1245-86E1-969D35C894B3}</b:Guid>
    <b:Title>What is Agency?</b:Title>
    <b:Year>1998</b:Year>
    <b:Author>
      <b:Author>
        <b:NameList>
          <b:Person>
            <b:Last>Emirbayer</b:Last>
            <b:First>mustafa</b:First>
          </b:Person>
          <b:Person>
            <b:Last>Mische</b:Last>
            <b:First>Ann</b:First>
          </b:Person>
        </b:NameList>
      </b:Author>
    </b:Author>
    <b:JournalName>American Journal of Sociology</b:JournalName>
    <b:Volume>103</b:Volume>
    <b:Issue>4</b:Issue>
    <b:Pages>962-1023</b:Pages>
    <b:RefOrder>21</b:RefOrder>
  </b:Source>
</b:Sources>
</file>

<file path=customXml/itemProps1.xml><?xml version="1.0" encoding="utf-8"?>
<ds:datastoreItem xmlns:ds="http://schemas.openxmlformats.org/officeDocument/2006/customXml" ds:itemID="{6D994D14-1D4D-A448-A536-ED157FCFA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2944</Words>
  <Characters>16786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2019-04-23T16:05:00Z</dcterms:created>
  <dcterms:modified xsi:type="dcterms:W3CDTF">2019-04-23T16:05:00Z</dcterms:modified>
</cp:coreProperties>
</file>