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rsidR="004F1E48" w:rsidRPr="003B6CB1" w:rsidRDefault="004F1E48" w:rsidP="00782B83">
      <w:pPr>
        <w:spacing w:line="360" w:lineRule="auto"/>
        <w:jc w:val="both"/>
        <w:rPr>
          <w:color w:val="000000" w:themeColor="text1"/>
          <w:sz w:val="24"/>
          <w:szCs w:val="24"/>
          <w:lang w:val="en-GB"/>
        </w:rPr>
      </w:pPr>
    </w:p>
    <w:p w:rsidR="004F1E48" w:rsidRPr="003B6CB1" w:rsidRDefault="004F1E48" w:rsidP="00782B83">
      <w:pPr>
        <w:spacing w:line="360" w:lineRule="auto"/>
        <w:jc w:val="both"/>
        <w:rPr>
          <w:color w:val="000000" w:themeColor="text1"/>
          <w:sz w:val="24"/>
          <w:szCs w:val="24"/>
          <w:lang w:val="en-GB"/>
        </w:rPr>
      </w:pPr>
    </w:p>
    <w:p w:rsidR="004F1E48" w:rsidRPr="003B6CB1" w:rsidRDefault="004F1E48" w:rsidP="00F86529">
      <w:pPr>
        <w:spacing w:line="360" w:lineRule="auto"/>
        <w:jc w:val="center"/>
        <w:rPr>
          <w:color w:val="000000" w:themeColor="text1"/>
          <w:sz w:val="32"/>
          <w:szCs w:val="32"/>
          <w:lang w:val="en-GB"/>
        </w:rPr>
      </w:pPr>
    </w:p>
    <w:p w:rsidR="004F1E48" w:rsidRPr="003B6CB1" w:rsidRDefault="004F1E48" w:rsidP="00F86529">
      <w:pPr>
        <w:spacing w:line="360" w:lineRule="auto"/>
        <w:jc w:val="center"/>
        <w:rPr>
          <w:b/>
          <w:color w:val="000000" w:themeColor="text1"/>
          <w:sz w:val="32"/>
          <w:szCs w:val="32"/>
          <w:lang w:val="en-GB"/>
        </w:rPr>
      </w:pPr>
      <w:r w:rsidRPr="003B6CB1">
        <w:rPr>
          <w:b/>
          <w:color w:val="000000" w:themeColor="text1"/>
          <w:sz w:val="32"/>
          <w:szCs w:val="32"/>
          <w:lang w:val="en-GB"/>
        </w:rPr>
        <w:t>Component 1</w:t>
      </w:r>
    </w:p>
    <w:p w:rsidR="004F1E48" w:rsidRPr="003B6CB1" w:rsidRDefault="004F1E48" w:rsidP="00F86529">
      <w:pPr>
        <w:spacing w:line="360" w:lineRule="auto"/>
        <w:jc w:val="center"/>
        <w:rPr>
          <w:b/>
          <w:color w:val="000000" w:themeColor="text1"/>
          <w:sz w:val="32"/>
          <w:szCs w:val="32"/>
          <w:lang w:val="en-GB"/>
        </w:rPr>
      </w:pPr>
      <w:r w:rsidRPr="003B6CB1">
        <w:rPr>
          <w:b/>
          <w:color w:val="000000" w:themeColor="text1"/>
          <w:sz w:val="32"/>
          <w:szCs w:val="32"/>
          <w:lang w:val="en-GB"/>
        </w:rPr>
        <w:t>Information Booklet of Longterm Condition Management</w:t>
      </w:r>
    </w:p>
    <w:p w:rsidR="004F1E48" w:rsidRPr="003B6CB1" w:rsidRDefault="004F1E48" w:rsidP="00F86529">
      <w:pPr>
        <w:spacing w:line="360" w:lineRule="auto"/>
        <w:jc w:val="center"/>
        <w:rPr>
          <w:color w:val="000000" w:themeColor="text1"/>
          <w:sz w:val="32"/>
          <w:szCs w:val="32"/>
          <w:lang w:val="en-GB"/>
        </w:rPr>
      </w:pPr>
    </w:p>
    <w:p w:rsidR="004F1E48" w:rsidRPr="003B6CB1" w:rsidRDefault="004F1E48" w:rsidP="00F86529">
      <w:pPr>
        <w:spacing w:line="360" w:lineRule="auto"/>
        <w:jc w:val="center"/>
        <w:rPr>
          <w:color w:val="000000" w:themeColor="text1"/>
          <w:sz w:val="32"/>
          <w:szCs w:val="32"/>
          <w:lang w:val="en-GB"/>
        </w:rPr>
      </w:pPr>
      <w:r w:rsidRPr="003B6CB1">
        <w:rPr>
          <w:b/>
          <w:color w:val="000000" w:themeColor="text1"/>
          <w:sz w:val="32"/>
          <w:szCs w:val="32"/>
          <w:lang w:val="en-GB"/>
        </w:rPr>
        <w:t>Module:</w:t>
      </w:r>
      <w:r w:rsidRPr="003B6CB1">
        <w:rPr>
          <w:color w:val="000000" w:themeColor="text1"/>
          <w:sz w:val="32"/>
          <w:szCs w:val="32"/>
          <w:lang w:val="en-GB"/>
        </w:rPr>
        <w:t xml:space="preserve"> Community Care and Management of Longer-term Conditions</w:t>
      </w:r>
    </w:p>
    <w:p w:rsidR="004F1E48" w:rsidRPr="003B6CB1" w:rsidRDefault="004F1E48" w:rsidP="00F86529">
      <w:pPr>
        <w:spacing w:line="360" w:lineRule="auto"/>
        <w:jc w:val="center"/>
        <w:rPr>
          <w:color w:val="000000" w:themeColor="text1"/>
          <w:sz w:val="32"/>
          <w:szCs w:val="32"/>
          <w:lang w:val="en-GB"/>
        </w:rPr>
      </w:pPr>
      <w:r w:rsidRPr="003B6CB1">
        <w:rPr>
          <w:color w:val="000000" w:themeColor="text1"/>
          <w:sz w:val="32"/>
          <w:szCs w:val="32"/>
          <w:lang w:val="en-GB"/>
        </w:rPr>
        <w:t>Module Code: LCHS7003</w:t>
      </w:r>
    </w:p>
    <w:p w:rsidR="004F1E48" w:rsidRPr="003B6CB1" w:rsidRDefault="004F1E48" w:rsidP="00F86529">
      <w:pPr>
        <w:spacing w:line="360" w:lineRule="auto"/>
        <w:jc w:val="center"/>
        <w:rPr>
          <w:color w:val="000000" w:themeColor="text1"/>
          <w:sz w:val="32"/>
          <w:szCs w:val="32"/>
          <w:lang w:val="en-GB"/>
        </w:rPr>
      </w:pPr>
      <w:r w:rsidRPr="003B6CB1">
        <w:rPr>
          <w:b/>
          <w:color w:val="000000" w:themeColor="text1"/>
          <w:sz w:val="32"/>
          <w:szCs w:val="32"/>
          <w:lang w:val="en-GB"/>
        </w:rPr>
        <w:t>Programme:</w:t>
      </w:r>
      <w:r w:rsidRPr="003B6CB1">
        <w:rPr>
          <w:color w:val="000000" w:themeColor="text1"/>
          <w:sz w:val="32"/>
          <w:szCs w:val="32"/>
          <w:lang w:val="en-GB"/>
        </w:rPr>
        <w:t xml:space="preserve"> MSc Public Health and Social Care in Practice</w:t>
      </w:r>
    </w:p>
    <w:p w:rsidR="0014383D" w:rsidRPr="003B6CB1" w:rsidRDefault="004F1E48" w:rsidP="00F86529">
      <w:pPr>
        <w:spacing w:line="360" w:lineRule="auto"/>
        <w:jc w:val="center"/>
        <w:rPr>
          <w:color w:val="000000" w:themeColor="text1"/>
          <w:sz w:val="32"/>
          <w:szCs w:val="32"/>
          <w:lang w:val="en-GB"/>
        </w:rPr>
      </w:pPr>
      <w:r w:rsidRPr="003B6CB1">
        <w:rPr>
          <w:color w:val="000000" w:themeColor="text1"/>
          <w:sz w:val="32"/>
          <w:szCs w:val="32"/>
          <w:lang w:val="en-GB"/>
        </w:rPr>
        <w:t>Student ID:</w:t>
      </w:r>
    </w:p>
    <w:p w:rsidR="0014383D" w:rsidRPr="003B6CB1" w:rsidRDefault="0014383D">
      <w:pPr>
        <w:rPr>
          <w:color w:val="000000" w:themeColor="text1"/>
          <w:sz w:val="32"/>
          <w:szCs w:val="32"/>
          <w:lang w:val="en-GB"/>
        </w:rPr>
      </w:pPr>
      <w:r w:rsidRPr="003B6CB1">
        <w:rPr>
          <w:color w:val="000000" w:themeColor="text1"/>
          <w:sz w:val="32"/>
          <w:szCs w:val="32"/>
          <w:lang w:val="en-GB"/>
        </w:rPr>
        <w:br w:type="page"/>
      </w:r>
    </w:p>
    <w:p w:rsidR="0014383D" w:rsidRPr="003B6CB1" w:rsidRDefault="0014383D" w:rsidP="00F86529">
      <w:pPr>
        <w:spacing w:line="360" w:lineRule="auto"/>
        <w:jc w:val="center"/>
        <w:rPr>
          <w:b/>
          <w:color w:val="000000" w:themeColor="text1"/>
          <w:sz w:val="24"/>
          <w:szCs w:val="24"/>
          <w:lang w:val="en-GB"/>
        </w:rPr>
      </w:pPr>
      <w:r w:rsidRPr="003B6CB1">
        <w:rPr>
          <w:b/>
          <w:color w:val="000000" w:themeColor="text1"/>
          <w:sz w:val="24"/>
          <w:szCs w:val="24"/>
          <w:lang w:val="en-GB"/>
        </w:rPr>
        <w:lastRenderedPageBreak/>
        <w:t>Table of content</w:t>
      </w:r>
    </w:p>
    <w:sdt>
      <w:sdtPr>
        <w:rPr>
          <w:rFonts w:ascii="Arial" w:eastAsia="Arial" w:hAnsi="Arial" w:cs="Arial"/>
          <w:b w:val="0"/>
          <w:bCs w:val="0"/>
          <w:color w:val="000000" w:themeColor="text1"/>
          <w:sz w:val="22"/>
          <w:szCs w:val="22"/>
        </w:rPr>
        <w:id w:val="14972297"/>
        <w:docPartObj>
          <w:docPartGallery w:val="Table of Contents"/>
          <w:docPartUnique/>
        </w:docPartObj>
      </w:sdtPr>
      <w:sdtContent>
        <w:p w:rsidR="00B849DD" w:rsidRPr="003B6CB1" w:rsidRDefault="00B849DD" w:rsidP="005F0641">
          <w:pPr>
            <w:pStyle w:val="TOCHeading"/>
            <w:spacing w:line="360" w:lineRule="auto"/>
            <w:jc w:val="both"/>
            <w:rPr>
              <w:color w:val="000000" w:themeColor="text1"/>
              <w:sz w:val="24"/>
              <w:szCs w:val="24"/>
            </w:rPr>
          </w:pPr>
        </w:p>
        <w:p w:rsidR="00FA6985" w:rsidRPr="003B6CB1" w:rsidRDefault="00BF7E14"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r w:rsidRPr="003B6CB1">
            <w:rPr>
              <w:color w:val="000000" w:themeColor="text1"/>
              <w:sz w:val="24"/>
              <w:szCs w:val="24"/>
            </w:rPr>
            <w:fldChar w:fldCharType="begin"/>
          </w:r>
          <w:r w:rsidR="00B849DD" w:rsidRPr="003B6CB1">
            <w:rPr>
              <w:color w:val="000000" w:themeColor="text1"/>
              <w:sz w:val="24"/>
              <w:szCs w:val="24"/>
            </w:rPr>
            <w:instrText xml:space="preserve"> TOC \o "1-3" \h \z \u </w:instrText>
          </w:r>
          <w:r w:rsidRPr="003B6CB1">
            <w:rPr>
              <w:color w:val="000000" w:themeColor="text1"/>
              <w:sz w:val="24"/>
              <w:szCs w:val="24"/>
            </w:rPr>
            <w:fldChar w:fldCharType="separate"/>
          </w:r>
          <w:hyperlink w:anchor="_Toc224496007" w:history="1">
            <w:r w:rsidR="00FA6985" w:rsidRPr="003B6CB1">
              <w:rPr>
                <w:rStyle w:val="Hyperlink"/>
                <w:noProof/>
                <w:color w:val="000000" w:themeColor="text1"/>
                <w:sz w:val="24"/>
                <w:szCs w:val="24"/>
                <w:lang w:val="en-GB"/>
              </w:rPr>
              <w:t>Introduction</w:t>
            </w:r>
            <w:r w:rsidR="00FA6985" w:rsidRPr="003B6CB1">
              <w:rPr>
                <w:noProof/>
                <w:webHidden/>
                <w:color w:val="000000" w:themeColor="text1"/>
                <w:sz w:val="24"/>
                <w:szCs w:val="24"/>
              </w:rPr>
              <w:tab/>
            </w:r>
            <w:r w:rsidRPr="003B6CB1">
              <w:rPr>
                <w:noProof/>
                <w:webHidden/>
                <w:color w:val="000000" w:themeColor="text1"/>
                <w:sz w:val="24"/>
                <w:szCs w:val="24"/>
              </w:rPr>
              <w:fldChar w:fldCharType="begin"/>
            </w:r>
            <w:r w:rsidR="00FA6985" w:rsidRPr="003B6CB1">
              <w:rPr>
                <w:noProof/>
                <w:webHidden/>
                <w:color w:val="000000" w:themeColor="text1"/>
                <w:sz w:val="24"/>
                <w:szCs w:val="24"/>
              </w:rPr>
              <w:instrText xml:space="preserve"> PAGEREF _Toc224496007 \h </w:instrText>
            </w:r>
            <w:r w:rsidRPr="003B6CB1">
              <w:rPr>
                <w:noProof/>
                <w:webHidden/>
                <w:color w:val="000000" w:themeColor="text1"/>
                <w:sz w:val="24"/>
                <w:szCs w:val="24"/>
              </w:rPr>
            </w:r>
            <w:r w:rsidRPr="003B6CB1">
              <w:rPr>
                <w:noProof/>
                <w:webHidden/>
                <w:color w:val="000000" w:themeColor="text1"/>
                <w:sz w:val="24"/>
                <w:szCs w:val="24"/>
              </w:rPr>
              <w:fldChar w:fldCharType="separate"/>
            </w:r>
            <w:r w:rsidR="002F7F84">
              <w:rPr>
                <w:noProof/>
                <w:webHidden/>
                <w:color w:val="000000" w:themeColor="text1"/>
                <w:sz w:val="24"/>
                <w:szCs w:val="24"/>
              </w:rPr>
              <w:t>1</w:t>
            </w:r>
            <w:r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08" w:history="1">
            <w:r w:rsidRPr="003B6CB1">
              <w:rPr>
                <w:rStyle w:val="Hyperlink"/>
                <w:noProof/>
                <w:color w:val="000000" w:themeColor="text1"/>
                <w:sz w:val="24"/>
                <w:szCs w:val="24"/>
                <w:lang w:val="en-GB"/>
              </w:rPr>
              <w:t>Definition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_Toc224496008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09" w:history="1">
            <w:r w:rsidRPr="003B6CB1">
              <w:rPr>
                <w:rStyle w:val="Hyperlink"/>
                <w:noProof/>
                <w:color w:val="000000" w:themeColor="text1"/>
                <w:sz w:val="24"/>
                <w:szCs w:val="24"/>
                <w:lang w:val="en-GB"/>
              </w:rPr>
              <w:t>Burden/prevalence</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_Toc224496009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0" w:history="1">
            <w:r w:rsidRPr="003B6CB1">
              <w:rPr>
                <w:rStyle w:val="Hyperlink"/>
                <w:noProof/>
                <w:color w:val="000000" w:themeColor="text1"/>
                <w:sz w:val="24"/>
                <w:szCs w:val="24"/>
                <w:lang w:val="en-GB"/>
              </w:rPr>
              <w:t xml:space="preserve">Risk </w:t>
            </w:r>
            <w:r w:rsidRPr="003B6CB1">
              <w:rPr>
                <w:rStyle w:val="Hyperlink"/>
                <w:noProof/>
                <w:color w:val="000000" w:themeColor="text1"/>
                <w:sz w:val="24"/>
                <w:szCs w:val="24"/>
              </w:rPr>
              <w:t>factors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_Toc224496010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3</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1" w:history="1">
            <w:r w:rsidRPr="003B6CB1">
              <w:rPr>
                <w:rStyle w:val="Hyperlink"/>
                <w:noProof/>
                <w:color w:val="000000" w:themeColor="text1"/>
                <w:sz w:val="24"/>
                <w:szCs w:val="24"/>
                <w:lang w:val="en-GB"/>
              </w:rPr>
              <w:t>Aim</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_Toc224496011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3</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2" w:history="1">
            <w:r w:rsidRPr="003B6CB1">
              <w:rPr>
                <w:rStyle w:val="Hyperlink"/>
                <w:noProof/>
                <w:color w:val="000000" w:themeColor="text1"/>
                <w:sz w:val="24"/>
                <w:szCs w:val="24"/>
                <w:lang w:val="en-GB"/>
              </w:rPr>
              <w:t>1.0 Implications and evidence-based treatments in the UK for hypertension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_Toc224496012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4</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3" w:history="1">
            <w:r w:rsidRPr="003B6CB1">
              <w:rPr>
                <w:rStyle w:val="Hyperlink"/>
                <w:noProof/>
                <w:color w:val="000000" w:themeColor="text1"/>
                <w:sz w:val="24"/>
                <w:szCs w:val="24"/>
                <w:lang w:val="en-GB"/>
              </w:rPr>
              <w:t>1.1 Implications for individuals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_Toc224496013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4</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4" w:history="1">
            <w:r w:rsidRPr="003B6CB1">
              <w:rPr>
                <w:rStyle w:val="Hyperlink"/>
                <w:noProof/>
                <w:color w:val="000000" w:themeColor="text1"/>
                <w:sz w:val="24"/>
                <w:szCs w:val="24"/>
                <w:lang w:val="en-GB"/>
              </w:rPr>
              <w:t>1.2 Wider implications on families involved in care provision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_Toc224496014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6</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5" w:history="1">
            <w:r w:rsidRPr="003B6CB1">
              <w:rPr>
                <w:rStyle w:val="Hyperlink"/>
                <w:noProof/>
                <w:color w:val="000000" w:themeColor="text1"/>
                <w:sz w:val="24"/>
                <w:szCs w:val="24"/>
                <w:lang w:val="en-GB"/>
              </w:rPr>
              <w:t>1.3 Evidence-based treatments in the UK</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_Toc224496015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7</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6" w:history="1">
            <w:r w:rsidRPr="003B6CB1">
              <w:rPr>
                <w:rStyle w:val="Hyperlink"/>
                <w:noProof/>
                <w:color w:val="000000" w:themeColor="text1"/>
                <w:sz w:val="24"/>
                <w:szCs w:val="24"/>
                <w:lang w:val="en-GB"/>
              </w:rPr>
              <w:t>2.0 Theoretical perspectives for improved patient outcomes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_Toc224496016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9</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7" w:history="1">
            <w:r w:rsidRPr="003B6CB1">
              <w:rPr>
                <w:rStyle w:val="Hyperlink"/>
                <w:noProof/>
                <w:color w:val="000000" w:themeColor="text1"/>
                <w:sz w:val="24"/>
                <w:szCs w:val="24"/>
                <w:lang w:val="en-GB"/>
              </w:rPr>
              <w:t>2.1 UK model: House of care model</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_Toc224496017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9</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8" w:history="1">
            <w:r w:rsidRPr="003B6CB1">
              <w:rPr>
                <w:rStyle w:val="Hyperlink"/>
                <w:noProof/>
                <w:color w:val="000000" w:themeColor="text1"/>
                <w:sz w:val="24"/>
                <w:szCs w:val="24"/>
                <w:lang w:val="en-GB"/>
              </w:rPr>
              <w:t>2.2 International model: Chronic Care Model (CCM)</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_Toc224496018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10</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19" w:history="1">
            <w:r w:rsidRPr="003B6CB1">
              <w:rPr>
                <w:rStyle w:val="Hyperlink"/>
                <w:noProof/>
                <w:color w:val="000000" w:themeColor="text1"/>
                <w:sz w:val="24"/>
                <w:szCs w:val="24"/>
                <w:lang w:val="en-GB"/>
              </w:rPr>
              <w:t>3.0 Implementation of local and national political health and social care agendas for hypertension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_Toc224496019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12</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0" w:history="1">
            <w:r w:rsidRPr="003B6CB1">
              <w:rPr>
                <w:rStyle w:val="Hyperlink"/>
                <w:noProof/>
                <w:color w:val="000000" w:themeColor="text1"/>
                <w:sz w:val="24"/>
                <w:szCs w:val="24"/>
                <w:lang w:val="en-GB"/>
              </w:rPr>
              <w:t>3.1 National health and social care agenda: NHS long-term plan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_Toc224496020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12</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1" w:history="1">
            <w:r w:rsidRPr="003B6CB1">
              <w:rPr>
                <w:rStyle w:val="Hyperlink"/>
                <w:noProof/>
                <w:color w:val="000000" w:themeColor="text1"/>
                <w:sz w:val="24"/>
                <w:szCs w:val="24"/>
                <w:lang w:val="en-GB"/>
              </w:rPr>
              <w:t>3.2 National healthcare and clinical guidance: NICE guidelines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_Toc224496021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13</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2" w:history="1">
            <w:r w:rsidRPr="003B6CB1">
              <w:rPr>
                <w:rStyle w:val="Hyperlink"/>
                <w:noProof/>
                <w:color w:val="000000" w:themeColor="text1"/>
                <w:sz w:val="24"/>
                <w:szCs w:val="24"/>
                <w:lang w:val="en-GB"/>
              </w:rPr>
              <w:t>3.3 Local agenda: Integrated Care Systems (ICE)</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_Toc224496022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13</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3" w:history="1">
            <w:r w:rsidRPr="003B6CB1">
              <w:rPr>
                <w:rStyle w:val="Hyperlink"/>
                <w:noProof/>
                <w:color w:val="000000" w:themeColor="text1"/>
                <w:sz w:val="24"/>
                <w:szCs w:val="24"/>
                <w:lang w:val="en-GB"/>
              </w:rPr>
              <w:t>4.0 Recommendations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_Toc224496023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15</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4" w:history="1">
            <w:r w:rsidRPr="003B6CB1">
              <w:rPr>
                <w:rStyle w:val="Hyperlink"/>
                <w:noProof/>
                <w:color w:val="000000" w:themeColor="text1"/>
                <w:sz w:val="24"/>
                <w:szCs w:val="24"/>
                <w:lang w:val="en-GB"/>
              </w:rPr>
              <w:t>4.1 Person-centred care (PCC)</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_Toc224496024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15</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5" w:history="1">
            <w:r w:rsidRPr="003B6CB1">
              <w:rPr>
                <w:rStyle w:val="Hyperlink"/>
                <w:noProof/>
                <w:color w:val="000000" w:themeColor="text1"/>
                <w:sz w:val="24"/>
                <w:szCs w:val="24"/>
                <w:lang w:val="en-GB"/>
              </w:rPr>
              <w:t>4.2 Self-management support</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_Toc224496025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15</w:t>
            </w:r>
            <w:r w:rsidR="00BF7E14" w:rsidRPr="003B6CB1">
              <w:rPr>
                <w:noProof/>
                <w:webHidden/>
                <w:color w:val="000000" w:themeColor="text1"/>
                <w:sz w:val="24"/>
                <w:szCs w:val="24"/>
              </w:rPr>
              <w:fldChar w:fldCharType="end"/>
            </w:r>
          </w:hyperlink>
        </w:p>
        <w:p w:rsidR="00FA6985" w:rsidRPr="003B6CB1" w:rsidRDefault="00FA6985" w:rsidP="005F0641">
          <w:pPr>
            <w:pStyle w:val="TOC2"/>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6" w:history="1">
            <w:r w:rsidRPr="003B6CB1">
              <w:rPr>
                <w:rStyle w:val="Hyperlink"/>
                <w:noProof/>
                <w:color w:val="000000" w:themeColor="text1"/>
                <w:sz w:val="24"/>
                <w:szCs w:val="24"/>
                <w:lang w:val="en-GB"/>
              </w:rPr>
              <w:t>4.3 End-of-Life care</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_Toc224496026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16</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7" w:history="1">
            <w:r w:rsidRPr="003B6CB1">
              <w:rPr>
                <w:rStyle w:val="Hyperlink"/>
                <w:noProof/>
                <w:color w:val="000000" w:themeColor="text1"/>
                <w:sz w:val="24"/>
                <w:szCs w:val="24"/>
                <w:lang w:val="en-GB"/>
              </w:rPr>
              <w:t>Conclusion</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_Toc224496027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17</w:t>
            </w:r>
            <w:r w:rsidR="00BF7E14" w:rsidRPr="003B6CB1">
              <w:rPr>
                <w:noProof/>
                <w:webHidden/>
                <w:color w:val="000000" w:themeColor="text1"/>
                <w:sz w:val="24"/>
                <w:szCs w:val="24"/>
              </w:rPr>
              <w:fldChar w:fldCharType="end"/>
            </w:r>
          </w:hyperlink>
        </w:p>
        <w:p w:rsidR="00FA6985" w:rsidRPr="003B6CB1" w:rsidRDefault="00FA6985" w:rsidP="005F0641">
          <w:pPr>
            <w:pStyle w:val="TOC1"/>
            <w:tabs>
              <w:tab w:val="right" w:leader="dot" w:pos="9350"/>
            </w:tabs>
            <w:spacing w:line="360" w:lineRule="auto"/>
            <w:jc w:val="both"/>
            <w:rPr>
              <w:rFonts w:asciiTheme="minorHAnsi" w:eastAsiaTheme="minorEastAsia" w:hAnsiTheme="minorHAnsi" w:cstheme="minorBidi"/>
              <w:noProof/>
              <w:color w:val="000000" w:themeColor="text1"/>
              <w:sz w:val="24"/>
              <w:szCs w:val="24"/>
            </w:rPr>
          </w:pPr>
          <w:hyperlink w:anchor="_Toc224496028" w:history="1">
            <w:r w:rsidRPr="003B6CB1">
              <w:rPr>
                <w:rStyle w:val="Hyperlink"/>
                <w:noProof/>
                <w:color w:val="000000" w:themeColor="text1"/>
                <w:sz w:val="24"/>
                <w:szCs w:val="24"/>
              </w:rPr>
              <w:t>References</w:t>
            </w:r>
            <w:r w:rsidRPr="003B6CB1">
              <w:rPr>
                <w:noProof/>
                <w:webHidden/>
                <w:color w:val="000000" w:themeColor="text1"/>
                <w:sz w:val="24"/>
                <w:szCs w:val="24"/>
              </w:rPr>
              <w:tab/>
            </w:r>
            <w:r w:rsidR="00BF7E14" w:rsidRPr="003B6CB1">
              <w:rPr>
                <w:noProof/>
                <w:webHidden/>
                <w:color w:val="000000" w:themeColor="text1"/>
                <w:sz w:val="24"/>
                <w:szCs w:val="24"/>
              </w:rPr>
              <w:fldChar w:fldCharType="begin"/>
            </w:r>
            <w:r w:rsidRPr="003B6CB1">
              <w:rPr>
                <w:noProof/>
                <w:webHidden/>
                <w:color w:val="000000" w:themeColor="text1"/>
                <w:sz w:val="24"/>
                <w:szCs w:val="24"/>
              </w:rPr>
              <w:instrText xml:space="preserve"> PAGEREF _Toc224496028 \h </w:instrText>
            </w:r>
            <w:r w:rsidR="00BF7E14" w:rsidRPr="003B6CB1">
              <w:rPr>
                <w:noProof/>
                <w:webHidden/>
                <w:color w:val="000000" w:themeColor="text1"/>
                <w:sz w:val="24"/>
                <w:szCs w:val="24"/>
              </w:rPr>
            </w:r>
            <w:r w:rsidR="00BF7E14" w:rsidRPr="003B6CB1">
              <w:rPr>
                <w:noProof/>
                <w:webHidden/>
                <w:color w:val="000000" w:themeColor="text1"/>
                <w:sz w:val="24"/>
                <w:szCs w:val="24"/>
              </w:rPr>
              <w:fldChar w:fldCharType="separate"/>
            </w:r>
            <w:r w:rsidR="002F7F84">
              <w:rPr>
                <w:noProof/>
                <w:webHidden/>
                <w:color w:val="000000" w:themeColor="text1"/>
                <w:sz w:val="24"/>
                <w:szCs w:val="24"/>
              </w:rPr>
              <w:t>18</w:t>
            </w:r>
            <w:r w:rsidR="00BF7E14" w:rsidRPr="003B6CB1">
              <w:rPr>
                <w:noProof/>
                <w:webHidden/>
                <w:color w:val="000000" w:themeColor="text1"/>
                <w:sz w:val="24"/>
                <w:szCs w:val="24"/>
              </w:rPr>
              <w:fldChar w:fldCharType="end"/>
            </w:r>
          </w:hyperlink>
        </w:p>
        <w:p w:rsidR="003C571E" w:rsidRPr="003B6CB1" w:rsidRDefault="00BF7E14" w:rsidP="005F0641">
          <w:pPr>
            <w:spacing w:line="360" w:lineRule="auto"/>
            <w:jc w:val="both"/>
            <w:rPr>
              <w:color w:val="000000" w:themeColor="text1"/>
            </w:rPr>
            <w:sectPr w:rsidR="003C571E" w:rsidRPr="003B6CB1" w:rsidSect="00F86529">
              <w:footerReference w:type="default" r:id="rId7"/>
              <w:footerReference w:type="first" r:id="rId8"/>
              <w:pgSz w:w="12240" w:h="15840"/>
              <w:pgMar w:top="1440" w:right="1440" w:bottom="1440" w:left="1440" w:header="720" w:footer="720" w:gutter="0"/>
              <w:pgNumType w:start="1"/>
              <w:cols w:space="720"/>
              <w:titlePg/>
              <w:docGrid w:linePitch="299"/>
            </w:sectPr>
          </w:pPr>
          <w:r w:rsidRPr="003B6CB1">
            <w:rPr>
              <w:color w:val="000000" w:themeColor="text1"/>
              <w:sz w:val="24"/>
              <w:szCs w:val="24"/>
            </w:rPr>
            <w:fldChar w:fldCharType="end"/>
          </w:r>
        </w:p>
      </w:sdtContent>
    </w:sdt>
    <w:p w:rsidR="001B49D6" w:rsidRPr="003B6CB1" w:rsidRDefault="008203C6" w:rsidP="0014383D">
      <w:pPr>
        <w:pStyle w:val="Heading1"/>
        <w:rPr>
          <w:color w:val="000000" w:themeColor="text1"/>
          <w:lang w:val="en-GB"/>
        </w:rPr>
      </w:pPr>
      <w:bookmarkStart w:id="0" w:name="_Toc223723730"/>
      <w:bookmarkStart w:id="1" w:name="_Toc224496007"/>
      <w:r w:rsidRPr="003B6CB1">
        <w:rPr>
          <w:color w:val="000000" w:themeColor="text1"/>
          <w:lang w:val="en-GB"/>
        </w:rPr>
        <w:lastRenderedPageBreak/>
        <w:t>Introduction</w:t>
      </w:r>
      <w:bookmarkEnd w:id="0"/>
      <w:bookmarkEnd w:id="1"/>
    </w:p>
    <w:p w:rsidR="001B49D6" w:rsidRPr="003B6CB1" w:rsidRDefault="008203C6" w:rsidP="0014383D">
      <w:pPr>
        <w:pStyle w:val="Heading2"/>
        <w:rPr>
          <w:color w:val="000000" w:themeColor="text1"/>
          <w:lang w:val="en-GB"/>
        </w:rPr>
      </w:pPr>
      <w:bookmarkStart w:id="2" w:name="_Toc223723731"/>
      <w:bookmarkStart w:id="3" w:name="_Toc224496008"/>
      <w:r w:rsidRPr="003B6CB1">
        <w:rPr>
          <w:color w:val="000000" w:themeColor="text1"/>
          <w:lang w:val="en-GB"/>
        </w:rPr>
        <w:t>Definition</w:t>
      </w:r>
      <w:bookmarkEnd w:id="2"/>
      <w:bookmarkEnd w:id="3"/>
    </w:p>
    <w:p w:rsidR="002C1284" w:rsidRPr="003B6CB1" w:rsidRDefault="003241E5" w:rsidP="00782B83">
      <w:pPr>
        <w:spacing w:line="360" w:lineRule="auto"/>
        <w:jc w:val="both"/>
        <w:rPr>
          <w:color w:val="000000" w:themeColor="text1"/>
          <w:sz w:val="24"/>
          <w:szCs w:val="24"/>
          <w:lang w:val="en-GB"/>
        </w:rPr>
      </w:pPr>
      <w:r w:rsidRPr="003B6CB1">
        <w:rPr>
          <w:noProof/>
          <w:color w:val="000000" w:themeColor="text1"/>
          <w:sz w:val="24"/>
          <w:szCs w:val="24"/>
        </w:rPr>
        <w:drawing>
          <wp:anchor distT="0" distB="0" distL="114300" distR="114300" simplePos="0" relativeHeight="251658240" behindDoc="0" locked="0" layoutInCell="1" allowOverlap="1">
            <wp:simplePos x="0" y="0"/>
            <wp:positionH relativeFrom="column">
              <wp:posOffset>-407035</wp:posOffset>
            </wp:positionH>
            <wp:positionV relativeFrom="paragraph">
              <wp:posOffset>3020060</wp:posOffset>
            </wp:positionV>
            <wp:extent cx="3483610" cy="2268855"/>
            <wp:effectExtent l="0" t="0" r="0" b="0"/>
            <wp:wrapThrough wrapText="bothSides">
              <wp:wrapPolygon edited="0">
                <wp:start x="0" y="0"/>
                <wp:lineTo x="0" y="21401"/>
                <wp:lineTo x="21498" y="21401"/>
                <wp:lineTo x="21498" y="0"/>
                <wp:lineTo x="0" y="0"/>
              </wp:wrapPolygon>
            </wp:wrapThrough>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3610" cy="226885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8203C6" w:rsidRPr="003B6CB1">
        <w:rPr>
          <w:color w:val="000000" w:themeColor="text1"/>
          <w:sz w:val="24"/>
          <w:szCs w:val="24"/>
          <w:lang w:val="en-GB"/>
        </w:rPr>
        <w:t>One of the most chronically significant and prevalent long-term conditions (LTC) globally is hypertension, often referred to as high blood pressure clinically. The condition occurs when arterial blood pressure consistently elevates beyond the clinically standard range of one 140/90 mmHg. Thus, a persistent condition occurs in both the blood pressure ranges, the condition is known as hypertension (WHO, 2025).</w:t>
      </w:r>
    </w:p>
    <w:p w:rsidR="002C1284" w:rsidRPr="003B6CB1" w:rsidRDefault="002C1284" w:rsidP="00782B83">
      <w:pPr>
        <w:spacing w:line="360" w:lineRule="auto"/>
        <w:jc w:val="both"/>
        <w:rPr>
          <w:color w:val="000000" w:themeColor="text1"/>
          <w:sz w:val="24"/>
          <w:szCs w:val="24"/>
          <w:lang w:val="en-GB"/>
        </w:rPr>
      </w:pPr>
    </w:p>
    <w:p w:rsidR="002C1284" w:rsidRPr="003B6CB1" w:rsidRDefault="002C1284" w:rsidP="002C1284">
      <w:pPr>
        <w:spacing w:line="360" w:lineRule="auto"/>
        <w:jc w:val="center"/>
        <w:rPr>
          <w:b/>
          <w:color w:val="000000" w:themeColor="text1"/>
          <w:sz w:val="24"/>
          <w:szCs w:val="24"/>
          <w:lang w:val="en-GB"/>
        </w:rPr>
      </w:pPr>
      <w:r w:rsidRPr="003B6CB1">
        <w:rPr>
          <w:b/>
          <w:color w:val="000000" w:themeColor="text1"/>
          <w:sz w:val="24"/>
          <w:szCs w:val="24"/>
          <w:lang w:val="en-GB"/>
        </w:rPr>
        <w:t>Figure 1: Hypertension</w:t>
      </w:r>
    </w:p>
    <w:p w:rsidR="002C1284" w:rsidRPr="003B6CB1" w:rsidRDefault="002C1284" w:rsidP="002C1284">
      <w:pPr>
        <w:spacing w:line="360" w:lineRule="auto"/>
        <w:jc w:val="center"/>
        <w:rPr>
          <w:color w:val="000000" w:themeColor="text1"/>
          <w:sz w:val="24"/>
          <w:szCs w:val="24"/>
          <w:lang w:val="en-GB"/>
        </w:rPr>
      </w:pPr>
      <w:r w:rsidRPr="003B6CB1">
        <w:rPr>
          <w:color w:val="000000" w:themeColor="text1"/>
          <w:sz w:val="24"/>
          <w:szCs w:val="24"/>
          <w:lang w:val="en-GB"/>
        </w:rPr>
        <w:t>(Source: Kario, 2022)</w:t>
      </w:r>
    </w:p>
    <w:p w:rsidR="001B49D6" w:rsidRPr="003B6CB1" w:rsidRDefault="008203C6" w:rsidP="002C1284">
      <w:pPr>
        <w:spacing w:line="360" w:lineRule="auto"/>
        <w:jc w:val="both"/>
        <w:rPr>
          <w:color w:val="000000" w:themeColor="text1"/>
          <w:sz w:val="24"/>
          <w:szCs w:val="24"/>
          <w:lang w:val="en-GB"/>
        </w:rPr>
      </w:pPr>
      <w:r w:rsidRPr="003B6CB1">
        <w:rPr>
          <w:color w:val="000000" w:themeColor="text1"/>
          <w:sz w:val="24"/>
          <w:szCs w:val="24"/>
          <w:lang w:val="en-GB"/>
        </w:rPr>
        <w:t xml:space="preserve">When blood circulates in the arterial wall, it puts additional force beyond the standard range, the blood strength increases, and the cardiovascular </w:t>
      </w:r>
      <w:r w:rsidRPr="003B6CB1">
        <w:rPr>
          <w:color w:val="000000" w:themeColor="text1"/>
          <w:sz w:val="24"/>
          <w:szCs w:val="24"/>
          <w:lang w:val="en-GB"/>
        </w:rPr>
        <w:t xml:space="preserve">condition worsens (Kario, 2022). This LTC silently kills individuals without any prominent noticeable symptoms until major complications and severity arise out of the blue. If the condition is not treated and controlled earlier, gradually with exerted force, blood vessels can be damaged, thereby pressuring vital anatomical organs, including the kidney, brain, heart and eyes (Mishima </w:t>
      </w:r>
      <w:r w:rsidR="00395AEB" w:rsidRPr="003B6CB1">
        <w:rPr>
          <w:color w:val="000000" w:themeColor="text1"/>
          <w:sz w:val="24"/>
          <w:szCs w:val="24"/>
          <w:lang w:val="en-GB"/>
        </w:rPr>
        <w:t>et al.</w:t>
      </w:r>
      <w:r w:rsidRPr="003B6CB1">
        <w:rPr>
          <w:color w:val="000000" w:themeColor="text1"/>
          <w:sz w:val="24"/>
          <w:szCs w:val="24"/>
          <w:lang w:val="en-GB"/>
        </w:rPr>
        <w:t>, 2021). In this way, hypertension enhances chronic cardiovascular risk by developing diseases including coronary artery heart disease, stroke and heart failure.</w:t>
      </w:r>
    </w:p>
    <w:p w:rsidR="001B49D6" w:rsidRPr="003B6CB1" w:rsidRDefault="008203C6" w:rsidP="0014383D">
      <w:pPr>
        <w:pStyle w:val="Heading2"/>
        <w:rPr>
          <w:color w:val="000000" w:themeColor="text1"/>
          <w:lang w:val="en-GB"/>
        </w:rPr>
      </w:pPr>
      <w:bookmarkStart w:id="4" w:name="_Toc223723732"/>
      <w:bookmarkStart w:id="5" w:name="_Toc224496009"/>
      <w:r w:rsidRPr="003B6CB1">
        <w:rPr>
          <w:color w:val="000000" w:themeColor="text1"/>
          <w:lang w:val="en-GB"/>
        </w:rPr>
        <w:t>Burden/prevalence</w:t>
      </w:r>
      <w:bookmarkEnd w:id="4"/>
      <w:bookmarkEnd w:id="5"/>
    </w:p>
    <w:p w:rsidR="001B49D6" w:rsidRPr="003B6CB1" w:rsidRDefault="008203C6" w:rsidP="00782B83">
      <w:pPr>
        <w:spacing w:line="360" w:lineRule="auto"/>
        <w:jc w:val="center"/>
        <w:rPr>
          <w:color w:val="000000" w:themeColor="text1"/>
          <w:sz w:val="24"/>
          <w:szCs w:val="24"/>
          <w:lang w:val="en-GB"/>
        </w:rPr>
      </w:pPr>
      <w:r w:rsidRPr="003B6CB1">
        <w:rPr>
          <w:noProof/>
          <w:color w:val="000000" w:themeColor="text1"/>
          <w:sz w:val="24"/>
          <w:szCs w:val="24"/>
        </w:rPr>
        <w:drawing>
          <wp:inline distT="114300" distB="114300" distL="114300" distR="114300">
            <wp:extent cx="3350683" cy="2438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365837" cy="2449428"/>
                    </a:xfrm>
                    <a:prstGeom prst="rect">
                      <a:avLst/>
                    </a:prstGeom>
                    <a:ln/>
                  </pic:spPr>
                </pic:pic>
              </a:graphicData>
            </a:graphic>
          </wp:inline>
        </w:drawing>
      </w:r>
    </w:p>
    <w:p w:rsidR="001B49D6" w:rsidRPr="003B6CB1" w:rsidRDefault="008203C6" w:rsidP="00782B83">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994891" w:rsidRPr="003B6CB1">
        <w:rPr>
          <w:b/>
          <w:color w:val="000000" w:themeColor="text1"/>
          <w:sz w:val="24"/>
          <w:szCs w:val="24"/>
          <w:lang w:val="en-GB"/>
        </w:rPr>
        <w:t>2</w:t>
      </w:r>
      <w:r w:rsidRPr="003B6CB1">
        <w:rPr>
          <w:b/>
          <w:color w:val="000000" w:themeColor="text1"/>
          <w:sz w:val="24"/>
          <w:szCs w:val="24"/>
          <w:lang w:val="en-GB"/>
        </w:rPr>
        <w:t>: Early death and disability in the ten leading risk factors</w:t>
      </w:r>
    </w:p>
    <w:p w:rsidR="001B49D6" w:rsidRPr="003B6CB1" w:rsidRDefault="008203C6" w:rsidP="00782B83">
      <w:pPr>
        <w:spacing w:line="360" w:lineRule="auto"/>
        <w:jc w:val="center"/>
        <w:rPr>
          <w:color w:val="000000" w:themeColor="text1"/>
          <w:sz w:val="24"/>
          <w:szCs w:val="24"/>
          <w:lang w:val="en-GB"/>
        </w:rPr>
      </w:pPr>
      <w:r w:rsidRPr="003B6CB1">
        <w:rPr>
          <w:color w:val="000000" w:themeColor="text1"/>
          <w:sz w:val="24"/>
          <w:szCs w:val="24"/>
          <w:lang w:val="en-GB"/>
        </w:rPr>
        <w:t xml:space="preserve">(Source: </w:t>
      </w:r>
      <w:proofErr w:type="spellStart"/>
      <w:r w:rsidRPr="003B6CB1">
        <w:rPr>
          <w:color w:val="000000" w:themeColor="text1"/>
          <w:sz w:val="24"/>
          <w:szCs w:val="24"/>
          <w:lang w:val="en-GB"/>
        </w:rPr>
        <w:t>Healthdata</w:t>
      </w:r>
      <w:proofErr w:type="spellEnd"/>
      <w:r w:rsidRPr="003B6CB1">
        <w:rPr>
          <w:color w:val="000000" w:themeColor="text1"/>
          <w:sz w:val="24"/>
          <w:szCs w:val="24"/>
          <w:lang w:val="en-GB"/>
        </w:rPr>
        <w:t>, 2025)</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lastRenderedPageBreak/>
        <w:t xml:space="preserve">Worldwide, the burden of hypertension has reportedly increased, which has gained the momentum of being acknowledged as one of the major contributing risk factors for disability and mortality. WHO reports that the current burden of hypertension globally is reported for nearly 1.4 billion adults within the age range of 30–79 years (WHO, 2025). Hence, globally, 33% individuals are affected by this LTC without being aware of the chronic condition (WHO, 2025). The global burden of hypertension has increased substantially over the past few decades and is now recognised as one of the leading risk factors for mortality and disability worldwide (Lee </w:t>
      </w:r>
      <w:r w:rsidR="00395AEB" w:rsidRPr="003B6CB1">
        <w:rPr>
          <w:color w:val="000000" w:themeColor="text1"/>
          <w:sz w:val="24"/>
          <w:szCs w:val="24"/>
          <w:lang w:val="en-GB"/>
        </w:rPr>
        <w:t>et al.</w:t>
      </w:r>
      <w:r w:rsidRPr="003B6CB1">
        <w:rPr>
          <w:color w:val="000000" w:themeColor="text1"/>
          <w:sz w:val="24"/>
          <w:szCs w:val="24"/>
          <w:lang w:val="en-GB"/>
        </w:rPr>
        <w:t>, 2022). Only 44% of the affected adults were diagnosed and received treatment, whereas 23% had achieved control in blood pressure level after treatment (WHO</w:t>
      </w:r>
      <w:r w:rsidR="0014383D" w:rsidRPr="003B6CB1">
        <w:rPr>
          <w:color w:val="000000" w:themeColor="text1"/>
          <w:sz w:val="24"/>
          <w:szCs w:val="24"/>
          <w:lang w:val="en-GB"/>
        </w:rPr>
        <w:t xml:space="preserve">, </w:t>
      </w:r>
      <w:r w:rsidRPr="003B6CB1">
        <w:rPr>
          <w:color w:val="000000" w:themeColor="text1"/>
          <w:sz w:val="24"/>
          <w:szCs w:val="24"/>
          <w:lang w:val="en-GB"/>
        </w:rPr>
        <w:t xml:space="preserve">2025). Hence, a significant gap arises in the management and diagnosis of the disease, identifying the practical burden on individual life and a gap in adequate measures in the field. Globally, 10.8 million deaths occur due to hypertension majorly linked with cardiovascular disease and stroke and remains 15% responsible for early death </w:t>
      </w:r>
      <w:r w:rsidRPr="003B6CB1">
        <w:rPr>
          <w:color w:val="000000" w:themeColor="text1"/>
          <w:sz w:val="24"/>
          <w:szCs w:val="24"/>
          <w:lang w:val="en-GB"/>
        </w:rPr>
        <w:t>and disability amongst leading risk factors (</w:t>
      </w:r>
      <w:proofErr w:type="spellStart"/>
      <w:r w:rsidRPr="003B6CB1">
        <w:rPr>
          <w:color w:val="000000" w:themeColor="text1"/>
          <w:sz w:val="24"/>
          <w:szCs w:val="24"/>
          <w:lang w:val="en-GB"/>
        </w:rPr>
        <w:t>Healthdata</w:t>
      </w:r>
      <w:proofErr w:type="spellEnd"/>
      <w:r w:rsidRPr="003B6CB1">
        <w:rPr>
          <w:color w:val="000000" w:themeColor="text1"/>
          <w:sz w:val="24"/>
          <w:szCs w:val="24"/>
          <w:lang w:val="en-GB"/>
        </w:rPr>
        <w:t>, 2025).</w:t>
      </w:r>
    </w:p>
    <w:p w:rsidR="001B49D6" w:rsidRPr="003B6CB1" w:rsidRDefault="008203C6" w:rsidP="00782B83">
      <w:pPr>
        <w:spacing w:line="360" w:lineRule="auto"/>
        <w:jc w:val="both"/>
        <w:rPr>
          <w:color w:val="000000" w:themeColor="text1"/>
          <w:sz w:val="24"/>
          <w:szCs w:val="24"/>
          <w:lang w:val="en-GB"/>
        </w:rPr>
      </w:pPr>
      <w:r w:rsidRPr="003B6CB1">
        <w:rPr>
          <w:noProof/>
          <w:color w:val="000000" w:themeColor="text1"/>
          <w:sz w:val="24"/>
          <w:szCs w:val="24"/>
        </w:rPr>
        <w:drawing>
          <wp:inline distT="114300" distB="114300" distL="114300" distR="114300">
            <wp:extent cx="3266017" cy="2946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7322"/>
                    <a:stretch>
                      <a:fillRect/>
                    </a:stretch>
                  </pic:blipFill>
                  <pic:spPr>
                    <a:xfrm>
                      <a:off x="0" y="0"/>
                      <a:ext cx="3271666" cy="2951497"/>
                    </a:xfrm>
                    <a:prstGeom prst="rect">
                      <a:avLst/>
                    </a:prstGeom>
                    <a:ln/>
                  </pic:spPr>
                </pic:pic>
              </a:graphicData>
            </a:graphic>
          </wp:inline>
        </w:drawing>
      </w:r>
    </w:p>
    <w:p w:rsidR="001B49D6" w:rsidRPr="003B6CB1" w:rsidRDefault="008203C6" w:rsidP="00782B83">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994891" w:rsidRPr="003B6CB1">
        <w:rPr>
          <w:b/>
          <w:color w:val="000000" w:themeColor="text1"/>
          <w:sz w:val="24"/>
          <w:szCs w:val="24"/>
          <w:lang w:val="en-GB"/>
        </w:rPr>
        <w:t>3</w:t>
      </w:r>
      <w:r w:rsidRPr="003B6CB1">
        <w:rPr>
          <w:b/>
          <w:color w:val="000000" w:themeColor="text1"/>
          <w:sz w:val="24"/>
          <w:szCs w:val="24"/>
          <w:lang w:val="en-GB"/>
        </w:rPr>
        <w:t>: Hypertension prevalence by age in the UK</w:t>
      </w:r>
    </w:p>
    <w:p w:rsidR="001B49D6" w:rsidRPr="003B6CB1" w:rsidRDefault="008203C6" w:rsidP="00782B83">
      <w:pPr>
        <w:spacing w:line="360" w:lineRule="auto"/>
        <w:jc w:val="center"/>
        <w:rPr>
          <w:color w:val="000000" w:themeColor="text1"/>
          <w:sz w:val="24"/>
          <w:szCs w:val="24"/>
          <w:lang w:val="en-GB"/>
        </w:rPr>
      </w:pPr>
      <w:r w:rsidRPr="003B6CB1">
        <w:rPr>
          <w:color w:val="000000" w:themeColor="text1"/>
          <w:sz w:val="24"/>
          <w:szCs w:val="24"/>
          <w:lang w:val="en-GB"/>
        </w:rPr>
        <w:t>(Source: NHS, 2023)</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Hypertension in the United Kingdom (UK) is also a major public health concern. The British Heart Foundation reports that nearly 14.4 million people, representing one in quarter adults in the UK, are living with hypertension, and 1.14 million affected people are under the age of 45 (Pringle, 2019). The NHS reported that the prevalence of the disease increases with age, as the data shows that 9% of adults within the age range of 16 to 44 years are affected by the disease, who are aged 65 and above (NHS, 2023). Additionally, 1/4 of all the reported deaths in the UK are </w:t>
      </w:r>
      <w:r w:rsidRPr="003B6CB1">
        <w:rPr>
          <w:color w:val="000000" w:themeColor="text1"/>
          <w:sz w:val="24"/>
          <w:szCs w:val="24"/>
          <w:lang w:val="en-GB"/>
        </w:rPr>
        <w:lastRenderedPageBreak/>
        <w:t>due to hypertension, considering it as one of the prominent modifiable risk factors in public health (NHS, 2023). Apart from the consequences and gap in the health and social care context, the financial burden of this cardiovascular complication is extensive, as it enhances annual expenditure in nature through management of long-term medication and hospital admissions (</w:t>
      </w:r>
      <w:proofErr w:type="spellStart"/>
      <w:r w:rsidRPr="003B6CB1">
        <w:rPr>
          <w:color w:val="000000" w:themeColor="text1"/>
          <w:sz w:val="24"/>
          <w:szCs w:val="24"/>
          <w:lang w:val="en-GB"/>
        </w:rPr>
        <w:t>Wierzejska</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2020).</w:t>
      </w:r>
    </w:p>
    <w:p w:rsidR="001B49D6" w:rsidRPr="003B6CB1" w:rsidRDefault="008203C6" w:rsidP="00B849DD">
      <w:pPr>
        <w:pStyle w:val="Heading2"/>
        <w:rPr>
          <w:color w:val="000000" w:themeColor="text1"/>
          <w:lang w:val="en-GB"/>
        </w:rPr>
      </w:pPr>
      <w:bookmarkStart w:id="6" w:name="_Toc223723733"/>
      <w:bookmarkStart w:id="7" w:name="_Toc224496010"/>
      <w:r w:rsidRPr="003B6CB1">
        <w:rPr>
          <w:color w:val="000000" w:themeColor="text1"/>
          <w:lang w:val="en-GB"/>
        </w:rPr>
        <w:t xml:space="preserve">Risk </w:t>
      </w:r>
      <w:r w:rsidRPr="003B6CB1">
        <w:rPr>
          <w:color w:val="000000" w:themeColor="text1"/>
          <w:szCs w:val="24"/>
        </w:rPr>
        <w:t>factors</w:t>
      </w:r>
      <w:bookmarkEnd w:id="6"/>
      <w:bookmarkEnd w:id="7"/>
    </w:p>
    <w:p w:rsidR="00994891" w:rsidRPr="003B6CB1" w:rsidRDefault="003939BC" w:rsidP="00782B83">
      <w:pPr>
        <w:spacing w:line="360" w:lineRule="auto"/>
        <w:jc w:val="both"/>
        <w:rPr>
          <w:color w:val="000000" w:themeColor="text1"/>
        </w:rPr>
      </w:pPr>
      <w:r w:rsidRPr="003B6CB1">
        <w:rPr>
          <w:noProof/>
          <w:color w:val="000000" w:themeColor="text1"/>
        </w:rPr>
        <w:drawing>
          <wp:inline distT="0" distB="0" distL="0" distR="0">
            <wp:extent cx="2916471" cy="2844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srcRect/>
                    <a:stretch>
                      <a:fillRect/>
                    </a:stretch>
                  </pic:blipFill>
                  <pic:spPr bwMode="auto">
                    <a:xfrm>
                      <a:off x="0" y="0"/>
                      <a:ext cx="2927313" cy="2855376"/>
                    </a:xfrm>
                    <a:prstGeom prst="rect">
                      <a:avLst/>
                    </a:prstGeom>
                    <a:noFill/>
                    <a:ln w="9525">
                      <a:noFill/>
                      <a:miter lim="800000"/>
                      <a:headEnd/>
                      <a:tailEnd/>
                    </a:ln>
                  </pic:spPr>
                </pic:pic>
              </a:graphicData>
            </a:graphic>
          </wp:inline>
        </w:drawing>
      </w:r>
    </w:p>
    <w:p w:rsidR="003939BC" w:rsidRPr="003B6CB1" w:rsidRDefault="003939BC" w:rsidP="003939BC">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4</w:t>
      </w:r>
      <w:r w:rsidRPr="003B6CB1">
        <w:rPr>
          <w:b/>
          <w:color w:val="000000" w:themeColor="text1"/>
          <w:sz w:val="24"/>
          <w:szCs w:val="24"/>
          <w:lang w:val="en-GB"/>
        </w:rPr>
        <w:t>: Risk factors of hypertension</w:t>
      </w:r>
    </w:p>
    <w:p w:rsidR="003939BC" w:rsidRPr="003B6CB1" w:rsidRDefault="003939BC" w:rsidP="003939BC">
      <w:pPr>
        <w:spacing w:line="360" w:lineRule="auto"/>
        <w:jc w:val="center"/>
        <w:rPr>
          <w:color w:val="000000" w:themeColor="text1"/>
          <w:sz w:val="24"/>
          <w:szCs w:val="24"/>
          <w:lang w:val="en-GB"/>
        </w:rPr>
      </w:pPr>
      <w:r w:rsidRPr="003B6CB1">
        <w:rPr>
          <w:color w:val="000000" w:themeColor="text1"/>
          <w:sz w:val="24"/>
          <w:szCs w:val="24"/>
          <w:lang w:val="en-GB"/>
        </w:rPr>
        <w:t xml:space="preserve">(Source: </w:t>
      </w:r>
      <w:proofErr w:type="spellStart"/>
      <w:r w:rsidRPr="003B6CB1">
        <w:rPr>
          <w:color w:val="000000" w:themeColor="text1"/>
          <w:sz w:val="24"/>
          <w:szCs w:val="24"/>
          <w:lang w:val="en-GB"/>
        </w:rPr>
        <w:t>Ojangba</w:t>
      </w:r>
      <w:proofErr w:type="spellEnd"/>
      <w:r w:rsidRPr="003B6CB1">
        <w:rPr>
          <w:color w:val="000000" w:themeColor="text1"/>
          <w:sz w:val="24"/>
          <w:szCs w:val="24"/>
          <w:lang w:val="en-GB"/>
        </w:rPr>
        <w:t xml:space="preserve"> et al., 2023)</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In terms of risk factors, age, sex, ethnicity and genetic attributes are identified as non-modifiable in hypertension. However, lifestyle </w:t>
      </w:r>
      <w:r w:rsidRPr="003B6CB1">
        <w:rPr>
          <w:color w:val="000000" w:themeColor="text1"/>
          <w:sz w:val="24"/>
          <w:szCs w:val="24"/>
          <w:lang w:val="en-GB"/>
        </w:rPr>
        <w:t>patterns and healthcare conditions determine the modifiable risk factors in hypertension, including diet preference, salt intake, alcohol and tobacco consumption (</w:t>
      </w:r>
      <w:proofErr w:type="spellStart"/>
      <w:r w:rsidRPr="003B6CB1">
        <w:rPr>
          <w:color w:val="000000" w:themeColor="text1"/>
          <w:sz w:val="24"/>
          <w:szCs w:val="24"/>
          <w:lang w:val="en-GB"/>
        </w:rPr>
        <w:t>Ojangba</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2023). Besides, obesity is a natural contributor to hypertension (</w:t>
      </w:r>
      <w:proofErr w:type="spellStart"/>
      <w:r w:rsidRPr="003B6CB1">
        <w:rPr>
          <w:color w:val="000000" w:themeColor="text1"/>
          <w:sz w:val="24"/>
          <w:szCs w:val="24"/>
          <w:lang w:val="en-GB"/>
        </w:rPr>
        <w:t>Ojangba</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2023). Hence, in public health, hypertension is viewed as a serious life concern.</w:t>
      </w:r>
    </w:p>
    <w:p w:rsidR="001B49D6" w:rsidRPr="003B6CB1" w:rsidRDefault="008203C6" w:rsidP="00B849DD">
      <w:pPr>
        <w:pStyle w:val="Heading2"/>
        <w:rPr>
          <w:color w:val="000000" w:themeColor="text1"/>
          <w:lang w:val="en-GB"/>
        </w:rPr>
      </w:pPr>
      <w:bookmarkStart w:id="8" w:name="_Toc223723734"/>
      <w:bookmarkStart w:id="9" w:name="_Toc224496011"/>
      <w:r w:rsidRPr="003B6CB1">
        <w:rPr>
          <w:color w:val="000000" w:themeColor="text1"/>
          <w:lang w:val="en-GB"/>
        </w:rPr>
        <w:t>Aim</w:t>
      </w:r>
      <w:bookmarkEnd w:id="8"/>
      <w:bookmarkEnd w:id="9"/>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The booklet aims to explore the influence of hypertension on individuals and families and analyse the theoretical models and policy framework to facilitate LTC management. Besides, recommendations will be offered for boosting person-centred care and self-management in the UK healthcare context.</w:t>
      </w:r>
    </w:p>
    <w:p w:rsidR="003241E5" w:rsidRDefault="003241E5">
      <w:pPr>
        <w:rPr>
          <w:b/>
          <w:color w:val="000000" w:themeColor="text1"/>
          <w:sz w:val="28"/>
          <w:szCs w:val="40"/>
          <w:lang w:val="en-GB"/>
        </w:rPr>
      </w:pPr>
      <w:bookmarkStart w:id="10" w:name="_Toc223723735"/>
      <w:bookmarkStart w:id="11" w:name="_Toc224496012"/>
      <w:r>
        <w:rPr>
          <w:color w:val="000000" w:themeColor="text1"/>
          <w:lang w:val="en-GB"/>
        </w:rPr>
        <w:br w:type="page"/>
      </w:r>
    </w:p>
    <w:p w:rsidR="001B49D6" w:rsidRPr="003B6CB1" w:rsidRDefault="008203C6" w:rsidP="008765EF">
      <w:pPr>
        <w:pStyle w:val="Heading1"/>
        <w:rPr>
          <w:color w:val="000000" w:themeColor="text1"/>
          <w:lang w:val="en-GB"/>
        </w:rPr>
      </w:pPr>
      <w:r w:rsidRPr="003B6CB1">
        <w:rPr>
          <w:color w:val="000000" w:themeColor="text1"/>
          <w:lang w:val="en-GB"/>
        </w:rPr>
        <w:lastRenderedPageBreak/>
        <w:t>1.0 Implications</w:t>
      </w:r>
      <w:r w:rsidR="00395AEB" w:rsidRPr="003B6CB1">
        <w:rPr>
          <w:color w:val="000000" w:themeColor="text1"/>
          <w:lang w:val="en-GB"/>
        </w:rPr>
        <w:t xml:space="preserve"> </w:t>
      </w:r>
      <w:r w:rsidRPr="003B6CB1">
        <w:rPr>
          <w:color w:val="000000" w:themeColor="text1"/>
          <w:lang w:val="en-GB"/>
        </w:rPr>
        <w:t>and evidence-based treatments in the UK for hypertension</w:t>
      </w:r>
      <w:bookmarkEnd w:id="10"/>
      <w:bookmarkEnd w:id="11"/>
    </w:p>
    <w:p w:rsidR="001B49D6" w:rsidRPr="003B6CB1" w:rsidRDefault="008203C6" w:rsidP="008765EF">
      <w:pPr>
        <w:pStyle w:val="Heading2"/>
        <w:rPr>
          <w:color w:val="000000" w:themeColor="text1"/>
          <w:lang w:val="en-GB"/>
        </w:rPr>
      </w:pPr>
      <w:bookmarkStart w:id="12" w:name="_Toc223723736"/>
      <w:bookmarkStart w:id="13" w:name="_Toc224496013"/>
      <w:r w:rsidRPr="003B6CB1">
        <w:rPr>
          <w:color w:val="000000" w:themeColor="text1"/>
          <w:lang w:val="en-GB"/>
        </w:rPr>
        <w:t>1.1 Implications for individuals</w:t>
      </w:r>
      <w:bookmarkEnd w:id="12"/>
      <w:bookmarkEnd w:id="13"/>
    </w:p>
    <w:p w:rsidR="001B49D6" w:rsidRPr="003B6CB1" w:rsidRDefault="008203C6" w:rsidP="00561349">
      <w:pPr>
        <w:pStyle w:val="ListParagraph"/>
        <w:numPr>
          <w:ilvl w:val="0"/>
          <w:numId w:val="3"/>
        </w:numPr>
        <w:spacing w:line="360" w:lineRule="auto"/>
        <w:jc w:val="both"/>
        <w:rPr>
          <w:b/>
          <w:color w:val="000000" w:themeColor="text1"/>
          <w:sz w:val="24"/>
          <w:szCs w:val="24"/>
          <w:lang w:val="en-GB"/>
        </w:rPr>
      </w:pPr>
      <w:r w:rsidRPr="003B6CB1">
        <w:rPr>
          <w:b/>
          <w:color w:val="000000" w:themeColor="text1"/>
          <w:sz w:val="24"/>
          <w:szCs w:val="24"/>
          <w:lang w:val="en-GB"/>
        </w:rPr>
        <w:t xml:space="preserve">Physical </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Significant physical implications of hypertension on an individual include damaged blood vessels and organs. When pressure is exerted on the blood walls persistently, “atherosclerosis” develops due to accelerated cardiovascular strain, narrowing the arteries and blocking the free flow of blood (Roy</w:t>
      </w:r>
      <w:r w:rsidR="00395AEB" w:rsidRPr="003B6CB1">
        <w:rPr>
          <w:color w:val="000000" w:themeColor="text1"/>
          <w:sz w:val="24"/>
          <w:szCs w:val="24"/>
          <w:lang w:val="en-GB"/>
        </w:rPr>
        <w:t xml:space="preserve"> </w:t>
      </w:r>
      <w:r w:rsidRPr="003B6CB1">
        <w:rPr>
          <w:color w:val="000000" w:themeColor="text1"/>
          <w:sz w:val="24"/>
          <w:szCs w:val="24"/>
          <w:lang w:val="en-GB"/>
        </w:rPr>
        <w:t>and Chakraborty, 2024). As a result, the potential for risky cardiovascular diseases increases, including stroke, heart attack and coronary heart disease, which accounts for 19% of deaths globally (</w:t>
      </w:r>
      <w:proofErr w:type="spellStart"/>
      <w:r w:rsidRPr="003B6CB1">
        <w:rPr>
          <w:color w:val="000000" w:themeColor="text1"/>
          <w:sz w:val="24"/>
          <w:szCs w:val="24"/>
          <w:lang w:val="en-GB"/>
        </w:rPr>
        <w:t>Healthdata</w:t>
      </w:r>
      <w:proofErr w:type="spellEnd"/>
      <w:r w:rsidRPr="003B6CB1">
        <w:rPr>
          <w:color w:val="000000" w:themeColor="text1"/>
          <w:sz w:val="24"/>
          <w:szCs w:val="24"/>
          <w:lang w:val="en-GB"/>
        </w:rPr>
        <w:t>, 2025). Hence, hypertension accelerates early mortality among individuals.</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Aside from death, severe damage to vital organs, including the kidney and the eye are predominant. Due to persistent high blood pressure, renal blood vessels can be damaged, thereby affecting functions of a healthy kidney and contributing to failure and chronic disease of the organ (De </w:t>
      </w:r>
      <w:proofErr w:type="spellStart"/>
      <w:r w:rsidRPr="003B6CB1">
        <w:rPr>
          <w:color w:val="000000" w:themeColor="text1"/>
          <w:sz w:val="24"/>
          <w:szCs w:val="24"/>
          <w:lang w:val="en-GB"/>
        </w:rPr>
        <w:t>Bhailis</w:t>
      </w:r>
      <w:proofErr w:type="spellEnd"/>
      <w:r w:rsidRPr="003B6CB1">
        <w:rPr>
          <w:color w:val="000000" w:themeColor="text1"/>
          <w:sz w:val="24"/>
          <w:szCs w:val="24"/>
          <w:lang w:val="en-GB"/>
        </w:rPr>
        <w:t xml:space="preserve"> and </w:t>
      </w:r>
      <w:r w:rsidRPr="003B6CB1">
        <w:rPr>
          <w:color w:val="000000" w:themeColor="text1"/>
          <w:sz w:val="24"/>
          <w:szCs w:val="24"/>
          <w:lang w:val="en-GB"/>
        </w:rPr>
        <w:t>Kalra, 2022). Besides, tiny blood vessels of the eyes can be damaged, causing hypertensive retinopathy, affecting the power of vision in an individual (</w:t>
      </w:r>
      <w:proofErr w:type="spellStart"/>
      <w:r w:rsidRPr="003B6CB1">
        <w:rPr>
          <w:color w:val="000000" w:themeColor="text1"/>
          <w:sz w:val="24"/>
          <w:szCs w:val="24"/>
          <w:lang w:val="en-GB"/>
        </w:rPr>
        <w:t>Dziedziak</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2022). Persistent hypertension negatively affects cognitive behaviour and increases the risk of vascular dementia, especially in people aged over 65+ (Sierra, 2020).</w:t>
      </w:r>
      <w:r w:rsidR="00395AEB" w:rsidRPr="003B6CB1">
        <w:rPr>
          <w:color w:val="000000" w:themeColor="text1"/>
          <w:sz w:val="24"/>
          <w:szCs w:val="24"/>
          <w:lang w:val="en-GB"/>
        </w:rPr>
        <w:t xml:space="preserve"> </w:t>
      </w:r>
      <w:r w:rsidRPr="003B6CB1">
        <w:rPr>
          <w:color w:val="000000" w:themeColor="text1"/>
          <w:sz w:val="24"/>
          <w:szCs w:val="24"/>
          <w:lang w:val="en-GB"/>
        </w:rPr>
        <w:t xml:space="preserve">Furthermore, physical implications include a reduced quality of life for an individual by inducing fatigue and a lack of energy in daily life (Silva </w:t>
      </w:r>
      <w:r w:rsidR="00395AEB" w:rsidRPr="003B6CB1">
        <w:rPr>
          <w:color w:val="000000" w:themeColor="text1"/>
          <w:sz w:val="24"/>
          <w:szCs w:val="24"/>
          <w:lang w:val="en-GB"/>
        </w:rPr>
        <w:t>et al.</w:t>
      </w:r>
      <w:r w:rsidRPr="003B6CB1">
        <w:rPr>
          <w:color w:val="000000" w:themeColor="text1"/>
          <w:sz w:val="24"/>
          <w:szCs w:val="24"/>
          <w:lang w:val="en-GB"/>
        </w:rPr>
        <w:t xml:space="preserve">, 2020). In significant cases due to a heart attack or severe stroke, a person can face partial or full disability as a long-term condition (Lip </w:t>
      </w:r>
      <w:r w:rsidR="00395AEB" w:rsidRPr="003B6CB1">
        <w:rPr>
          <w:color w:val="000000" w:themeColor="text1"/>
          <w:sz w:val="24"/>
          <w:szCs w:val="24"/>
          <w:lang w:val="en-GB"/>
        </w:rPr>
        <w:t>et al.</w:t>
      </w:r>
      <w:r w:rsidRPr="003B6CB1">
        <w:rPr>
          <w:color w:val="000000" w:themeColor="text1"/>
          <w:sz w:val="24"/>
          <w:szCs w:val="24"/>
          <w:lang w:val="en-GB"/>
        </w:rPr>
        <w:t>, 2022).</w:t>
      </w:r>
    </w:p>
    <w:p w:rsidR="001B49D6" w:rsidRPr="003B6CB1" w:rsidRDefault="008203C6" w:rsidP="00561349">
      <w:pPr>
        <w:pStyle w:val="ListParagraph"/>
        <w:numPr>
          <w:ilvl w:val="0"/>
          <w:numId w:val="3"/>
        </w:numPr>
        <w:spacing w:line="360" w:lineRule="auto"/>
        <w:jc w:val="both"/>
        <w:rPr>
          <w:b/>
          <w:color w:val="000000" w:themeColor="text1"/>
          <w:sz w:val="24"/>
          <w:szCs w:val="24"/>
          <w:lang w:val="en-GB"/>
        </w:rPr>
      </w:pPr>
      <w:r w:rsidRPr="003B6CB1">
        <w:rPr>
          <w:b/>
          <w:color w:val="000000" w:themeColor="text1"/>
          <w:sz w:val="24"/>
          <w:szCs w:val="24"/>
          <w:lang w:val="en-GB"/>
        </w:rPr>
        <w:t>Psychological</w:t>
      </w:r>
    </w:p>
    <w:p w:rsidR="00D1697C"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When an individual is diagnosed with hypertension, the psychological harmony of the patient becomes distorted. Constant thoughts of an uncertain future induce anxiety and depression in the individual already diagnosed with hypertension, which can accelerate the risk of complicated cardiovascular diseases (Hamam </w:t>
      </w:r>
      <w:r w:rsidR="00395AEB" w:rsidRPr="003B6CB1">
        <w:rPr>
          <w:color w:val="000000" w:themeColor="text1"/>
          <w:sz w:val="24"/>
          <w:szCs w:val="24"/>
          <w:lang w:val="en-GB"/>
        </w:rPr>
        <w:t>et al.</w:t>
      </w:r>
      <w:r w:rsidRPr="003B6CB1">
        <w:rPr>
          <w:color w:val="000000" w:themeColor="text1"/>
          <w:sz w:val="24"/>
          <w:szCs w:val="24"/>
          <w:lang w:val="en-GB"/>
        </w:rPr>
        <w:t xml:space="preserve">, 2020). This increases psychological stress for individuals. </w:t>
      </w:r>
    </w:p>
    <w:p w:rsidR="00D1697C" w:rsidRPr="003B6CB1" w:rsidRDefault="00D1697C" w:rsidP="00782B83">
      <w:pPr>
        <w:spacing w:line="360" w:lineRule="auto"/>
        <w:jc w:val="both"/>
        <w:rPr>
          <w:color w:val="000000" w:themeColor="text1"/>
          <w:sz w:val="24"/>
          <w:szCs w:val="24"/>
          <w:lang w:val="en-GB"/>
        </w:rPr>
      </w:pPr>
      <w:r w:rsidRPr="003B6CB1">
        <w:rPr>
          <w:noProof/>
          <w:color w:val="000000" w:themeColor="text1"/>
        </w:rPr>
        <w:lastRenderedPageBreak/>
        <w:drawing>
          <wp:inline distT="0" distB="0" distL="0" distR="0">
            <wp:extent cx="2959712" cy="2929467"/>
            <wp:effectExtent l="0" t="0" r="0" b="0"/>
            <wp:docPr id="11" name="Picture 11" descr="Impact of Antihypertensive Treatments on Psychological Elements and Quality  of Life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pact of Antihypertensive Treatments on Psychological Elements and Quality  of Life | Springer Nature Link"/>
                    <pic:cNvPicPr>
                      <a:picLocks noChangeAspect="1" noChangeArrowheads="1"/>
                    </pic:cNvPicPr>
                  </pic:nvPicPr>
                  <pic:blipFill>
                    <a:blip r:embed="rId13"/>
                    <a:srcRect/>
                    <a:stretch>
                      <a:fillRect/>
                    </a:stretch>
                  </pic:blipFill>
                  <pic:spPr bwMode="auto">
                    <a:xfrm>
                      <a:off x="0" y="0"/>
                      <a:ext cx="2968482" cy="2938147"/>
                    </a:xfrm>
                    <a:prstGeom prst="rect">
                      <a:avLst/>
                    </a:prstGeom>
                    <a:noFill/>
                    <a:ln w="9525">
                      <a:noFill/>
                      <a:miter lim="800000"/>
                      <a:headEnd/>
                      <a:tailEnd/>
                    </a:ln>
                  </pic:spPr>
                </pic:pic>
              </a:graphicData>
            </a:graphic>
          </wp:inline>
        </w:drawing>
      </w:r>
    </w:p>
    <w:p w:rsidR="00D1697C" w:rsidRPr="003B6CB1" w:rsidRDefault="00D1697C" w:rsidP="00D1697C">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5</w:t>
      </w:r>
      <w:r w:rsidRPr="003B6CB1">
        <w:rPr>
          <w:b/>
          <w:color w:val="000000" w:themeColor="text1"/>
          <w:sz w:val="24"/>
          <w:szCs w:val="24"/>
          <w:lang w:val="en-GB"/>
        </w:rPr>
        <w:t>: Psychological implication of hypertension</w:t>
      </w:r>
    </w:p>
    <w:p w:rsidR="00D1697C" w:rsidRPr="003B6CB1" w:rsidRDefault="00D1697C" w:rsidP="00D1697C">
      <w:pPr>
        <w:spacing w:line="360" w:lineRule="auto"/>
        <w:jc w:val="center"/>
        <w:rPr>
          <w:color w:val="000000" w:themeColor="text1"/>
          <w:sz w:val="24"/>
          <w:szCs w:val="24"/>
          <w:lang w:val="en-GB"/>
        </w:rPr>
      </w:pPr>
      <w:r w:rsidRPr="003B6CB1">
        <w:rPr>
          <w:color w:val="000000" w:themeColor="text1"/>
          <w:sz w:val="24"/>
          <w:szCs w:val="24"/>
          <w:lang w:val="en-GB"/>
        </w:rPr>
        <w:t>(Source: Hamam et al., 2020)</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However, sometimes a strict daily routine including control monitoring of blood pressure, lifestyle changes and medication puts a lot of pressure on the individual, causing anxiety and emotional strain. According to Kandasamy </w:t>
      </w:r>
      <w:r w:rsidR="00395AEB" w:rsidRPr="003B6CB1">
        <w:rPr>
          <w:color w:val="000000" w:themeColor="text1"/>
          <w:sz w:val="24"/>
          <w:szCs w:val="24"/>
          <w:lang w:val="en-GB"/>
        </w:rPr>
        <w:t>et al.</w:t>
      </w:r>
      <w:r w:rsidRPr="003B6CB1">
        <w:rPr>
          <w:color w:val="000000" w:themeColor="text1"/>
          <w:sz w:val="24"/>
          <w:szCs w:val="24"/>
          <w:lang w:val="en-GB"/>
        </w:rPr>
        <w:t xml:space="preserve"> (2025), 50% of individuals affected by the disease experienced anxiety and depression due to psychological distress. Thus, stress management is essential alongside the treatment of hypertension to facilitate better patient outcomes.</w:t>
      </w:r>
    </w:p>
    <w:p w:rsidR="001B49D6" w:rsidRPr="003B6CB1" w:rsidRDefault="008203C6" w:rsidP="00561349">
      <w:pPr>
        <w:pStyle w:val="ListParagraph"/>
        <w:numPr>
          <w:ilvl w:val="0"/>
          <w:numId w:val="3"/>
        </w:numPr>
        <w:spacing w:line="360" w:lineRule="auto"/>
        <w:jc w:val="both"/>
        <w:rPr>
          <w:b/>
          <w:color w:val="000000" w:themeColor="text1"/>
          <w:sz w:val="24"/>
          <w:szCs w:val="24"/>
          <w:lang w:val="en-GB"/>
        </w:rPr>
      </w:pPr>
      <w:r w:rsidRPr="003B6CB1">
        <w:rPr>
          <w:b/>
          <w:color w:val="000000" w:themeColor="text1"/>
          <w:sz w:val="24"/>
          <w:szCs w:val="24"/>
          <w:lang w:val="en-GB"/>
        </w:rPr>
        <w:t>Social</w:t>
      </w:r>
    </w:p>
    <w:p w:rsidR="00E44249"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Changes in personal lifestyle have implications for the external functioning of the individual, especially the social </w:t>
      </w:r>
      <w:r w:rsidRPr="003B6CB1">
        <w:rPr>
          <w:color w:val="000000" w:themeColor="text1"/>
          <w:sz w:val="24"/>
          <w:szCs w:val="24"/>
          <w:lang w:val="en-GB"/>
        </w:rPr>
        <w:t xml:space="preserve">lifestyle. As the patient has to follow a strict routine of medication, rest, exercise and diet, there is little room for socialising without restriction (Conklin and Guo, 2024). Hence, the chances are limited, and it alters the social life of the individual. These routine lifestyle changes bring health </w:t>
      </w:r>
      <w:proofErr w:type="gramStart"/>
      <w:r w:rsidRPr="003B6CB1">
        <w:rPr>
          <w:color w:val="000000" w:themeColor="text1"/>
          <w:sz w:val="24"/>
          <w:szCs w:val="24"/>
          <w:lang w:val="en-GB"/>
        </w:rPr>
        <w:t>benefits,</w:t>
      </w:r>
      <w:proofErr w:type="gramEnd"/>
      <w:r w:rsidRPr="003B6CB1">
        <w:rPr>
          <w:color w:val="000000" w:themeColor="text1"/>
          <w:sz w:val="24"/>
          <w:szCs w:val="24"/>
          <w:lang w:val="en-GB"/>
        </w:rPr>
        <w:t xml:space="preserve"> earlier social habits are distorted as individuals have to follow a strict routine. As hypertension reduces and restricts daily heavy-duty or productivity, individuals working in labour-intensive industries might find it difficult to perform their best according to employment standards, which affects employment relations and financial stability (Fuge </w:t>
      </w:r>
      <w:r w:rsidR="00395AEB" w:rsidRPr="003B6CB1">
        <w:rPr>
          <w:color w:val="000000" w:themeColor="text1"/>
          <w:sz w:val="24"/>
          <w:szCs w:val="24"/>
          <w:lang w:val="en-GB"/>
        </w:rPr>
        <w:t>et al.</w:t>
      </w:r>
      <w:r w:rsidRPr="003B6CB1">
        <w:rPr>
          <w:color w:val="000000" w:themeColor="text1"/>
          <w:sz w:val="24"/>
          <w:szCs w:val="24"/>
          <w:lang w:val="en-GB"/>
        </w:rPr>
        <w:t xml:space="preserve">, 2022). </w:t>
      </w:r>
    </w:p>
    <w:p w:rsidR="00E44249" w:rsidRPr="003B6CB1" w:rsidRDefault="00E44249" w:rsidP="00782B83">
      <w:pPr>
        <w:spacing w:line="360" w:lineRule="auto"/>
        <w:jc w:val="both"/>
        <w:rPr>
          <w:color w:val="000000" w:themeColor="text1"/>
          <w:sz w:val="24"/>
          <w:szCs w:val="24"/>
          <w:lang w:val="en-GB"/>
        </w:rPr>
      </w:pPr>
      <w:r w:rsidRPr="003B6CB1">
        <w:rPr>
          <w:noProof/>
          <w:color w:val="000000" w:themeColor="text1"/>
        </w:rPr>
        <w:drawing>
          <wp:inline distT="0" distB="0" distL="0" distR="0">
            <wp:extent cx="3369924" cy="2082800"/>
            <wp:effectExtent l="0" t="0" r="0" b="0"/>
            <wp:docPr id="14" name="Picture 14" descr="https://ehnheart.org/wp-content/uploads/2023/08/costs-898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ehnheart.org/wp-content/uploads/2023/08/costs-898x1024.jpg"/>
                    <pic:cNvPicPr>
                      <a:picLocks noChangeAspect="1" noChangeArrowheads="1"/>
                    </pic:cNvPicPr>
                  </pic:nvPicPr>
                  <pic:blipFill>
                    <a:blip r:embed="rId14" cstate="print"/>
                    <a:srcRect t="37195" b="8537"/>
                    <a:stretch>
                      <a:fillRect/>
                    </a:stretch>
                  </pic:blipFill>
                  <pic:spPr bwMode="auto">
                    <a:xfrm>
                      <a:off x="0" y="0"/>
                      <a:ext cx="3374784" cy="2085804"/>
                    </a:xfrm>
                    <a:prstGeom prst="rect">
                      <a:avLst/>
                    </a:prstGeom>
                    <a:noFill/>
                    <a:ln w="9525">
                      <a:noFill/>
                      <a:miter lim="800000"/>
                      <a:headEnd/>
                      <a:tailEnd/>
                    </a:ln>
                  </pic:spPr>
                </pic:pic>
              </a:graphicData>
            </a:graphic>
          </wp:inline>
        </w:drawing>
      </w:r>
    </w:p>
    <w:p w:rsidR="00E44249" w:rsidRPr="003B6CB1" w:rsidRDefault="00E44249" w:rsidP="00E44249">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6</w:t>
      </w:r>
      <w:r w:rsidRPr="003B6CB1">
        <w:rPr>
          <w:b/>
          <w:color w:val="000000" w:themeColor="text1"/>
          <w:sz w:val="24"/>
          <w:szCs w:val="24"/>
          <w:lang w:val="en-GB"/>
        </w:rPr>
        <w:t>: Cost of CVD in EU</w:t>
      </w:r>
    </w:p>
    <w:p w:rsidR="00E44249" w:rsidRPr="003B6CB1" w:rsidRDefault="00E44249" w:rsidP="00E44249">
      <w:pPr>
        <w:spacing w:line="360" w:lineRule="auto"/>
        <w:jc w:val="center"/>
        <w:rPr>
          <w:color w:val="000000" w:themeColor="text1"/>
          <w:sz w:val="24"/>
          <w:szCs w:val="24"/>
          <w:lang w:val="en-GB"/>
        </w:rPr>
      </w:pPr>
      <w:r w:rsidRPr="003B6CB1">
        <w:rPr>
          <w:color w:val="000000" w:themeColor="text1"/>
          <w:sz w:val="24"/>
          <w:szCs w:val="24"/>
          <w:lang w:val="en-GB"/>
        </w:rPr>
        <w:t>(Source: ESCARDIO, 2025)</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Besides, access to healthcare has become costly as in the European Union </w:t>
      </w:r>
      <w:r w:rsidR="00561349" w:rsidRPr="003B6CB1">
        <w:rPr>
          <w:color w:val="000000" w:themeColor="text1"/>
          <w:sz w:val="24"/>
          <w:szCs w:val="24"/>
          <w:lang w:val="en-GB"/>
        </w:rPr>
        <w:t>countries;</w:t>
      </w:r>
      <w:r w:rsidRPr="003B6CB1">
        <w:rPr>
          <w:color w:val="000000" w:themeColor="text1"/>
          <w:sz w:val="24"/>
          <w:szCs w:val="24"/>
          <w:lang w:val="en-GB"/>
        </w:rPr>
        <w:t xml:space="preserve"> the disease costs more than 210 euro billion </w:t>
      </w:r>
      <w:r w:rsidR="00561349" w:rsidRPr="003B6CB1">
        <w:rPr>
          <w:color w:val="000000" w:themeColor="text1"/>
          <w:sz w:val="24"/>
          <w:szCs w:val="24"/>
          <w:lang w:val="en-GB"/>
        </w:rPr>
        <w:t>Euros</w:t>
      </w:r>
      <w:r w:rsidRPr="003B6CB1">
        <w:rPr>
          <w:color w:val="000000" w:themeColor="text1"/>
          <w:sz w:val="24"/>
          <w:szCs w:val="24"/>
          <w:lang w:val="en-GB"/>
        </w:rPr>
        <w:t xml:space="preserve"> per year, which is </w:t>
      </w:r>
      <w:r w:rsidRPr="003B6CB1">
        <w:rPr>
          <w:color w:val="000000" w:themeColor="text1"/>
          <w:sz w:val="24"/>
          <w:szCs w:val="24"/>
          <w:lang w:val="en-GB"/>
        </w:rPr>
        <w:lastRenderedPageBreak/>
        <w:t>not only economically costly but also psychologically distressing for individuals affected by the disease (ESCARDIO, 2025). Therefore, with poor productivity due to lack of physical fitness and the impact of the disease and with a costly healthcare system, an individual might feel socially excluded, which further limits the ability to socialise with others and live happily without worrying about the present and future.</w:t>
      </w:r>
    </w:p>
    <w:p w:rsidR="001B49D6" w:rsidRPr="003B6CB1" w:rsidRDefault="008203C6" w:rsidP="008765EF">
      <w:pPr>
        <w:pStyle w:val="Heading2"/>
        <w:rPr>
          <w:color w:val="000000" w:themeColor="text1"/>
          <w:lang w:val="en-GB"/>
        </w:rPr>
      </w:pPr>
      <w:bookmarkStart w:id="14" w:name="_Toc223723737"/>
      <w:bookmarkStart w:id="15" w:name="_Toc224496014"/>
      <w:r w:rsidRPr="003B6CB1">
        <w:rPr>
          <w:color w:val="000000" w:themeColor="text1"/>
          <w:lang w:val="en-GB"/>
        </w:rPr>
        <w:t>1.2 Wider implications on families involved in care provision</w:t>
      </w:r>
      <w:bookmarkEnd w:id="14"/>
      <w:bookmarkEnd w:id="15"/>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Families associated with healthcare provision face wider implications of hypertension as they facilitate family members to pursue a healthy lifestyle by introducing modified behaviours. Gradually, a general knowledge about possible medication, the routine lifestyle and emotional support for each other enhances, and the patient is supported throughout, including blood pressure monitoring in familiar surroundings to assist in modification of daily lifestyle behaviour (Kramer </w:t>
      </w:r>
      <w:r w:rsidR="00395AEB" w:rsidRPr="003B6CB1">
        <w:rPr>
          <w:color w:val="000000" w:themeColor="text1"/>
          <w:sz w:val="24"/>
          <w:szCs w:val="24"/>
          <w:lang w:val="en-GB"/>
        </w:rPr>
        <w:t>et al.</w:t>
      </w:r>
      <w:r w:rsidRPr="003B6CB1">
        <w:rPr>
          <w:color w:val="000000" w:themeColor="text1"/>
          <w:sz w:val="24"/>
          <w:szCs w:val="24"/>
          <w:lang w:val="en-GB"/>
        </w:rPr>
        <w:t>, 2025).</w:t>
      </w:r>
    </w:p>
    <w:p w:rsidR="00CB1FB7" w:rsidRPr="003B6CB1" w:rsidRDefault="00CB1FB7" w:rsidP="00782B83">
      <w:pPr>
        <w:spacing w:line="360" w:lineRule="auto"/>
        <w:jc w:val="both"/>
        <w:rPr>
          <w:color w:val="000000" w:themeColor="text1"/>
          <w:sz w:val="24"/>
          <w:szCs w:val="24"/>
          <w:lang w:val="en-GB"/>
        </w:rPr>
      </w:pPr>
      <w:r w:rsidRPr="003B6CB1">
        <w:rPr>
          <w:noProof/>
          <w:color w:val="000000" w:themeColor="text1"/>
        </w:rPr>
        <w:drawing>
          <wp:inline distT="0" distB="0" distL="0" distR="0">
            <wp:extent cx="3352800" cy="3352800"/>
            <wp:effectExtent l="0" t="0" r="0" b="0"/>
            <wp:docPr id="17" name="Picture 17" descr="https://qa-supps-cms.med.hku.hk/api/assets/hku-support-plus/d8c34623-ba43-4af2-b6a4-89ca6bd9c874/3.png?version=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qa-supps-cms.med.hku.hk/api/assets/hku-support-plus/d8c34623-ba43-4af2-b6a4-89ca6bd9c874/3.png?version=0"/>
                    <pic:cNvPicPr>
                      <a:picLocks noChangeAspect="1" noChangeArrowheads="1"/>
                    </pic:cNvPicPr>
                  </pic:nvPicPr>
                  <pic:blipFill>
                    <a:blip r:embed="rId15" cstate="print"/>
                    <a:srcRect/>
                    <a:stretch>
                      <a:fillRect/>
                    </a:stretch>
                  </pic:blipFill>
                  <pic:spPr bwMode="auto">
                    <a:xfrm>
                      <a:off x="0" y="0"/>
                      <a:ext cx="3356588" cy="3356588"/>
                    </a:xfrm>
                    <a:prstGeom prst="rect">
                      <a:avLst/>
                    </a:prstGeom>
                    <a:noFill/>
                    <a:ln w="9525">
                      <a:noFill/>
                      <a:miter lim="800000"/>
                      <a:headEnd/>
                      <a:tailEnd/>
                    </a:ln>
                  </pic:spPr>
                </pic:pic>
              </a:graphicData>
            </a:graphic>
          </wp:inline>
        </w:drawing>
      </w:r>
    </w:p>
    <w:p w:rsidR="00CB1FB7" w:rsidRPr="003B6CB1" w:rsidRDefault="00CB1FB7" w:rsidP="00CB1FB7">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7</w:t>
      </w:r>
      <w:r w:rsidRPr="003B6CB1">
        <w:rPr>
          <w:b/>
          <w:color w:val="000000" w:themeColor="text1"/>
          <w:sz w:val="24"/>
          <w:szCs w:val="24"/>
          <w:lang w:val="en-GB"/>
        </w:rPr>
        <w:t>: caregiver stress</w:t>
      </w:r>
    </w:p>
    <w:p w:rsidR="00CB1FB7" w:rsidRPr="003B6CB1" w:rsidRDefault="00CB1FB7" w:rsidP="00CB1FB7">
      <w:pPr>
        <w:spacing w:line="360" w:lineRule="auto"/>
        <w:jc w:val="center"/>
        <w:rPr>
          <w:color w:val="000000" w:themeColor="text1"/>
          <w:sz w:val="24"/>
          <w:szCs w:val="24"/>
          <w:lang w:val="en-GB"/>
        </w:rPr>
      </w:pPr>
      <w:r w:rsidRPr="003B6CB1">
        <w:rPr>
          <w:color w:val="000000" w:themeColor="text1"/>
          <w:sz w:val="24"/>
          <w:szCs w:val="24"/>
          <w:lang w:val="en-GB"/>
        </w:rPr>
        <w:t>(Source: Kramer et al., 2025)</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Despite the positive aspects, the </w:t>
      </w:r>
      <w:r w:rsidR="00E6506B" w:rsidRPr="003B6CB1">
        <w:rPr>
          <w:color w:val="000000" w:themeColor="text1"/>
          <w:sz w:val="24"/>
          <w:szCs w:val="24"/>
          <w:lang w:val="en-GB"/>
        </w:rPr>
        <w:t>responsibilities of caregiving to the affected person itself are</w:t>
      </w:r>
      <w:r w:rsidRPr="003B6CB1">
        <w:rPr>
          <w:color w:val="000000" w:themeColor="text1"/>
          <w:sz w:val="24"/>
          <w:szCs w:val="24"/>
          <w:lang w:val="en-GB"/>
        </w:rPr>
        <w:t xml:space="preserve"> a practical and emotional burden on the provider, especially in a complicated situation such as heart failure and stroke. 1.3 million </w:t>
      </w:r>
      <w:r w:rsidR="00AA62CC" w:rsidRPr="003B6CB1">
        <w:rPr>
          <w:color w:val="000000" w:themeColor="text1"/>
          <w:sz w:val="24"/>
          <w:szCs w:val="24"/>
          <w:lang w:val="en-GB"/>
        </w:rPr>
        <w:t>People</w:t>
      </w:r>
      <w:r w:rsidRPr="003B6CB1">
        <w:rPr>
          <w:color w:val="000000" w:themeColor="text1"/>
          <w:sz w:val="24"/>
          <w:szCs w:val="24"/>
          <w:lang w:val="en-GB"/>
        </w:rPr>
        <w:t xml:space="preserve"> in the UK are living without diagnosis and treatment of hypertension (NHS, 2023). Eventually, the informal family caregiving is the direct care process for the affected individual that eventually causes financial and emotional strain to the family members.</w:t>
      </w:r>
    </w:p>
    <w:p w:rsidR="001B49D6" w:rsidRPr="003B6CB1" w:rsidRDefault="008203C6" w:rsidP="008765EF">
      <w:pPr>
        <w:pStyle w:val="Heading2"/>
        <w:rPr>
          <w:color w:val="000000" w:themeColor="text1"/>
          <w:lang w:val="en-GB"/>
        </w:rPr>
      </w:pPr>
      <w:bookmarkStart w:id="16" w:name="_Toc223723738"/>
      <w:bookmarkStart w:id="17" w:name="_Toc224496015"/>
      <w:r w:rsidRPr="003B6CB1">
        <w:rPr>
          <w:color w:val="000000" w:themeColor="text1"/>
          <w:lang w:val="en-GB"/>
        </w:rPr>
        <w:lastRenderedPageBreak/>
        <w:t>1.3 Evidence-based treatments in the UK</w:t>
      </w:r>
      <w:bookmarkEnd w:id="16"/>
      <w:bookmarkEnd w:id="17"/>
    </w:p>
    <w:p w:rsidR="00AA62CC"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The evidence-based practices in the UK for managing hypertension are managed by NICE as part of the primary care services of the NHS. </w:t>
      </w:r>
    </w:p>
    <w:p w:rsidR="00EE79F2" w:rsidRPr="003B6CB1" w:rsidRDefault="00EE79F2" w:rsidP="00782B83">
      <w:pPr>
        <w:spacing w:line="360" w:lineRule="auto"/>
        <w:jc w:val="both"/>
        <w:rPr>
          <w:color w:val="000000" w:themeColor="text1"/>
          <w:sz w:val="24"/>
          <w:szCs w:val="24"/>
          <w:lang w:val="en-GB"/>
        </w:rPr>
      </w:pPr>
    </w:p>
    <w:tbl>
      <w:tblPr>
        <w:tblW w:w="4938" w:type="dxa"/>
        <w:jc w:val="center"/>
        <w:tblBorders>
          <w:top w:val="nil"/>
          <w:left w:val="nil"/>
          <w:bottom w:val="nil"/>
          <w:right w:val="nil"/>
          <w:insideH w:val="nil"/>
          <w:insideV w:val="nil"/>
        </w:tblBorders>
        <w:tblLayout w:type="fixed"/>
        <w:tblLook w:val="0600" w:firstRow="0" w:lastRow="0" w:firstColumn="0" w:lastColumn="0" w:noHBand="1" w:noVBand="1"/>
      </w:tblPr>
      <w:tblGrid>
        <w:gridCol w:w="1111"/>
        <w:gridCol w:w="1985"/>
        <w:gridCol w:w="1842"/>
      </w:tblGrid>
      <w:tr w:rsidR="00782B83" w:rsidRPr="003B6CB1" w:rsidTr="003241E5">
        <w:trPr>
          <w:cantSplit/>
          <w:trHeight w:val="780"/>
          <w:tblHeader/>
          <w:jc w:val="cent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b/>
                <w:color w:val="000000" w:themeColor="text1"/>
                <w:sz w:val="24"/>
                <w:szCs w:val="24"/>
                <w:lang w:val="en-GB"/>
              </w:rPr>
            </w:pPr>
            <w:r w:rsidRPr="003B6CB1">
              <w:rPr>
                <w:b/>
                <w:color w:val="000000" w:themeColor="text1"/>
                <w:sz w:val="24"/>
                <w:szCs w:val="24"/>
                <w:lang w:val="en-GB"/>
              </w:rPr>
              <w:t>Treatment Approach</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b/>
                <w:color w:val="000000" w:themeColor="text1"/>
                <w:sz w:val="24"/>
                <w:szCs w:val="24"/>
                <w:lang w:val="en-GB"/>
              </w:rPr>
            </w:pPr>
            <w:r w:rsidRPr="003B6CB1">
              <w:rPr>
                <w:b/>
                <w:color w:val="000000" w:themeColor="text1"/>
                <w:sz w:val="24"/>
                <w:szCs w:val="24"/>
                <w:lang w:val="en-GB"/>
              </w:rPr>
              <w:t>Key Strategies / Examples</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b/>
                <w:color w:val="000000" w:themeColor="text1"/>
                <w:sz w:val="24"/>
                <w:szCs w:val="24"/>
                <w:lang w:val="en-GB"/>
              </w:rPr>
            </w:pPr>
            <w:r w:rsidRPr="003B6CB1">
              <w:rPr>
                <w:b/>
                <w:color w:val="000000" w:themeColor="text1"/>
                <w:sz w:val="24"/>
                <w:szCs w:val="24"/>
                <w:lang w:val="en-GB"/>
              </w:rPr>
              <w:t>Evidence of outcome</w:t>
            </w:r>
          </w:p>
        </w:tc>
      </w:tr>
      <w:tr w:rsidR="00782B83" w:rsidRPr="003B6CB1" w:rsidTr="003241E5">
        <w:trPr>
          <w:cantSplit/>
          <w:trHeight w:val="3156"/>
          <w:tblHeader/>
          <w:jc w:val="cent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Healthy lifestyle modifications</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Reducing sodium intake, alcohol consumption, zero tobacco consumption and daily free hand/physical exercises (Kulkarni et al., 2023)</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Reducing sodium intake lowers levels of blood pressure by 2.07 mm Hg and 4.26 mm Hg for diastolic and systolic pressures, respectively (Huang et al., 2020).</w:t>
            </w:r>
          </w:p>
        </w:tc>
      </w:tr>
      <w:tr w:rsidR="00782B83" w:rsidRPr="003B6CB1" w:rsidTr="003241E5">
        <w:trPr>
          <w:cantSplit/>
          <w:trHeight w:val="3489"/>
          <w:tblHeader/>
          <w:jc w:val="cent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Pharmacological treatment</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ACE inhibitors, surgery and drugs for calcium channel blockers, angiotensin receptor blockers (ARBs), thiazide-like diuretics (Sinnott et al., 2020)</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 xml:space="preserve">Smooth flow of fluid through relaxed vessels for reducing blood pressure (Ahmad et al., 2023). </w:t>
            </w:r>
          </w:p>
        </w:tc>
      </w:tr>
      <w:tr w:rsidR="00782B83" w:rsidRPr="003B6CB1" w:rsidTr="003241E5">
        <w:trPr>
          <w:cantSplit/>
          <w:trHeight w:val="2283"/>
          <w:tblHeader/>
          <w:jc w:val="center"/>
        </w:trPr>
        <w:tc>
          <w:tcPr>
            <w:tcW w:w="1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Blood Pressure Monitoring</w:t>
            </w:r>
          </w:p>
        </w:tc>
        <w:tc>
          <w:tcPr>
            <w:tcW w:w="1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Pressure-monitoring device for home application and ambulance for emergency purposes (Carey et al., 2021)</w:t>
            </w:r>
          </w:p>
        </w:tc>
        <w:tc>
          <w:tcPr>
            <w:tcW w:w="1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E79F2" w:rsidRPr="003B6CB1" w:rsidRDefault="00EE79F2" w:rsidP="00CF3F17">
            <w:pPr>
              <w:spacing w:line="240" w:lineRule="auto"/>
              <w:jc w:val="both"/>
              <w:rPr>
                <w:color w:val="000000" w:themeColor="text1"/>
                <w:sz w:val="24"/>
                <w:szCs w:val="24"/>
                <w:lang w:val="en-GB"/>
              </w:rPr>
            </w:pPr>
            <w:r w:rsidRPr="003B6CB1">
              <w:rPr>
                <w:color w:val="000000" w:themeColor="text1"/>
                <w:sz w:val="24"/>
                <w:szCs w:val="24"/>
                <w:lang w:val="en-GB"/>
              </w:rPr>
              <w:t>Improved accuracy of diagnosis, fostering sustained control of the condition (Chappell et al., 2022)</w:t>
            </w:r>
          </w:p>
        </w:tc>
      </w:tr>
    </w:tbl>
    <w:p w:rsidR="001B49D6" w:rsidRPr="003B6CB1" w:rsidRDefault="008203C6" w:rsidP="00CF3F17">
      <w:pPr>
        <w:spacing w:line="360" w:lineRule="auto"/>
        <w:jc w:val="center"/>
        <w:rPr>
          <w:b/>
          <w:color w:val="000000" w:themeColor="text1"/>
          <w:sz w:val="24"/>
          <w:szCs w:val="24"/>
          <w:lang w:val="en-GB"/>
        </w:rPr>
      </w:pPr>
      <w:r w:rsidRPr="003B6CB1">
        <w:rPr>
          <w:b/>
          <w:color w:val="000000" w:themeColor="text1"/>
          <w:sz w:val="24"/>
          <w:szCs w:val="24"/>
          <w:lang w:val="en-GB"/>
        </w:rPr>
        <w:t>Table 1: Evidence-based treatments for hypertension in the UK</w:t>
      </w:r>
    </w:p>
    <w:p w:rsidR="00AA62CC" w:rsidRPr="003B6CB1" w:rsidRDefault="00AA62CC" w:rsidP="00782B83">
      <w:pPr>
        <w:spacing w:line="360" w:lineRule="auto"/>
        <w:jc w:val="both"/>
        <w:rPr>
          <w:color w:val="000000" w:themeColor="text1"/>
          <w:sz w:val="24"/>
          <w:szCs w:val="24"/>
          <w:lang w:val="en-GB"/>
        </w:rPr>
      </w:pPr>
    </w:p>
    <w:p w:rsidR="009A5460" w:rsidRPr="003B6CB1" w:rsidRDefault="009A5460" w:rsidP="00DF7820">
      <w:pPr>
        <w:spacing w:line="360" w:lineRule="auto"/>
        <w:jc w:val="center"/>
        <w:rPr>
          <w:color w:val="000000" w:themeColor="text1"/>
          <w:sz w:val="24"/>
          <w:szCs w:val="24"/>
          <w:lang w:val="en-GB"/>
        </w:rPr>
      </w:pPr>
      <w:bookmarkStart w:id="18" w:name="_oy3nky2r5s13" w:colFirst="0" w:colLast="0"/>
      <w:bookmarkEnd w:id="18"/>
      <w:r w:rsidRPr="003B6CB1">
        <w:rPr>
          <w:color w:val="000000" w:themeColor="text1"/>
          <w:sz w:val="24"/>
          <w:szCs w:val="24"/>
          <w:lang w:val="en-GB"/>
        </w:rPr>
        <w:t>(Source: self-created)</w:t>
      </w:r>
    </w:p>
    <w:p w:rsidR="003241E5" w:rsidRDefault="003241E5">
      <w:pPr>
        <w:rPr>
          <w:color w:val="000000" w:themeColor="text1"/>
          <w:sz w:val="24"/>
          <w:szCs w:val="24"/>
          <w:lang w:val="en-GB"/>
        </w:rPr>
      </w:pPr>
      <w:r>
        <w:rPr>
          <w:color w:val="000000" w:themeColor="text1"/>
          <w:sz w:val="24"/>
          <w:szCs w:val="24"/>
          <w:lang w:val="en-GB"/>
        </w:rPr>
        <w:br w:type="page"/>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lastRenderedPageBreak/>
        <w:t xml:space="preserve">Lifestyle modification is the most significant treatment for hypertension patients aside from medication that effectively allows the individual to integrate healthy lifestyle changes over time. For example, a low salt diet significantly reduces blood pressure and the potential risk of severe cardiovascular disease in future (Huang </w:t>
      </w:r>
      <w:r w:rsidR="00395AEB" w:rsidRPr="003B6CB1">
        <w:rPr>
          <w:color w:val="000000" w:themeColor="text1"/>
          <w:sz w:val="24"/>
          <w:szCs w:val="24"/>
          <w:lang w:val="en-GB"/>
        </w:rPr>
        <w:t>et al.</w:t>
      </w:r>
      <w:r w:rsidRPr="003B6CB1">
        <w:rPr>
          <w:color w:val="000000" w:themeColor="text1"/>
          <w:sz w:val="24"/>
          <w:szCs w:val="24"/>
          <w:lang w:val="en-GB"/>
        </w:rPr>
        <w:t>, 2020).</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The most significant treatment is the pharmacological suggestion by healthcare professionals with prescribed medication according to the guidelines of the NHS, including ACE inhibitors. Besides, thiazide-like diuretics, angioplasty and surgery for calcium channel blockers are common treatments available in the UK. The combination of surgery and drugs releases blockers and relaxes the vessels for smooth flow of fluid, which in turn lowers the levels of blood pressure in an individual. Another effective treatment available in the UK is blood pressure monitoring at home and ambulance alongside surgery and medication, according to NICE guidelines (Jones </w:t>
      </w:r>
      <w:r w:rsidR="00395AEB" w:rsidRPr="003B6CB1">
        <w:rPr>
          <w:color w:val="000000" w:themeColor="text1"/>
          <w:sz w:val="24"/>
          <w:szCs w:val="24"/>
          <w:lang w:val="en-GB"/>
        </w:rPr>
        <w:t>et al.</w:t>
      </w:r>
      <w:r w:rsidRPr="003B6CB1">
        <w:rPr>
          <w:color w:val="000000" w:themeColor="text1"/>
          <w:sz w:val="24"/>
          <w:szCs w:val="24"/>
          <w:lang w:val="en-GB"/>
        </w:rPr>
        <w:t xml:space="preserve">, 2020). </w:t>
      </w:r>
    </w:p>
    <w:p w:rsidR="003241E5" w:rsidRDefault="003241E5">
      <w:pPr>
        <w:rPr>
          <w:b/>
          <w:color w:val="000000" w:themeColor="text1"/>
          <w:sz w:val="28"/>
          <w:szCs w:val="40"/>
          <w:lang w:val="en-GB"/>
        </w:rPr>
      </w:pPr>
      <w:bookmarkStart w:id="19" w:name="_Toc223723739"/>
      <w:bookmarkStart w:id="20" w:name="_Toc224496016"/>
      <w:r>
        <w:rPr>
          <w:color w:val="000000" w:themeColor="text1"/>
          <w:lang w:val="en-GB"/>
        </w:rPr>
        <w:br w:type="page"/>
      </w:r>
    </w:p>
    <w:p w:rsidR="001B49D6" w:rsidRPr="003B6CB1" w:rsidRDefault="008203C6" w:rsidP="008765EF">
      <w:pPr>
        <w:pStyle w:val="Heading1"/>
        <w:rPr>
          <w:color w:val="000000" w:themeColor="text1"/>
          <w:lang w:val="en-GB"/>
        </w:rPr>
      </w:pPr>
      <w:r w:rsidRPr="003B6CB1">
        <w:rPr>
          <w:color w:val="000000" w:themeColor="text1"/>
          <w:lang w:val="en-GB"/>
        </w:rPr>
        <w:lastRenderedPageBreak/>
        <w:t>2.0</w:t>
      </w:r>
      <w:r w:rsidR="00395AEB" w:rsidRPr="003B6CB1">
        <w:rPr>
          <w:color w:val="000000" w:themeColor="text1"/>
          <w:lang w:val="en-GB"/>
        </w:rPr>
        <w:t xml:space="preserve"> </w:t>
      </w:r>
      <w:r w:rsidRPr="003B6CB1">
        <w:rPr>
          <w:color w:val="000000" w:themeColor="text1"/>
          <w:lang w:val="en-GB"/>
        </w:rPr>
        <w:t>Theoretical perspectives for improved patient outcomes</w:t>
      </w:r>
      <w:bookmarkEnd w:id="19"/>
      <w:bookmarkEnd w:id="20"/>
    </w:p>
    <w:p w:rsidR="001B49D6" w:rsidRPr="003B6CB1" w:rsidRDefault="008203C6" w:rsidP="008765EF">
      <w:pPr>
        <w:pStyle w:val="Heading2"/>
        <w:rPr>
          <w:color w:val="000000" w:themeColor="text1"/>
          <w:lang w:val="en-GB"/>
        </w:rPr>
      </w:pPr>
      <w:bookmarkStart w:id="21" w:name="_Toc223723740"/>
      <w:bookmarkStart w:id="22" w:name="_Toc224496017"/>
      <w:r w:rsidRPr="003B6CB1">
        <w:rPr>
          <w:color w:val="000000" w:themeColor="text1"/>
          <w:lang w:val="en-GB"/>
        </w:rPr>
        <w:t>2.1 UK model: House of care model</w:t>
      </w:r>
      <w:bookmarkEnd w:id="21"/>
      <w:bookmarkEnd w:id="22"/>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In the UK, a commonly used theoretical framework for treating LTC in hypertension is the “house of care model”, facilitating healthcare professionals to foster positive patient outcomes through person-centred care (Hendry, 2020). NHS is responsible for developing the critical framework in collaboration with the year-of-care program. According to the model, to bring positive patient outcomes, the healthcare professionals and patients need to present a collaborative relationship. According to the framework, without continued clinical support, individuals affected with chronic health conditions, including hypertension, cannot manage health conditions effectively despite implementing evidence-based clinical interventions (Alliance Scotland, 2026).</w:t>
      </w:r>
    </w:p>
    <w:p w:rsidR="001B49D6" w:rsidRPr="003B6CB1" w:rsidRDefault="008203C6" w:rsidP="00DF7820">
      <w:pPr>
        <w:spacing w:line="360" w:lineRule="auto"/>
        <w:jc w:val="center"/>
        <w:rPr>
          <w:color w:val="000000" w:themeColor="text1"/>
          <w:sz w:val="24"/>
          <w:szCs w:val="24"/>
          <w:lang w:val="en-GB"/>
        </w:rPr>
      </w:pPr>
      <w:r w:rsidRPr="003B6CB1">
        <w:rPr>
          <w:noProof/>
          <w:color w:val="000000" w:themeColor="text1"/>
          <w:sz w:val="24"/>
          <w:szCs w:val="24"/>
        </w:rPr>
        <w:drawing>
          <wp:inline distT="114300" distB="114300" distL="114300" distR="114300">
            <wp:extent cx="3607435" cy="347133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l="8849" r="8481"/>
                    <a:stretch>
                      <a:fillRect/>
                    </a:stretch>
                  </pic:blipFill>
                  <pic:spPr>
                    <a:xfrm>
                      <a:off x="0" y="0"/>
                      <a:ext cx="3613504" cy="3477173"/>
                    </a:xfrm>
                    <a:prstGeom prst="rect">
                      <a:avLst/>
                    </a:prstGeom>
                    <a:ln/>
                  </pic:spPr>
                </pic:pic>
              </a:graphicData>
            </a:graphic>
          </wp:inline>
        </w:drawing>
      </w:r>
    </w:p>
    <w:p w:rsidR="001B49D6" w:rsidRPr="003B6CB1" w:rsidRDefault="008203C6" w:rsidP="00DF7820">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8</w:t>
      </w:r>
      <w:r w:rsidRPr="003B6CB1">
        <w:rPr>
          <w:b/>
          <w:color w:val="000000" w:themeColor="text1"/>
          <w:sz w:val="24"/>
          <w:szCs w:val="24"/>
          <w:lang w:val="en-GB"/>
        </w:rPr>
        <w:t>: House of Care model</w:t>
      </w:r>
    </w:p>
    <w:p w:rsidR="001B49D6" w:rsidRPr="003B6CB1" w:rsidRDefault="008203C6" w:rsidP="00DF7820">
      <w:pPr>
        <w:spacing w:line="360" w:lineRule="auto"/>
        <w:jc w:val="center"/>
        <w:rPr>
          <w:color w:val="000000" w:themeColor="text1"/>
          <w:sz w:val="24"/>
          <w:szCs w:val="24"/>
          <w:lang w:val="en-GB"/>
        </w:rPr>
      </w:pPr>
      <w:r w:rsidRPr="003B6CB1">
        <w:rPr>
          <w:color w:val="000000" w:themeColor="text1"/>
          <w:sz w:val="24"/>
          <w:szCs w:val="24"/>
          <w:lang w:val="en-GB"/>
        </w:rPr>
        <w:t>(Source: BHF, 2026)</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The figure represents a symbol of a house with four interrelated pillars or components. These areas are commitment of health and social care professionals for collaborative working, informing and engaging patients in the healthcare process, designing a friendly organisational infrastructure for facilitating coordinated care and developing a robust and collaborative commissioning structure (BHF, 2026). These four components revolve around the core of the model, collaborative care planning, ensuring active involvement of patients in the decision-making of healthcare management and treatment.</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lastRenderedPageBreak/>
        <w:t xml:space="preserve">In the context of managing hypertension-affected patients, the model emphasises empowering and educating patients about the condition, along with tutorials to monitor blood pressure levels without assistance and take part in collaborative decision-making for the best treatment suggestions (Lay-Flurrie </w:t>
      </w:r>
      <w:r w:rsidR="00395AEB" w:rsidRPr="003B6CB1">
        <w:rPr>
          <w:color w:val="000000" w:themeColor="text1"/>
          <w:sz w:val="24"/>
          <w:szCs w:val="24"/>
          <w:lang w:val="en-GB"/>
        </w:rPr>
        <w:t>et al.</w:t>
      </w:r>
      <w:r w:rsidRPr="003B6CB1">
        <w:rPr>
          <w:color w:val="000000" w:themeColor="text1"/>
          <w:sz w:val="24"/>
          <w:szCs w:val="24"/>
          <w:lang w:val="en-GB"/>
        </w:rPr>
        <w:t xml:space="preserve">, 2020. In this way, healthcare professionals are advised to follow effective and transparent communication with the patient regarding the condition and the treatment so that the necessary clinical medication process and modifications of lifestyle behaviour can be effortlessly integrated with the consent and knowledge of the patient. </w:t>
      </w:r>
    </w:p>
    <w:p w:rsidR="001B49D6" w:rsidRPr="003B6CB1" w:rsidRDefault="008203C6" w:rsidP="008765EF">
      <w:pPr>
        <w:pStyle w:val="Heading2"/>
        <w:rPr>
          <w:color w:val="000000" w:themeColor="text1"/>
          <w:lang w:val="en-GB"/>
        </w:rPr>
      </w:pPr>
      <w:bookmarkStart w:id="23" w:name="_Toc223723741"/>
      <w:bookmarkStart w:id="24" w:name="_Toc224496018"/>
      <w:r w:rsidRPr="003B6CB1">
        <w:rPr>
          <w:color w:val="000000" w:themeColor="text1"/>
          <w:lang w:val="en-GB"/>
        </w:rPr>
        <w:t>2.2 International model: Chronic Care Model (CCM)</w:t>
      </w:r>
      <w:bookmarkEnd w:id="23"/>
      <w:bookmarkEnd w:id="24"/>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 </w:t>
      </w:r>
      <w:r w:rsidRPr="003B6CB1">
        <w:rPr>
          <w:noProof/>
          <w:color w:val="000000" w:themeColor="text1"/>
          <w:sz w:val="24"/>
          <w:szCs w:val="24"/>
        </w:rPr>
        <w:drawing>
          <wp:inline distT="114300" distB="114300" distL="114300" distR="114300">
            <wp:extent cx="3132667" cy="3352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cstate="print"/>
                    <a:srcRect/>
                    <a:stretch>
                      <a:fillRect/>
                    </a:stretch>
                  </pic:blipFill>
                  <pic:spPr>
                    <a:xfrm>
                      <a:off x="0" y="0"/>
                      <a:ext cx="3142659" cy="3363494"/>
                    </a:xfrm>
                    <a:prstGeom prst="rect">
                      <a:avLst/>
                    </a:prstGeom>
                    <a:ln/>
                  </pic:spPr>
                </pic:pic>
              </a:graphicData>
            </a:graphic>
          </wp:inline>
        </w:drawing>
      </w:r>
    </w:p>
    <w:p w:rsidR="001B49D6" w:rsidRPr="003B6CB1" w:rsidRDefault="008203C6" w:rsidP="00DF7820">
      <w:pPr>
        <w:spacing w:line="360" w:lineRule="auto"/>
        <w:jc w:val="center"/>
        <w:rPr>
          <w:b/>
          <w:color w:val="000000" w:themeColor="text1"/>
          <w:sz w:val="24"/>
          <w:szCs w:val="24"/>
          <w:lang w:val="en-GB"/>
        </w:rPr>
      </w:pPr>
      <w:r w:rsidRPr="003B6CB1">
        <w:rPr>
          <w:b/>
          <w:color w:val="000000" w:themeColor="text1"/>
          <w:sz w:val="24"/>
          <w:szCs w:val="24"/>
          <w:lang w:val="en-GB"/>
        </w:rPr>
        <w:t xml:space="preserve">Figure </w:t>
      </w:r>
      <w:r w:rsidR="0001215B" w:rsidRPr="003B6CB1">
        <w:rPr>
          <w:b/>
          <w:color w:val="000000" w:themeColor="text1"/>
          <w:sz w:val="24"/>
          <w:szCs w:val="24"/>
          <w:lang w:val="en-GB"/>
        </w:rPr>
        <w:t>9</w:t>
      </w:r>
      <w:r w:rsidRPr="003B6CB1">
        <w:rPr>
          <w:b/>
          <w:color w:val="000000" w:themeColor="text1"/>
          <w:sz w:val="24"/>
          <w:szCs w:val="24"/>
          <w:lang w:val="en-GB"/>
        </w:rPr>
        <w:t>: CCM</w:t>
      </w:r>
    </w:p>
    <w:p w:rsidR="001B49D6" w:rsidRPr="003B6CB1" w:rsidRDefault="008203C6" w:rsidP="00DF7820">
      <w:pPr>
        <w:spacing w:line="360" w:lineRule="auto"/>
        <w:jc w:val="center"/>
        <w:rPr>
          <w:color w:val="000000" w:themeColor="text1"/>
          <w:sz w:val="24"/>
          <w:szCs w:val="24"/>
          <w:lang w:val="en-GB"/>
        </w:rPr>
      </w:pPr>
      <w:r w:rsidRPr="003B6CB1">
        <w:rPr>
          <w:color w:val="000000" w:themeColor="text1"/>
          <w:sz w:val="24"/>
          <w:szCs w:val="24"/>
          <w:lang w:val="en-GB"/>
        </w:rPr>
        <w:t xml:space="preserve">(Source: </w:t>
      </w:r>
      <w:proofErr w:type="spellStart"/>
      <w:r w:rsidRPr="003B6CB1">
        <w:rPr>
          <w:color w:val="000000" w:themeColor="text1"/>
          <w:sz w:val="24"/>
          <w:szCs w:val="24"/>
          <w:lang w:val="en-GB"/>
        </w:rPr>
        <w:t>Grudniewicz</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2023)</w:t>
      </w:r>
    </w:p>
    <w:p w:rsidR="009E0E2D"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CCM is a globally acknowledged theoretical framework for improved patient outcomes, designed by Wagner and teammates in the United States. According to the model, instead of impulsive and reactive treatment for severe health conditions and symptoms, a proactive approach is essential to facilitate better patient outcomes and consistent healthcare management through organised resources and systems (</w:t>
      </w:r>
      <w:proofErr w:type="spellStart"/>
      <w:r w:rsidRPr="003B6CB1">
        <w:rPr>
          <w:color w:val="000000" w:themeColor="text1"/>
          <w:sz w:val="24"/>
          <w:szCs w:val="24"/>
          <w:lang w:val="en-GB"/>
        </w:rPr>
        <w:t>Grudniewicz</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xml:space="preserve">, 2023). The significant components of the model are </w:t>
      </w:r>
      <w:r w:rsidRPr="003B6CB1">
        <w:rPr>
          <w:color w:val="000000" w:themeColor="text1"/>
          <w:sz w:val="24"/>
          <w:szCs w:val="24"/>
          <w:lang w:val="en-GB"/>
        </w:rPr>
        <w:lastRenderedPageBreak/>
        <w:t>designed to retain healthcare benefits of the LTC through the design of system delivery, self-management support, decision-making support, community resources, clinical information system and healthcare settings. Collectively, these components facilitate transparent and informative communication between trained healthcare professionals and patients. Applying the model in the hypertension context suggests healthcare professionals incorporate routine monitoring of blood pressure level, patient-centred knowledge and education facilities and coordinated care between specialist professionals and primary care givers (</w:t>
      </w:r>
      <w:proofErr w:type="spellStart"/>
      <w:r w:rsidRPr="003B6CB1">
        <w:rPr>
          <w:color w:val="000000" w:themeColor="text1"/>
          <w:sz w:val="24"/>
          <w:szCs w:val="24"/>
          <w:lang w:val="en-GB"/>
        </w:rPr>
        <w:t>Towfighi</w:t>
      </w:r>
      <w:proofErr w:type="spellEnd"/>
      <w:r w:rsidRPr="003B6CB1">
        <w:rPr>
          <w:color w:val="000000" w:themeColor="text1"/>
          <w:sz w:val="24"/>
          <w:szCs w:val="24"/>
          <w:lang w:val="en-GB"/>
        </w:rPr>
        <w:t xml:space="preserve"> </w:t>
      </w:r>
      <w:r w:rsidR="00395AEB" w:rsidRPr="003B6CB1">
        <w:rPr>
          <w:color w:val="000000" w:themeColor="text1"/>
          <w:sz w:val="24"/>
          <w:szCs w:val="24"/>
          <w:lang w:val="en-GB"/>
        </w:rPr>
        <w:t>et al.</w:t>
      </w:r>
      <w:r w:rsidRPr="003B6CB1">
        <w:rPr>
          <w:color w:val="000000" w:themeColor="text1"/>
          <w:sz w:val="24"/>
          <w:szCs w:val="24"/>
          <w:lang w:val="en-GB"/>
        </w:rPr>
        <w:t xml:space="preserve">, 2021). In this way, CCM interventions can be implemented for improving patient outcomes with effective patient engagement in the process, which leads to lower blood pressure levels among them. </w:t>
      </w:r>
      <w:bookmarkStart w:id="25" w:name="_Toc223723742"/>
    </w:p>
    <w:p w:rsidR="002D046A" w:rsidRDefault="002D046A">
      <w:pPr>
        <w:rPr>
          <w:b/>
          <w:color w:val="000000" w:themeColor="text1"/>
          <w:sz w:val="28"/>
          <w:szCs w:val="40"/>
          <w:lang w:val="en-GB"/>
        </w:rPr>
      </w:pPr>
      <w:bookmarkStart w:id="26" w:name="_Toc224496019"/>
      <w:r>
        <w:rPr>
          <w:color w:val="000000" w:themeColor="text1"/>
          <w:lang w:val="en-GB"/>
        </w:rPr>
        <w:br w:type="page"/>
      </w:r>
    </w:p>
    <w:p w:rsidR="001B49D6" w:rsidRPr="003B6CB1" w:rsidRDefault="008203C6" w:rsidP="008765EF">
      <w:pPr>
        <w:pStyle w:val="Heading1"/>
        <w:rPr>
          <w:color w:val="000000" w:themeColor="text1"/>
          <w:lang w:val="en-GB"/>
        </w:rPr>
      </w:pPr>
      <w:r w:rsidRPr="003B6CB1">
        <w:rPr>
          <w:color w:val="000000" w:themeColor="text1"/>
          <w:lang w:val="en-GB"/>
        </w:rPr>
        <w:lastRenderedPageBreak/>
        <w:t>3.0 Implementation of local and national political health and social care agendas for hypertension</w:t>
      </w:r>
      <w:bookmarkEnd w:id="25"/>
      <w:bookmarkEnd w:id="26"/>
    </w:p>
    <w:p w:rsidR="001B49D6" w:rsidRPr="003B6CB1" w:rsidRDefault="008203C6" w:rsidP="008765EF">
      <w:pPr>
        <w:pStyle w:val="Heading2"/>
        <w:rPr>
          <w:color w:val="000000" w:themeColor="text1"/>
          <w:lang w:val="en-GB"/>
        </w:rPr>
      </w:pPr>
      <w:bookmarkStart w:id="27" w:name="_Toc223723743"/>
      <w:bookmarkStart w:id="28" w:name="_Toc224496020"/>
      <w:r w:rsidRPr="003B6CB1">
        <w:rPr>
          <w:color w:val="000000" w:themeColor="text1"/>
          <w:lang w:val="en-GB"/>
        </w:rPr>
        <w:t>3.1 National health and social care agenda: NHS long-term plan</w:t>
      </w:r>
      <w:bookmarkEnd w:id="27"/>
      <w:bookmarkEnd w:id="28"/>
    </w:p>
    <w:p w:rsidR="00B31C92"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A significant national political health and social care agenda for the chosen LTC is the NHS long-term plan, developed in 2019. This plan targets cardiovascular disease as a significant chronic illness and included in their prevention program, as hypertension is acknowledged to increase the risk of heart attack and stroke, causing the maximum number of deaths in the UK (NHS, 2026a). </w:t>
      </w:r>
    </w:p>
    <w:p w:rsidR="00B31C92"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The plan is dedicated to diagnosing, detecting, and treating the chronic disease at an early stage by controlling the level of high blood pressure through primary care services. Besides, nationwide healthcare screening initiatives, and </w:t>
      </w:r>
      <w:proofErr w:type="gramStart"/>
      <w:r w:rsidRPr="003B6CB1">
        <w:rPr>
          <w:color w:val="000000" w:themeColor="text1"/>
          <w:sz w:val="24"/>
          <w:szCs w:val="24"/>
          <w:lang w:val="en-GB"/>
        </w:rPr>
        <w:t>community based</w:t>
      </w:r>
      <w:proofErr w:type="gramEnd"/>
      <w:r w:rsidRPr="003B6CB1">
        <w:rPr>
          <w:color w:val="000000" w:themeColor="text1"/>
          <w:sz w:val="24"/>
          <w:szCs w:val="24"/>
          <w:lang w:val="en-GB"/>
        </w:rPr>
        <w:t xml:space="preserve"> health camps, and pharmacies aid this program, commonly known as the “NHS health check program” (Tanner </w:t>
      </w:r>
      <w:r w:rsidR="00395AEB" w:rsidRPr="003B6CB1">
        <w:rPr>
          <w:color w:val="000000" w:themeColor="text1"/>
          <w:sz w:val="24"/>
          <w:szCs w:val="24"/>
          <w:lang w:val="en-GB"/>
        </w:rPr>
        <w:t>et al.</w:t>
      </w:r>
      <w:r w:rsidRPr="003B6CB1">
        <w:rPr>
          <w:color w:val="000000" w:themeColor="text1"/>
          <w:sz w:val="24"/>
          <w:szCs w:val="24"/>
          <w:lang w:val="en-GB"/>
        </w:rPr>
        <w:t xml:space="preserve">, 2022). In this way, the plan is designed to adopt a proactive healthcare </w:t>
      </w:r>
      <w:r w:rsidRPr="003B6CB1">
        <w:rPr>
          <w:color w:val="000000" w:themeColor="text1"/>
          <w:sz w:val="24"/>
          <w:szCs w:val="24"/>
          <w:lang w:val="en-GB"/>
        </w:rPr>
        <w:t xml:space="preserve">response for patients affected by the disease by incorporating lifestyle modification facilities and prescribed medication as a packaged management service. </w:t>
      </w:r>
    </w:p>
    <w:p w:rsidR="00B31C92" w:rsidRPr="003B6CB1" w:rsidRDefault="00B31C92" w:rsidP="00B31C92">
      <w:pPr>
        <w:spacing w:line="360" w:lineRule="auto"/>
        <w:jc w:val="center"/>
        <w:rPr>
          <w:color w:val="000000" w:themeColor="text1"/>
          <w:sz w:val="24"/>
          <w:szCs w:val="24"/>
          <w:lang w:val="en-GB"/>
        </w:rPr>
      </w:pPr>
      <w:r w:rsidRPr="003B6CB1">
        <w:rPr>
          <w:noProof/>
          <w:color w:val="000000" w:themeColor="text1"/>
        </w:rPr>
        <w:drawing>
          <wp:inline distT="0" distB="0" distL="0" distR="0">
            <wp:extent cx="2143125" cy="2143125"/>
            <wp:effectExtent l="19050" t="0" r="9525" b="0"/>
            <wp:docPr id="20" name="Picture 20" descr="Working with Londoners to make health services b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orking with Londoners to make health services better"/>
                    <pic:cNvPicPr>
                      <a:picLocks noChangeAspect="1" noChangeArrowheads="1"/>
                    </pic:cNvPicPr>
                  </pic:nvPicPr>
                  <pic:blipFill>
                    <a:blip r:embed="rId18"/>
                    <a:srcRect/>
                    <a:stretch>
                      <a:fillRect/>
                    </a:stretch>
                  </pic:blipFill>
                  <pic:spPr bwMode="auto">
                    <a:xfrm>
                      <a:off x="0" y="0"/>
                      <a:ext cx="2143125" cy="2143125"/>
                    </a:xfrm>
                    <a:prstGeom prst="rect">
                      <a:avLst/>
                    </a:prstGeom>
                    <a:noFill/>
                    <a:ln w="9525">
                      <a:noFill/>
                      <a:miter lim="800000"/>
                      <a:headEnd/>
                      <a:tailEnd/>
                    </a:ln>
                  </pic:spPr>
                </pic:pic>
              </a:graphicData>
            </a:graphic>
          </wp:inline>
        </w:drawing>
      </w:r>
    </w:p>
    <w:p w:rsidR="00B31C92" w:rsidRPr="003B6CB1" w:rsidRDefault="00B31C92" w:rsidP="00B31C92">
      <w:pPr>
        <w:spacing w:line="360" w:lineRule="auto"/>
        <w:jc w:val="center"/>
        <w:rPr>
          <w:b/>
          <w:color w:val="000000" w:themeColor="text1"/>
          <w:sz w:val="24"/>
          <w:szCs w:val="24"/>
          <w:lang w:val="en-GB"/>
        </w:rPr>
      </w:pPr>
      <w:r w:rsidRPr="003B6CB1">
        <w:rPr>
          <w:b/>
          <w:color w:val="000000" w:themeColor="text1"/>
          <w:sz w:val="24"/>
          <w:szCs w:val="24"/>
          <w:lang w:val="en-GB"/>
        </w:rPr>
        <w:t>Figure 10: NHS long-term plan 2029</w:t>
      </w:r>
    </w:p>
    <w:p w:rsidR="00B31C92" w:rsidRPr="003B6CB1" w:rsidRDefault="00B31C92" w:rsidP="00B31C92">
      <w:pPr>
        <w:spacing w:line="360" w:lineRule="auto"/>
        <w:jc w:val="center"/>
        <w:rPr>
          <w:color w:val="000000" w:themeColor="text1"/>
          <w:sz w:val="24"/>
          <w:szCs w:val="24"/>
          <w:lang w:val="en-GB"/>
        </w:rPr>
      </w:pPr>
      <w:r w:rsidRPr="003B6CB1">
        <w:rPr>
          <w:color w:val="000000" w:themeColor="text1"/>
          <w:sz w:val="24"/>
          <w:szCs w:val="24"/>
          <w:lang w:val="en-GB"/>
        </w:rPr>
        <w:t>(Source: NHS, 2026b)</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This plan is designed to achieve the goal of preventing nearly 150,000 strokes, heart attack and dementia by 2029 with controlled measures for the LTC and further cardiovascular diseases (NHS, 2026b). In this way, the plan is designed to implement the processes at the early stage to prevent the disease and implement correct treatments along the way so that hospital admissions can be reduced, the cost can be managed, and patient outcomes can be achieved simultaneously for the disease.</w:t>
      </w:r>
    </w:p>
    <w:p w:rsidR="001B49D6" w:rsidRPr="003B6CB1" w:rsidRDefault="008203C6" w:rsidP="008765EF">
      <w:pPr>
        <w:pStyle w:val="Heading2"/>
        <w:rPr>
          <w:color w:val="000000" w:themeColor="text1"/>
          <w:lang w:val="en-GB"/>
        </w:rPr>
      </w:pPr>
      <w:bookmarkStart w:id="29" w:name="_Toc223723744"/>
      <w:bookmarkStart w:id="30" w:name="_Toc224496021"/>
      <w:r w:rsidRPr="003B6CB1">
        <w:rPr>
          <w:color w:val="000000" w:themeColor="text1"/>
          <w:lang w:val="en-GB"/>
        </w:rPr>
        <w:lastRenderedPageBreak/>
        <w:t>3.2 National healthcare and clinical guidance: NICE guidelines</w:t>
      </w:r>
      <w:bookmarkEnd w:id="29"/>
      <w:bookmarkEnd w:id="30"/>
    </w:p>
    <w:p w:rsidR="004C72E0" w:rsidRPr="003B6CB1" w:rsidRDefault="008203C6" w:rsidP="00C97B12">
      <w:pPr>
        <w:spacing w:line="360" w:lineRule="auto"/>
        <w:jc w:val="both"/>
        <w:rPr>
          <w:color w:val="000000" w:themeColor="text1"/>
          <w:sz w:val="24"/>
          <w:szCs w:val="24"/>
          <w:lang w:val="en-GB"/>
        </w:rPr>
      </w:pPr>
      <w:r w:rsidRPr="003B6CB1">
        <w:rPr>
          <w:color w:val="000000" w:themeColor="text1"/>
          <w:sz w:val="24"/>
          <w:szCs w:val="24"/>
          <w:lang w:val="en-GB"/>
        </w:rPr>
        <w:t xml:space="preserve">NICE offers specified clinical guidance for chosen healthcare diseases, including </w:t>
      </w:r>
      <w:r w:rsidR="00E6506B" w:rsidRPr="003B6CB1">
        <w:rPr>
          <w:color w:val="000000" w:themeColor="text1"/>
          <w:sz w:val="24"/>
          <w:szCs w:val="24"/>
          <w:lang w:val="en-GB"/>
        </w:rPr>
        <w:t>hypertension that</w:t>
      </w:r>
      <w:r w:rsidRPr="003B6CB1">
        <w:rPr>
          <w:color w:val="000000" w:themeColor="text1"/>
          <w:sz w:val="24"/>
          <w:szCs w:val="24"/>
          <w:lang w:val="en-GB"/>
        </w:rPr>
        <w:t xml:space="preserve"> supports early diagnosis and treatment facilities within the NHS network. NG 136 is the specific NICE guideline for diagnosing, evaluating and treating hypertension among adults by offering evidence-based recommendations (NICE, 2025). </w:t>
      </w:r>
      <w:r w:rsidR="004C72E0" w:rsidRPr="003B6CB1">
        <w:rPr>
          <w:color w:val="000000" w:themeColor="text1"/>
          <w:sz w:val="24"/>
          <w:szCs w:val="24"/>
          <w:lang w:val="en-GB"/>
        </w:rPr>
        <w:br/>
      </w:r>
      <w:r w:rsidR="00AA3AD1" w:rsidRPr="003B6CB1">
        <w:rPr>
          <w:noProof/>
          <w:color w:val="000000" w:themeColor="text1"/>
        </w:rPr>
        <w:drawing>
          <wp:inline distT="0" distB="0" distL="0" distR="0">
            <wp:extent cx="2743200" cy="1292047"/>
            <wp:effectExtent l="19050" t="0" r="0" b="0"/>
            <wp:docPr id="26" name="Picture 26" descr="Ambulatory Blood Pressure Monitoring:are we getting it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mbulatory Blood Pressure Monitoring:are we getting it right?"/>
                    <pic:cNvPicPr>
                      <a:picLocks noChangeAspect="1" noChangeArrowheads="1"/>
                    </pic:cNvPicPr>
                  </pic:nvPicPr>
                  <pic:blipFill>
                    <a:blip r:embed="rId19"/>
                    <a:srcRect/>
                    <a:stretch>
                      <a:fillRect/>
                    </a:stretch>
                  </pic:blipFill>
                  <pic:spPr bwMode="auto">
                    <a:xfrm>
                      <a:off x="0" y="0"/>
                      <a:ext cx="2743200" cy="1292047"/>
                    </a:xfrm>
                    <a:prstGeom prst="rect">
                      <a:avLst/>
                    </a:prstGeom>
                    <a:noFill/>
                    <a:ln w="9525">
                      <a:noFill/>
                      <a:miter lim="800000"/>
                      <a:headEnd/>
                      <a:tailEnd/>
                    </a:ln>
                  </pic:spPr>
                </pic:pic>
              </a:graphicData>
            </a:graphic>
          </wp:inline>
        </w:drawing>
      </w:r>
    </w:p>
    <w:p w:rsidR="00AA3AD1" w:rsidRPr="003B6CB1" w:rsidRDefault="00AA3AD1" w:rsidP="00AA3AD1">
      <w:pPr>
        <w:spacing w:line="360" w:lineRule="auto"/>
        <w:jc w:val="center"/>
        <w:rPr>
          <w:b/>
          <w:color w:val="000000" w:themeColor="text1"/>
          <w:sz w:val="24"/>
          <w:szCs w:val="24"/>
          <w:lang w:val="en-GB"/>
        </w:rPr>
      </w:pPr>
      <w:r w:rsidRPr="003B6CB1">
        <w:rPr>
          <w:b/>
          <w:color w:val="000000" w:themeColor="text1"/>
          <w:sz w:val="24"/>
          <w:szCs w:val="24"/>
          <w:lang w:val="en-GB"/>
        </w:rPr>
        <w:t>Figure 11: NICE guideline</w:t>
      </w:r>
    </w:p>
    <w:p w:rsidR="00AA3AD1" w:rsidRPr="003B6CB1" w:rsidRDefault="00AA3AD1" w:rsidP="00AA3AD1">
      <w:pPr>
        <w:spacing w:line="360" w:lineRule="auto"/>
        <w:jc w:val="center"/>
        <w:rPr>
          <w:color w:val="000000" w:themeColor="text1"/>
          <w:sz w:val="24"/>
          <w:szCs w:val="24"/>
          <w:lang w:val="en-GB"/>
        </w:rPr>
      </w:pPr>
      <w:r w:rsidRPr="003B6CB1">
        <w:rPr>
          <w:color w:val="000000" w:themeColor="text1"/>
          <w:sz w:val="24"/>
          <w:szCs w:val="24"/>
          <w:lang w:val="en-GB"/>
        </w:rPr>
        <w:t>(Source: NICE, 2025)</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The recommended guideline is to monitor the level of blood pressure at home or in an ambulance for confirmed detection of the disease with accurate results. Besides, a phased pharmacological treatment on the way is essential to treat the disease, initiated with modifications in lifestyle behaviours and prescribed medications to clear channel blockers for calcium by inducing ACE inhibitors (Sinnott et ala., 2020). These guidelines create a structured framework for managing hypertension </w:t>
      </w:r>
      <w:r w:rsidRPr="003B6CB1">
        <w:rPr>
          <w:color w:val="000000" w:themeColor="text1"/>
          <w:sz w:val="24"/>
          <w:szCs w:val="24"/>
          <w:lang w:val="en-GB"/>
        </w:rPr>
        <w:t>within the public health care facilities of the UK.</w:t>
      </w:r>
    </w:p>
    <w:p w:rsidR="001B49D6" w:rsidRPr="003B6CB1" w:rsidRDefault="008203C6" w:rsidP="008765EF">
      <w:pPr>
        <w:pStyle w:val="Heading2"/>
        <w:rPr>
          <w:color w:val="000000" w:themeColor="text1"/>
          <w:lang w:val="en-GB"/>
        </w:rPr>
      </w:pPr>
      <w:bookmarkStart w:id="31" w:name="_Toc223723745"/>
      <w:bookmarkStart w:id="32" w:name="_Toc224496022"/>
      <w:r w:rsidRPr="003B6CB1">
        <w:rPr>
          <w:color w:val="000000" w:themeColor="text1"/>
          <w:lang w:val="en-GB"/>
        </w:rPr>
        <w:t>3.3 Local agenda: Integrated Care Systems (ICE)</w:t>
      </w:r>
      <w:bookmarkEnd w:id="31"/>
      <w:bookmarkEnd w:id="32"/>
    </w:p>
    <w:p w:rsidR="00C97B12" w:rsidRPr="003B6CB1" w:rsidRDefault="00C97B12" w:rsidP="00C97B12">
      <w:pPr>
        <w:spacing w:line="360" w:lineRule="auto"/>
        <w:jc w:val="center"/>
        <w:rPr>
          <w:color w:val="000000" w:themeColor="text1"/>
          <w:sz w:val="24"/>
          <w:szCs w:val="24"/>
          <w:lang w:val="en-GB"/>
        </w:rPr>
      </w:pPr>
      <w:r w:rsidRPr="003B6CB1">
        <w:rPr>
          <w:noProof/>
          <w:color w:val="000000" w:themeColor="text1"/>
          <w:sz w:val="24"/>
          <w:szCs w:val="24"/>
        </w:rPr>
        <w:drawing>
          <wp:inline distT="0" distB="0" distL="0" distR="0">
            <wp:extent cx="2743200" cy="3271234"/>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srcRect/>
                    <a:stretch>
                      <a:fillRect/>
                    </a:stretch>
                  </pic:blipFill>
                  <pic:spPr bwMode="auto">
                    <a:xfrm>
                      <a:off x="0" y="0"/>
                      <a:ext cx="2743200" cy="3271234"/>
                    </a:xfrm>
                    <a:prstGeom prst="rect">
                      <a:avLst/>
                    </a:prstGeom>
                    <a:noFill/>
                    <a:ln w="9525">
                      <a:noFill/>
                      <a:miter lim="800000"/>
                      <a:headEnd/>
                      <a:tailEnd/>
                    </a:ln>
                  </pic:spPr>
                </pic:pic>
              </a:graphicData>
            </a:graphic>
          </wp:inline>
        </w:drawing>
      </w:r>
    </w:p>
    <w:p w:rsidR="00C97B12" w:rsidRPr="003B6CB1" w:rsidRDefault="00C97B12" w:rsidP="00C97B12">
      <w:pPr>
        <w:spacing w:line="360" w:lineRule="auto"/>
        <w:jc w:val="center"/>
        <w:rPr>
          <w:b/>
          <w:color w:val="000000" w:themeColor="text1"/>
          <w:sz w:val="24"/>
          <w:szCs w:val="24"/>
          <w:lang w:val="en-GB"/>
        </w:rPr>
      </w:pPr>
      <w:r w:rsidRPr="003B6CB1">
        <w:rPr>
          <w:b/>
          <w:color w:val="000000" w:themeColor="text1"/>
          <w:sz w:val="24"/>
          <w:szCs w:val="24"/>
          <w:lang w:val="en-GB"/>
        </w:rPr>
        <w:t>Figure 12: ICE in UK</w:t>
      </w:r>
    </w:p>
    <w:p w:rsidR="00C97B12" w:rsidRPr="003B6CB1" w:rsidRDefault="00C97B12" w:rsidP="00C97B12">
      <w:pPr>
        <w:spacing w:line="360" w:lineRule="auto"/>
        <w:jc w:val="center"/>
        <w:rPr>
          <w:color w:val="000000" w:themeColor="text1"/>
          <w:sz w:val="24"/>
          <w:szCs w:val="24"/>
          <w:lang w:val="en-GB"/>
        </w:rPr>
      </w:pPr>
      <w:r w:rsidRPr="003B6CB1">
        <w:rPr>
          <w:color w:val="000000" w:themeColor="text1"/>
          <w:sz w:val="24"/>
          <w:szCs w:val="24"/>
          <w:lang w:val="en-GB"/>
        </w:rPr>
        <w:t>(Source: Ling et al., 2025)</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ICE is a significant contribution to the national social care agenda dedicated to serving in geographic regions of the UK. This agenda is designed to implement national policies on a local level to offer better management of hypertension. This proactive approach was designed and established in 2022 across England for developing a coordinated healthcare facility between NHS network providers and local communities for addressing </w:t>
      </w:r>
      <w:r w:rsidRPr="003B6CB1">
        <w:rPr>
          <w:color w:val="000000" w:themeColor="text1"/>
          <w:sz w:val="24"/>
          <w:szCs w:val="24"/>
          <w:lang w:val="en-GB"/>
        </w:rPr>
        <w:lastRenderedPageBreak/>
        <w:t xml:space="preserve">public health concerns (Ling </w:t>
      </w:r>
      <w:r w:rsidR="00395AEB" w:rsidRPr="003B6CB1">
        <w:rPr>
          <w:color w:val="000000" w:themeColor="text1"/>
          <w:sz w:val="24"/>
          <w:szCs w:val="24"/>
          <w:lang w:val="en-GB"/>
        </w:rPr>
        <w:t>et al.</w:t>
      </w:r>
      <w:r w:rsidRPr="003B6CB1">
        <w:rPr>
          <w:color w:val="000000" w:themeColor="text1"/>
          <w:sz w:val="24"/>
          <w:szCs w:val="24"/>
          <w:lang w:val="en-GB"/>
        </w:rPr>
        <w:t>, 2025). As millions of people in the UK are living with hypertension without proper diagnosis, the primary aim of the agenda is to detect these cases as much as possible to address the major public health concern. Examples of community-based healthcare initiatives under this agenda include phased healthcare screening, consistent checking of blood pressure levels at regular intervals in local regions for detecting individuals with hypertension, deprived of superior healthcare access. In this way, a better management of hypertension can be achieved on a public health level.</w:t>
      </w:r>
    </w:p>
    <w:p w:rsidR="002D046A" w:rsidRDefault="002D046A">
      <w:pPr>
        <w:rPr>
          <w:b/>
          <w:color w:val="000000" w:themeColor="text1"/>
          <w:sz w:val="28"/>
          <w:szCs w:val="40"/>
          <w:lang w:val="en-GB"/>
        </w:rPr>
      </w:pPr>
      <w:bookmarkStart w:id="33" w:name="_Toc223723746"/>
      <w:bookmarkStart w:id="34" w:name="_Toc224496023"/>
      <w:r>
        <w:rPr>
          <w:color w:val="000000" w:themeColor="text1"/>
          <w:lang w:val="en-GB"/>
        </w:rPr>
        <w:br w:type="page"/>
      </w:r>
    </w:p>
    <w:p w:rsidR="001B49D6" w:rsidRPr="003B6CB1" w:rsidRDefault="008203C6" w:rsidP="008765EF">
      <w:pPr>
        <w:pStyle w:val="Heading1"/>
        <w:rPr>
          <w:color w:val="000000" w:themeColor="text1"/>
          <w:lang w:val="en-GB"/>
        </w:rPr>
      </w:pPr>
      <w:r w:rsidRPr="003B6CB1">
        <w:rPr>
          <w:color w:val="000000" w:themeColor="text1"/>
          <w:lang w:val="en-GB"/>
        </w:rPr>
        <w:lastRenderedPageBreak/>
        <w:t>4.0 Recommendations</w:t>
      </w:r>
      <w:bookmarkEnd w:id="33"/>
      <w:bookmarkEnd w:id="34"/>
    </w:p>
    <w:p w:rsidR="001B49D6" w:rsidRPr="003B6CB1" w:rsidRDefault="008203C6" w:rsidP="008765EF">
      <w:pPr>
        <w:pStyle w:val="Heading2"/>
        <w:rPr>
          <w:color w:val="000000" w:themeColor="text1"/>
          <w:lang w:val="en-GB"/>
        </w:rPr>
      </w:pPr>
      <w:bookmarkStart w:id="35" w:name="_Toc223723747"/>
      <w:bookmarkStart w:id="36" w:name="_Toc224496024"/>
      <w:r w:rsidRPr="003B6CB1">
        <w:rPr>
          <w:color w:val="000000" w:themeColor="text1"/>
          <w:lang w:val="en-GB"/>
        </w:rPr>
        <w:t>4.1 Person-centred care (PCC)</w:t>
      </w:r>
      <w:bookmarkEnd w:id="35"/>
      <w:bookmarkEnd w:id="36"/>
    </w:p>
    <w:p w:rsidR="005D1F81"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Better management of hypertension for PCC can be ensured by actively involving patients in decision-making processes for educating them about the condition, selecting the best treatment and convincing them of better modifications of lifestyle (Manalili </w:t>
      </w:r>
      <w:r w:rsidR="00395AEB" w:rsidRPr="003B6CB1">
        <w:rPr>
          <w:color w:val="000000" w:themeColor="text1"/>
          <w:sz w:val="24"/>
          <w:szCs w:val="24"/>
          <w:lang w:val="en-GB"/>
        </w:rPr>
        <w:t>et al.</w:t>
      </w:r>
      <w:r w:rsidRPr="003B6CB1">
        <w:rPr>
          <w:color w:val="000000" w:themeColor="text1"/>
          <w:sz w:val="24"/>
          <w:szCs w:val="24"/>
          <w:lang w:val="en-GB"/>
        </w:rPr>
        <w:t xml:space="preserve">, 2022). </w:t>
      </w:r>
    </w:p>
    <w:p w:rsidR="005D1F81" w:rsidRPr="003B6CB1" w:rsidRDefault="00EE3D83" w:rsidP="00782B83">
      <w:pPr>
        <w:spacing w:line="360" w:lineRule="auto"/>
        <w:jc w:val="both"/>
        <w:rPr>
          <w:color w:val="000000" w:themeColor="text1"/>
          <w:sz w:val="24"/>
          <w:szCs w:val="24"/>
          <w:lang w:val="en-GB"/>
        </w:rPr>
      </w:pPr>
      <w:r w:rsidRPr="003B6CB1">
        <w:rPr>
          <w:noProof/>
          <w:color w:val="000000" w:themeColor="text1"/>
          <w:sz w:val="24"/>
          <w:szCs w:val="24"/>
        </w:rPr>
        <w:drawing>
          <wp:inline distT="0" distB="0" distL="0" distR="0">
            <wp:extent cx="2936684" cy="32004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1"/>
                    <a:srcRect/>
                    <a:stretch>
                      <a:fillRect/>
                    </a:stretch>
                  </pic:blipFill>
                  <pic:spPr bwMode="auto">
                    <a:xfrm>
                      <a:off x="0" y="0"/>
                      <a:ext cx="2943580" cy="3207915"/>
                    </a:xfrm>
                    <a:prstGeom prst="rect">
                      <a:avLst/>
                    </a:prstGeom>
                    <a:noFill/>
                    <a:ln w="9525">
                      <a:noFill/>
                      <a:miter lim="800000"/>
                      <a:headEnd/>
                      <a:tailEnd/>
                    </a:ln>
                  </pic:spPr>
                </pic:pic>
              </a:graphicData>
            </a:graphic>
          </wp:inline>
        </w:drawing>
      </w:r>
    </w:p>
    <w:p w:rsidR="00EE3D83" w:rsidRPr="003B6CB1" w:rsidRDefault="00EE3D83" w:rsidP="00EE3D83">
      <w:pPr>
        <w:spacing w:line="360" w:lineRule="auto"/>
        <w:jc w:val="center"/>
        <w:rPr>
          <w:b/>
          <w:color w:val="000000" w:themeColor="text1"/>
          <w:sz w:val="24"/>
          <w:szCs w:val="24"/>
          <w:lang w:val="en-GB"/>
        </w:rPr>
      </w:pPr>
      <w:r w:rsidRPr="003B6CB1">
        <w:rPr>
          <w:b/>
          <w:color w:val="000000" w:themeColor="text1"/>
          <w:sz w:val="24"/>
          <w:szCs w:val="24"/>
          <w:lang w:val="en-GB"/>
        </w:rPr>
        <w:t>Figure 13: PCC model</w:t>
      </w:r>
    </w:p>
    <w:p w:rsidR="00EE3D83" w:rsidRPr="003B6CB1" w:rsidRDefault="00EE3D83" w:rsidP="00EE3D83">
      <w:pPr>
        <w:spacing w:line="360" w:lineRule="auto"/>
        <w:jc w:val="center"/>
        <w:rPr>
          <w:color w:val="000000" w:themeColor="text1"/>
          <w:sz w:val="24"/>
          <w:szCs w:val="24"/>
          <w:lang w:val="en-GB"/>
        </w:rPr>
      </w:pPr>
      <w:r w:rsidRPr="003B6CB1">
        <w:rPr>
          <w:color w:val="000000" w:themeColor="text1"/>
          <w:sz w:val="24"/>
          <w:szCs w:val="24"/>
          <w:lang w:val="en-GB"/>
        </w:rPr>
        <w:t>(Source: Manalili et al., 2022)</w:t>
      </w:r>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In this way, healthcare professionals are recommended to adopt a collaborative decision-making approach so that patients can interact with them clearly </w:t>
      </w:r>
      <w:r w:rsidRPr="003B6CB1">
        <w:rPr>
          <w:color w:val="000000" w:themeColor="text1"/>
          <w:sz w:val="24"/>
          <w:szCs w:val="24"/>
          <w:lang w:val="en-GB"/>
        </w:rPr>
        <w:t xml:space="preserve">and </w:t>
      </w:r>
      <w:r w:rsidR="005D1F81" w:rsidRPr="003B6CB1">
        <w:rPr>
          <w:color w:val="000000" w:themeColor="text1"/>
          <w:sz w:val="24"/>
          <w:szCs w:val="24"/>
          <w:lang w:val="en-GB"/>
        </w:rPr>
        <w:t>receive personalised, coordinated and enabled care</w:t>
      </w:r>
      <w:r w:rsidRPr="003B6CB1">
        <w:rPr>
          <w:color w:val="000000" w:themeColor="text1"/>
          <w:sz w:val="24"/>
          <w:szCs w:val="24"/>
          <w:lang w:val="en-GB"/>
        </w:rPr>
        <w:t xml:space="preserve">. </w:t>
      </w:r>
    </w:p>
    <w:p w:rsidR="001B49D6" w:rsidRPr="003B6CB1" w:rsidRDefault="008203C6" w:rsidP="008765EF">
      <w:pPr>
        <w:pStyle w:val="Heading2"/>
        <w:rPr>
          <w:color w:val="000000" w:themeColor="text1"/>
          <w:lang w:val="en-GB"/>
        </w:rPr>
      </w:pPr>
      <w:bookmarkStart w:id="37" w:name="_Toc223723748"/>
      <w:bookmarkStart w:id="38" w:name="_Toc224496025"/>
      <w:r w:rsidRPr="003B6CB1">
        <w:rPr>
          <w:color w:val="000000" w:themeColor="text1"/>
          <w:lang w:val="en-GB"/>
        </w:rPr>
        <w:t>4.2 Self-management support</w:t>
      </w:r>
      <w:bookmarkEnd w:id="37"/>
      <w:bookmarkEnd w:id="38"/>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Retaining controlled health management of patients diagnosed with hypertension depends on self-management. Apart from healthcare literacy, patients should be informed about monitoring blood pressure at home, be aware of inclusion and exclusion criteria, increase physical exercise and reduce sodium intake (Chappell </w:t>
      </w:r>
      <w:r w:rsidR="00395AEB" w:rsidRPr="003B6CB1">
        <w:rPr>
          <w:color w:val="000000" w:themeColor="text1"/>
          <w:sz w:val="24"/>
          <w:szCs w:val="24"/>
          <w:lang w:val="en-GB"/>
        </w:rPr>
        <w:t>et al.</w:t>
      </w:r>
      <w:r w:rsidRPr="003B6CB1">
        <w:rPr>
          <w:color w:val="000000" w:themeColor="text1"/>
          <w:sz w:val="24"/>
          <w:szCs w:val="24"/>
          <w:lang w:val="en-GB"/>
        </w:rPr>
        <w:t>, 2022). Community pharmacies and primary care givers can offer healthcare literacy to the patients affected by hypertension and boost their emotional strength regarding overcoming the condition systematically. In this way, with professional caregiving support and at-home monitoring of blood pressure level patients can improve faster.</w:t>
      </w:r>
    </w:p>
    <w:p w:rsidR="002D046A" w:rsidRDefault="002D046A">
      <w:pPr>
        <w:rPr>
          <w:b/>
          <w:color w:val="000000" w:themeColor="text1"/>
          <w:sz w:val="24"/>
          <w:szCs w:val="32"/>
          <w:lang w:val="en-GB"/>
        </w:rPr>
      </w:pPr>
      <w:bookmarkStart w:id="39" w:name="_Toc223723749"/>
      <w:bookmarkStart w:id="40" w:name="_Toc224496026"/>
      <w:r>
        <w:rPr>
          <w:color w:val="000000" w:themeColor="text1"/>
          <w:lang w:val="en-GB"/>
        </w:rPr>
        <w:br w:type="page"/>
      </w:r>
    </w:p>
    <w:p w:rsidR="001B49D6" w:rsidRPr="003B6CB1" w:rsidRDefault="008203C6" w:rsidP="008765EF">
      <w:pPr>
        <w:pStyle w:val="Heading2"/>
        <w:rPr>
          <w:color w:val="000000" w:themeColor="text1"/>
          <w:lang w:val="en-GB"/>
        </w:rPr>
      </w:pPr>
      <w:r w:rsidRPr="003B6CB1">
        <w:rPr>
          <w:color w:val="000000" w:themeColor="text1"/>
          <w:lang w:val="en-GB"/>
        </w:rPr>
        <w:lastRenderedPageBreak/>
        <w:t>4.3 End-of-Life care</w:t>
      </w:r>
      <w:bookmarkEnd w:id="39"/>
      <w:bookmarkEnd w:id="40"/>
    </w:p>
    <w:p w:rsidR="00FB0029" w:rsidRPr="003B6CB1" w:rsidRDefault="00FB0029" w:rsidP="00782B83">
      <w:pPr>
        <w:spacing w:line="360" w:lineRule="auto"/>
        <w:jc w:val="both"/>
        <w:rPr>
          <w:color w:val="000000" w:themeColor="text1"/>
          <w:sz w:val="24"/>
          <w:szCs w:val="24"/>
          <w:lang w:val="en-GB"/>
        </w:rPr>
      </w:pPr>
      <w:r w:rsidRPr="003B6CB1">
        <w:rPr>
          <w:noProof/>
          <w:color w:val="000000" w:themeColor="text1"/>
          <w:sz w:val="24"/>
          <w:szCs w:val="24"/>
        </w:rPr>
        <w:drawing>
          <wp:anchor distT="0" distB="0" distL="114300" distR="114300" simplePos="0" relativeHeight="251658240" behindDoc="0" locked="0" layoutInCell="1" allowOverlap="1">
            <wp:simplePos x="0" y="0"/>
            <wp:positionH relativeFrom="column">
              <wp:posOffset>-474345</wp:posOffset>
            </wp:positionH>
            <wp:positionV relativeFrom="paragraph">
              <wp:posOffset>168910</wp:posOffset>
            </wp:positionV>
            <wp:extent cx="3303270" cy="3454400"/>
            <wp:effectExtent l="0" t="0" r="0" b="0"/>
            <wp:wrapThrough wrapText="bothSides">
              <wp:wrapPolygon edited="0">
                <wp:start x="0" y="0"/>
                <wp:lineTo x="0" y="21441"/>
                <wp:lineTo x="21426" y="21441"/>
                <wp:lineTo x="21426" y="0"/>
                <wp:lineTo x="0" y="0"/>
              </wp:wrapPolygon>
            </wp:wrapThrough>
            <wp:docPr id="7" name="Picture 37" descr="A diagram of the Five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 diagram of the Five Principles"/>
                    <pic:cNvPicPr>
                      <a:picLocks noChangeAspect="1" noChangeArrowheads="1"/>
                    </pic:cNvPicPr>
                  </pic:nvPicPr>
                  <pic:blipFill>
                    <a:blip r:embed="rId22">
                      <a:extLst>
                        <a:ext uri="{28A0092B-C50C-407E-A947-70E740481C1C}">
                          <a14:useLocalDpi xmlns:a14="http://schemas.microsoft.com/office/drawing/2010/main" val="0"/>
                        </a:ext>
                      </a:extLst>
                    </a:blip>
                    <a:srcRect t="11565"/>
                    <a:stretch>
                      <a:fillRect/>
                    </a:stretch>
                  </pic:blipFill>
                  <pic:spPr bwMode="auto">
                    <a:xfrm>
                      <a:off x="0" y="0"/>
                      <a:ext cx="3303270" cy="345440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rsidR="00FB0029" w:rsidRPr="003B6CB1" w:rsidRDefault="00FB0029" w:rsidP="00FB0029">
      <w:pPr>
        <w:spacing w:line="360" w:lineRule="auto"/>
        <w:jc w:val="center"/>
        <w:rPr>
          <w:b/>
          <w:color w:val="000000" w:themeColor="text1"/>
          <w:sz w:val="24"/>
          <w:szCs w:val="24"/>
          <w:lang w:val="en-GB"/>
        </w:rPr>
      </w:pPr>
      <w:r w:rsidRPr="003B6CB1">
        <w:rPr>
          <w:b/>
          <w:color w:val="000000" w:themeColor="text1"/>
          <w:sz w:val="24"/>
          <w:szCs w:val="24"/>
          <w:lang w:val="en-GB"/>
        </w:rPr>
        <w:t>Figure 14: EOL care</w:t>
      </w:r>
    </w:p>
    <w:p w:rsidR="00FB0029" w:rsidRPr="003B6CB1" w:rsidRDefault="00FB0029" w:rsidP="00FB0029">
      <w:pPr>
        <w:spacing w:line="360" w:lineRule="auto"/>
        <w:jc w:val="center"/>
        <w:rPr>
          <w:color w:val="000000" w:themeColor="text1"/>
          <w:sz w:val="24"/>
          <w:szCs w:val="24"/>
          <w:lang w:val="en-GB"/>
        </w:rPr>
      </w:pPr>
      <w:r w:rsidRPr="003B6CB1">
        <w:rPr>
          <w:color w:val="000000" w:themeColor="text1"/>
          <w:sz w:val="24"/>
          <w:szCs w:val="24"/>
          <w:lang w:val="en-GB"/>
        </w:rPr>
        <w:t>(Source: Kulkarni et al., 2023)</w:t>
      </w:r>
    </w:p>
    <w:p w:rsidR="00E6506B"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In case of severe cardiovascular diseases such as heart attack and stroke, person-centred palliative care is essential for controlling the situation to prevent further acceleration. This care service needs to revolve around effective management and detection of symptoms, protecting the dignity of patients and facilitating their families to engage in decision-making for selecting treatment options (Kulkarni </w:t>
      </w:r>
      <w:r w:rsidR="00395AEB" w:rsidRPr="003B6CB1">
        <w:rPr>
          <w:color w:val="000000" w:themeColor="text1"/>
          <w:sz w:val="24"/>
          <w:szCs w:val="24"/>
          <w:lang w:val="en-GB"/>
        </w:rPr>
        <w:t>et al.</w:t>
      </w:r>
      <w:r w:rsidRPr="003B6CB1">
        <w:rPr>
          <w:color w:val="000000" w:themeColor="text1"/>
          <w:sz w:val="24"/>
          <w:szCs w:val="24"/>
          <w:lang w:val="en-GB"/>
        </w:rPr>
        <w:t>, 2023).</w:t>
      </w:r>
      <w:r w:rsidR="00FB0029" w:rsidRPr="003B6CB1">
        <w:rPr>
          <w:color w:val="000000" w:themeColor="text1"/>
          <w:sz w:val="24"/>
          <w:szCs w:val="24"/>
          <w:lang w:val="en-GB"/>
        </w:rPr>
        <w:t xml:space="preserve"> </w:t>
      </w:r>
      <w:r w:rsidRPr="003B6CB1">
        <w:rPr>
          <w:color w:val="000000" w:themeColor="text1"/>
          <w:sz w:val="24"/>
          <w:szCs w:val="24"/>
          <w:lang w:val="en-GB"/>
        </w:rPr>
        <w:t xml:space="preserve">Besides improving the quality of life, early discussions regarding the care </w:t>
      </w:r>
      <w:r w:rsidRPr="003B6CB1">
        <w:rPr>
          <w:color w:val="000000" w:themeColor="text1"/>
          <w:sz w:val="24"/>
          <w:szCs w:val="24"/>
          <w:lang w:val="en-GB"/>
        </w:rPr>
        <w:t>preference are recommended so that the individual's values are matched with the chosen treatment and care of hypertension.</w:t>
      </w:r>
    </w:p>
    <w:p w:rsidR="002D046A" w:rsidRDefault="002D046A">
      <w:pPr>
        <w:rPr>
          <w:b/>
          <w:color w:val="000000" w:themeColor="text1"/>
          <w:sz w:val="28"/>
          <w:szCs w:val="40"/>
          <w:lang w:val="en-GB"/>
        </w:rPr>
      </w:pPr>
      <w:bookmarkStart w:id="41" w:name="_Toc223723750"/>
      <w:bookmarkStart w:id="42" w:name="_Toc224496027"/>
      <w:r>
        <w:rPr>
          <w:color w:val="000000" w:themeColor="text1"/>
          <w:lang w:val="en-GB"/>
        </w:rPr>
        <w:br w:type="page"/>
      </w:r>
    </w:p>
    <w:p w:rsidR="001B49D6" w:rsidRPr="003B6CB1" w:rsidRDefault="008203C6" w:rsidP="008765EF">
      <w:pPr>
        <w:pStyle w:val="Heading1"/>
        <w:rPr>
          <w:color w:val="000000" w:themeColor="text1"/>
          <w:lang w:val="en-GB"/>
        </w:rPr>
      </w:pPr>
      <w:r w:rsidRPr="003B6CB1">
        <w:rPr>
          <w:color w:val="000000" w:themeColor="text1"/>
          <w:lang w:val="en-GB"/>
        </w:rPr>
        <w:lastRenderedPageBreak/>
        <w:t>Conclusion</w:t>
      </w:r>
      <w:bookmarkEnd w:id="41"/>
      <w:bookmarkEnd w:id="42"/>
    </w:p>
    <w:p w:rsidR="001B49D6" w:rsidRPr="003B6CB1" w:rsidRDefault="008203C6" w:rsidP="00782B83">
      <w:pPr>
        <w:spacing w:line="360" w:lineRule="auto"/>
        <w:jc w:val="both"/>
        <w:rPr>
          <w:color w:val="000000" w:themeColor="text1"/>
          <w:sz w:val="24"/>
          <w:szCs w:val="24"/>
          <w:lang w:val="en-GB"/>
        </w:rPr>
      </w:pPr>
      <w:r w:rsidRPr="003B6CB1">
        <w:rPr>
          <w:color w:val="000000" w:themeColor="text1"/>
          <w:sz w:val="24"/>
          <w:szCs w:val="24"/>
          <w:lang w:val="en-GB"/>
        </w:rPr>
        <w:t xml:space="preserve">Hypertension is a major public health concern in the UK and worldwide as it is one of the leading factors of deaths, including early deaths, affecting the physical, psychological and social well-being of an individual. Considering the significance of the severity and its implications the chronic condition requires structured detection, diagnosis, treatment and prevention care. Evidence based treatments available in the UK covers the majority of these suspects including pharmacological therapy, at home monitoring and modification of lifestyle. These collective measures control the blood pressure level and prevent further worsening of the long-term condition. Additionally, the national and local health and social care agendas facilitated these strategies by adopting proactive approaches for positive patient outcomes. It is expected that the recommended </w:t>
      </w:r>
      <w:proofErr w:type="gramStart"/>
      <w:r w:rsidRPr="003B6CB1">
        <w:rPr>
          <w:color w:val="000000" w:themeColor="text1"/>
          <w:sz w:val="24"/>
          <w:szCs w:val="24"/>
          <w:lang w:val="en-GB"/>
        </w:rPr>
        <w:t>person centred</w:t>
      </w:r>
      <w:proofErr w:type="gramEnd"/>
      <w:r w:rsidRPr="003B6CB1">
        <w:rPr>
          <w:color w:val="000000" w:themeColor="text1"/>
          <w:sz w:val="24"/>
          <w:szCs w:val="24"/>
          <w:lang w:val="en-GB"/>
        </w:rPr>
        <w:t xml:space="preserve"> approaches with improved in life care and </w:t>
      </w:r>
      <w:proofErr w:type="spellStart"/>
      <w:r w:rsidRPr="003B6CB1">
        <w:rPr>
          <w:color w:val="000000" w:themeColor="text1"/>
          <w:sz w:val="24"/>
          <w:szCs w:val="24"/>
          <w:lang w:val="en-GB"/>
        </w:rPr>
        <w:t>self management</w:t>
      </w:r>
      <w:proofErr w:type="spellEnd"/>
      <w:r w:rsidRPr="003B6CB1">
        <w:rPr>
          <w:color w:val="000000" w:themeColor="text1"/>
          <w:sz w:val="24"/>
          <w:szCs w:val="24"/>
          <w:lang w:val="en-GB"/>
        </w:rPr>
        <w:t xml:space="preserve"> strategies can facilitate positive patient outcome for hypertension.</w:t>
      </w:r>
    </w:p>
    <w:p w:rsidR="002D046A" w:rsidRDefault="002D046A">
      <w:pPr>
        <w:rPr>
          <w:b/>
          <w:color w:val="000000" w:themeColor="text1"/>
          <w:sz w:val="28"/>
          <w:szCs w:val="28"/>
        </w:rPr>
      </w:pPr>
      <w:bookmarkStart w:id="43" w:name="_Toc223723751"/>
      <w:bookmarkStart w:id="44" w:name="_Toc224496028"/>
      <w:r>
        <w:rPr>
          <w:color w:val="000000" w:themeColor="text1"/>
          <w:szCs w:val="28"/>
        </w:rPr>
        <w:br w:type="page"/>
      </w:r>
    </w:p>
    <w:p w:rsidR="00FC4E73" w:rsidRPr="003B6CB1" w:rsidRDefault="00FC4E73" w:rsidP="00B849DD">
      <w:pPr>
        <w:pStyle w:val="Heading1"/>
        <w:rPr>
          <w:color w:val="000000" w:themeColor="text1"/>
          <w:sz w:val="24"/>
          <w:szCs w:val="24"/>
          <w:lang w:val="en-GB"/>
        </w:rPr>
      </w:pPr>
      <w:r w:rsidRPr="003B6CB1">
        <w:rPr>
          <w:color w:val="000000" w:themeColor="text1"/>
          <w:szCs w:val="28"/>
        </w:rPr>
        <w:lastRenderedPageBreak/>
        <w:t>References</w:t>
      </w:r>
      <w:bookmarkEnd w:id="43"/>
      <w:bookmarkEnd w:id="44"/>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Ahmad, H., Khan, H., Haque, S., Ahmad, S., Srivastava, N. and Khan, A. (2023) ‘Angiotensin-converting enzyme and hypertension: a systemic analysis of various ACE inhibitors, their side effects, and bioactive peptides as a putative therapy for hypertension’, Journal of the Renin-Angiotensin-Aldosterone System, 2023, p.7890188. Available at: https://doi.org/10.1155/2023/7890188</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Alliance Scotland (2026) The House of Care Model. Available at: https://www.alliance-scotland.org.uk/past-work-and-projects/scotlands-house-of-care/the-house-of-care-model/ (Accessed: 1st March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BHF (2026) Person-centred care and the House of Care. Available at: https://www.bhf.org.uk/for-professionals/healthcare-professionals/innovation-in-care/person-centred-care-and-the-house-of-care (Accessed: 2nd March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Carey, R.M., Wright Jr, J.T., Taler, S.J. and Whelton, P.K. (2021) ‘Guideline-driven management of hypertension: an evidence-based update’, Circulation </w:t>
      </w:r>
      <w:r w:rsidRPr="003B6CB1">
        <w:rPr>
          <w:color w:val="000000" w:themeColor="text1"/>
          <w:sz w:val="24"/>
          <w:szCs w:val="24"/>
          <w:lang w:val="en-GB"/>
        </w:rPr>
        <w:t>research, 128(7), pp.827-846. Available at: https://doi.org/10.1161/CIRCRESAHA.121.318083</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Chappell, L.C., Tucker, K.L., Galal, U., Yu, L.M., Campbell, H., Rivero-Arias, O., Allen, J., Band, R., Chisholm, A., Crawford, C. and Dougall, G. (2022) ‘Effect of self-monitoring of blood pressure on blood pressure control in pregnant individuals with chronic or gestational hypertension: the BUMP 2 randomized clinical trial’, Jama, 327(17), pp.1666-1678. Available at: https://doi.org/10.1001/jama.2022.4726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Conklin, A.I. and Guo, P.N </w:t>
      </w:r>
      <w:proofErr w:type="gramStart"/>
      <w:r w:rsidRPr="003B6CB1">
        <w:rPr>
          <w:color w:val="000000" w:themeColor="text1"/>
          <w:sz w:val="24"/>
          <w:szCs w:val="24"/>
          <w:lang w:val="en-GB"/>
        </w:rPr>
        <w:t>( 2024</w:t>
      </w:r>
      <w:proofErr w:type="gramEnd"/>
      <w:r w:rsidRPr="003B6CB1">
        <w:rPr>
          <w:color w:val="000000" w:themeColor="text1"/>
          <w:sz w:val="24"/>
          <w:szCs w:val="24"/>
          <w:lang w:val="en-GB"/>
        </w:rPr>
        <w:t>) ‘Gender and Social Connections as Determinants of Hypertension: A Systematic Review of Longitudinal Studies’, Reviews in Cardiovascular Medicine, 25(11), p.424. Available at: https://doi.org/10.31083/j.rcm2511424</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De Bhailis, Á.M. and Kalra, P.A. (2022) ‘Hypertension and the kidneys’, British journal of hospital medicine, 83(5), pp.1-11. Available at: https://doi.org/10.12968/hmed.2021.0440</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lastRenderedPageBreak/>
        <w:t>Dziedziak, J., Zaleska-</w:t>
      </w:r>
      <w:proofErr w:type="spellStart"/>
      <w:r w:rsidRPr="003B6CB1">
        <w:rPr>
          <w:color w:val="000000" w:themeColor="text1"/>
          <w:sz w:val="24"/>
          <w:szCs w:val="24"/>
          <w:lang w:val="en-GB"/>
        </w:rPr>
        <w:t>Żmijewska</w:t>
      </w:r>
      <w:proofErr w:type="spellEnd"/>
      <w:r w:rsidRPr="003B6CB1">
        <w:rPr>
          <w:color w:val="000000" w:themeColor="text1"/>
          <w:sz w:val="24"/>
          <w:szCs w:val="24"/>
          <w:lang w:val="en-GB"/>
        </w:rPr>
        <w:t>, A., Szaflik, J.P. and Cudnoch-</w:t>
      </w:r>
      <w:proofErr w:type="spellStart"/>
      <w:r w:rsidRPr="003B6CB1">
        <w:rPr>
          <w:color w:val="000000" w:themeColor="text1"/>
          <w:sz w:val="24"/>
          <w:szCs w:val="24"/>
          <w:lang w:val="en-GB"/>
        </w:rPr>
        <w:t>Jędrzejewska</w:t>
      </w:r>
      <w:proofErr w:type="spellEnd"/>
      <w:r w:rsidRPr="003B6CB1">
        <w:rPr>
          <w:color w:val="000000" w:themeColor="text1"/>
          <w:sz w:val="24"/>
          <w:szCs w:val="24"/>
          <w:lang w:val="en-GB"/>
        </w:rPr>
        <w:t xml:space="preserve">, A. (2022) ‘Impact of arterial hypertension on the eye: a review of the pathogenesis, diagnostic methods, and treatment of hypertensive retinopathy’, Medical Science Monitor: International Medical Journal of Experimental and Clinical Research, 28, </w:t>
      </w:r>
      <w:proofErr w:type="gramStart"/>
      <w:r w:rsidRPr="003B6CB1">
        <w:rPr>
          <w:color w:val="000000" w:themeColor="text1"/>
          <w:sz w:val="24"/>
          <w:szCs w:val="24"/>
          <w:lang w:val="en-GB"/>
        </w:rPr>
        <w:t>pp.e</w:t>
      </w:r>
      <w:proofErr w:type="gramEnd"/>
      <w:r w:rsidRPr="003B6CB1">
        <w:rPr>
          <w:color w:val="000000" w:themeColor="text1"/>
          <w:sz w:val="24"/>
          <w:szCs w:val="24"/>
          <w:lang w:val="en-GB"/>
        </w:rPr>
        <w:t>935135-1. Available at: https://doi.org/10.12659/MSM.935135</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ESCARDIO (2025) Understanding the Burden of CVD. Available at: https://www.escardio.org/data-science/data-collection/leveraging-data/understanding-the-burden-of-cvd-facts-and-figures/ (Accessed: 1st March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Fuge, J., Park, D.H., von Lengerke, T., Richter, M.J., Gall, H., </w:t>
      </w:r>
      <w:proofErr w:type="spellStart"/>
      <w:r w:rsidRPr="003B6CB1">
        <w:rPr>
          <w:color w:val="000000" w:themeColor="text1"/>
          <w:sz w:val="24"/>
          <w:szCs w:val="24"/>
          <w:lang w:val="en-GB"/>
        </w:rPr>
        <w:t>Ghofrani</w:t>
      </w:r>
      <w:proofErr w:type="spellEnd"/>
      <w:r w:rsidRPr="003B6CB1">
        <w:rPr>
          <w:color w:val="000000" w:themeColor="text1"/>
          <w:sz w:val="24"/>
          <w:szCs w:val="24"/>
          <w:lang w:val="en-GB"/>
        </w:rPr>
        <w:t>, H.A., Kamp, J.C., Hoeper, M.M. and Olsson, K.M. (2022) ‘Impact of pulmonary arterial hypertension on employment, work productivity, and quality of life-results of a cross-sectional multi-</w:t>
      </w:r>
      <w:proofErr w:type="spellStart"/>
      <w:r w:rsidRPr="003B6CB1">
        <w:rPr>
          <w:color w:val="000000" w:themeColor="text1"/>
          <w:sz w:val="24"/>
          <w:szCs w:val="24"/>
          <w:lang w:val="en-GB"/>
        </w:rPr>
        <w:t>center</w:t>
      </w:r>
      <w:proofErr w:type="spellEnd"/>
      <w:r w:rsidRPr="003B6CB1">
        <w:rPr>
          <w:color w:val="000000" w:themeColor="text1"/>
          <w:sz w:val="24"/>
          <w:szCs w:val="24"/>
          <w:lang w:val="en-GB"/>
        </w:rPr>
        <w:t xml:space="preserve"> study’, Frontiers in psychiatry, 12, p.781532. Available at: https://doi.org/10.3389/fpsyt.2021.781532</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Grudniewicz, A., Gray, C.S., </w:t>
      </w:r>
      <w:proofErr w:type="spellStart"/>
      <w:r w:rsidRPr="003B6CB1">
        <w:rPr>
          <w:color w:val="000000" w:themeColor="text1"/>
          <w:sz w:val="24"/>
          <w:szCs w:val="24"/>
          <w:lang w:val="en-GB"/>
        </w:rPr>
        <w:t>Boeckxstaens</w:t>
      </w:r>
      <w:proofErr w:type="spellEnd"/>
      <w:r w:rsidRPr="003B6CB1">
        <w:rPr>
          <w:color w:val="000000" w:themeColor="text1"/>
          <w:sz w:val="24"/>
          <w:szCs w:val="24"/>
          <w:lang w:val="en-GB"/>
        </w:rPr>
        <w:t>, P., De Maeseneer, J. and Mold, J. (2023) ‘Operationalizing the chronic care model with goal-oriented care’, The Patient-Patient-</w:t>
      </w:r>
      <w:proofErr w:type="spellStart"/>
      <w:r w:rsidRPr="003B6CB1">
        <w:rPr>
          <w:color w:val="000000" w:themeColor="text1"/>
          <w:sz w:val="24"/>
          <w:szCs w:val="24"/>
          <w:lang w:val="en-GB"/>
        </w:rPr>
        <w:t>Centered</w:t>
      </w:r>
      <w:proofErr w:type="spellEnd"/>
      <w:r w:rsidRPr="003B6CB1">
        <w:rPr>
          <w:color w:val="000000" w:themeColor="text1"/>
          <w:sz w:val="24"/>
          <w:szCs w:val="24"/>
          <w:lang w:val="en-GB"/>
        </w:rPr>
        <w:t xml:space="preserve"> Outcomes Research, 16(6), pp.569-578. Available at: https://doi.org/10.1007/s40271-023-00645-8</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Hamam, M.S., </w:t>
      </w:r>
      <w:proofErr w:type="spellStart"/>
      <w:r w:rsidRPr="003B6CB1">
        <w:rPr>
          <w:color w:val="000000" w:themeColor="text1"/>
          <w:sz w:val="24"/>
          <w:szCs w:val="24"/>
          <w:lang w:val="en-GB"/>
        </w:rPr>
        <w:t>Kunjummen</w:t>
      </w:r>
      <w:proofErr w:type="spellEnd"/>
      <w:r w:rsidRPr="003B6CB1">
        <w:rPr>
          <w:color w:val="000000" w:themeColor="text1"/>
          <w:sz w:val="24"/>
          <w:szCs w:val="24"/>
          <w:lang w:val="en-GB"/>
        </w:rPr>
        <w:t>, E., Hussain, M.S., Nasereldin, M., Bennett, S. and Miller, J. (2020) ‘Anxiety, depression, and pain: considerations in the treatment of patients with uncontrolled hypertension’, Current hypertension reports, 22(12), p.106. Available at: https://doi.org/10.1007/s11906-020-01117-2</w:t>
      </w:r>
    </w:p>
    <w:p w:rsidR="00DF780A" w:rsidRPr="003B6CB1" w:rsidRDefault="00DF780A" w:rsidP="00135869">
      <w:pPr>
        <w:spacing w:before="240" w:line="360" w:lineRule="auto"/>
        <w:jc w:val="both"/>
        <w:rPr>
          <w:color w:val="000000" w:themeColor="text1"/>
          <w:sz w:val="24"/>
          <w:szCs w:val="24"/>
          <w:lang w:val="en-GB"/>
        </w:rPr>
      </w:pPr>
      <w:proofErr w:type="spellStart"/>
      <w:r w:rsidRPr="003B6CB1">
        <w:rPr>
          <w:color w:val="000000" w:themeColor="text1"/>
          <w:sz w:val="24"/>
          <w:szCs w:val="24"/>
          <w:lang w:val="en-GB"/>
        </w:rPr>
        <w:t>Healthdata</w:t>
      </w:r>
      <w:proofErr w:type="spellEnd"/>
      <w:r w:rsidRPr="003B6CB1">
        <w:rPr>
          <w:color w:val="000000" w:themeColor="text1"/>
          <w:sz w:val="24"/>
          <w:szCs w:val="24"/>
          <w:lang w:val="en-GB"/>
        </w:rPr>
        <w:t xml:space="preserve"> (2025) Global Burden of Disease (GBD). Available at: https://www.healthdata.org/research-analysis/gbd-key-findings (Accessed: 27 February 2026)</w:t>
      </w:r>
    </w:p>
    <w:p w:rsidR="00DF780A" w:rsidRPr="003B6CB1" w:rsidRDefault="00DF780A" w:rsidP="00135869">
      <w:pPr>
        <w:spacing w:before="240" w:line="360" w:lineRule="auto"/>
        <w:jc w:val="both"/>
        <w:rPr>
          <w:color w:val="000000" w:themeColor="text1"/>
          <w:sz w:val="24"/>
          <w:szCs w:val="24"/>
          <w:lang w:val="en-GB"/>
        </w:rPr>
      </w:pPr>
      <w:proofErr w:type="spellStart"/>
      <w:r w:rsidRPr="003B6CB1">
        <w:rPr>
          <w:color w:val="000000" w:themeColor="text1"/>
          <w:sz w:val="24"/>
          <w:szCs w:val="24"/>
          <w:lang w:val="en-GB"/>
        </w:rPr>
        <w:t>Healthdata</w:t>
      </w:r>
      <w:proofErr w:type="spellEnd"/>
      <w:r w:rsidRPr="003B6CB1">
        <w:rPr>
          <w:color w:val="000000" w:themeColor="text1"/>
          <w:sz w:val="24"/>
          <w:szCs w:val="24"/>
          <w:lang w:val="en-GB"/>
        </w:rPr>
        <w:t xml:space="preserve"> (2025) Health Survey for England, 2021 part 2. Available at: https://digital.nhs.uk/data-and-information/publications/statistical/health-survey-for-england/2021-part-2/adult-</w:t>
      </w:r>
      <w:r w:rsidRPr="003B6CB1">
        <w:rPr>
          <w:color w:val="000000" w:themeColor="text1"/>
          <w:sz w:val="24"/>
          <w:szCs w:val="24"/>
          <w:lang w:val="en-GB"/>
        </w:rPr>
        <w:lastRenderedPageBreak/>
        <w:t>health-hypertension (Accessed: 28 February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Hendry, A. (2020) ‘House of Care: Enabling integrated care through collaborative care and support planning in different context and cultures’, International Journal of Integrated Care, 21(S1), p.352. Available at: https://doi.org/10.5334/ijic.ICIC20469</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Huang, L., Trieu, K., Yoshimura, S., Neal, B., Woodward, M., Campbell, N.R., Li, Q., Lackland, D.T., Leung, A.A., Anderson, C.A. and MacGregor, G.A. (2020) ‘Effect of dose and duration of reduction in dietary sodium on blood pressure levels: systematic review and meta-analysis of randomised trials’, </w:t>
      </w:r>
      <w:proofErr w:type="spellStart"/>
      <w:r w:rsidRPr="003B6CB1">
        <w:rPr>
          <w:color w:val="000000" w:themeColor="text1"/>
          <w:sz w:val="24"/>
          <w:szCs w:val="24"/>
          <w:lang w:val="en-GB"/>
        </w:rPr>
        <w:t>bmj</w:t>
      </w:r>
      <w:proofErr w:type="spellEnd"/>
      <w:r w:rsidRPr="003B6CB1">
        <w:rPr>
          <w:color w:val="000000" w:themeColor="text1"/>
          <w:sz w:val="24"/>
          <w:szCs w:val="24"/>
          <w:lang w:val="en-GB"/>
        </w:rPr>
        <w:t>, 368. Available at: https://doi.org/10.1136/bmj.m315</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Jones, N.R., McCormack, T., Constanti, M. and McManus, R.J. (2020) ‘Diagnosis and management of hypertension in adults: NICE guideline update 2019’, The British Journal of General Practice, 70(691), p.90. Available at: https://doi.org/10.3399/bjgp20X708053</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Kandasamy, G., Subramani, T., </w:t>
      </w:r>
      <w:proofErr w:type="spellStart"/>
      <w:r w:rsidRPr="003B6CB1">
        <w:rPr>
          <w:color w:val="000000" w:themeColor="text1"/>
          <w:sz w:val="24"/>
          <w:szCs w:val="24"/>
          <w:lang w:val="en-GB"/>
        </w:rPr>
        <w:t>Almanasef</w:t>
      </w:r>
      <w:proofErr w:type="spellEnd"/>
      <w:r w:rsidRPr="003B6CB1">
        <w:rPr>
          <w:color w:val="000000" w:themeColor="text1"/>
          <w:sz w:val="24"/>
          <w:szCs w:val="24"/>
          <w:lang w:val="en-GB"/>
        </w:rPr>
        <w:t xml:space="preserve">, M., </w:t>
      </w:r>
      <w:proofErr w:type="spellStart"/>
      <w:r w:rsidRPr="003B6CB1">
        <w:rPr>
          <w:color w:val="000000" w:themeColor="text1"/>
          <w:sz w:val="24"/>
          <w:szCs w:val="24"/>
          <w:lang w:val="en-GB"/>
        </w:rPr>
        <w:t>Orayj</w:t>
      </w:r>
      <w:proofErr w:type="spellEnd"/>
      <w:r w:rsidRPr="003B6CB1">
        <w:rPr>
          <w:color w:val="000000" w:themeColor="text1"/>
          <w:sz w:val="24"/>
          <w:szCs w:val="24"/>
          <w:lang w:val="en-GB"/>
        </w:rPr>
        <w:t xml:space="preserve">, K., </w:t>
      </w:r>
      <w:proofErr w:type="spellStart"/>
      <w:r w:rsidRPr="003B6CB1">
        <w:rPr>
          <w:color w:val="000000" w:themeColor="text1"/>
          <w:sz w:val="24"/>
          <w:szCs w:val="24"/>
          <w:lang w:val="en-GB"/>
        </w:rPr>
        <w:t>Shorog</w:t>
      </w:r>
      <w:proofErr w:type="spellEnd"/>
      <w:r w:rsidRPr="003B6CB1">
        <w:rPr>
          <w:color w:val="000000" w:themeColor="text1"/>
          <w:sz w:val="24"/>
          <w:szCs w:val="24"/>
          <w:lang w:val="en-GB"/>
        </w:rPr>
        <w:t xml:space="preserve">, E., Alshahrani, A.M., </w:t>
      </w:r>
      <w:proofErr w:type="spellStart"/>
      <w:r w:rsidRPr="003B6CB1">
        <w:rPr>
          <w:color w:val="000000" w:themeColor="text1"/>
          <w:sz w:val="24"/>
          <w:szCs w:val="24"/>
          <w:lang w:val="en-GB"/>
        </w:rPr>
        <w:t>Alsaab</w:t>
      </w:r>
      <w:proofErr w:type="spellEnd"/>
      <w:r w:rsidRPr="003B6CB1">
        <w:rPr>
          <w:color w:val="000000" w:themeColor="text1"/>
          <w:sz w:val="24"/>
          <w:szCs w:val="24"/>
          <w:lang w:val="en-GB"/>
        </w:rPr>
        <w:t xml:space="preserve">, A., Alshahrani, Z.M. and </w:t>
      </w:r>
      <w:proofErr w:type="spellStart"/>
      <w:r w:rsidRPr="003B6CB1">
        <w:rPr>
          <w:color w:val="000000" w:themeColor="text1"/>
          <w:sz w:val="24"/>
          <w:szCs w:val="24"/>
          <w:lang w:val="en-GB"/>
        </w:rPr>
        <w:t>Palayakkodan</w:t>
      </w:r>
      <w:proofErr w:type="spellEnd"/>
      <w:r w:rsidRPr="003B6CB1">
        <w:rPr>
          <w:color w:val="000000" w:themeColor="text1"/>
          <w:sz w:val="24"/>
          <w:szCs w:val="24"/>
          <w:lang w:val="en-GB"/>
        </w:rPr>
        <w:t>, S. (2025) ‘Mental health and hypertension: assessing the prevalence of anxiety and depression and their associated factors in a tertiary care population’, Frontiers in Public Health, 13, p.1545386. Available at: https://doi.org/10.3389/fpubh.2025.1545386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Kario, K. (2022). Essential manual of 24-hour blood pressure management: from morning to nocturnal hypertension. Thousand Oaks: John Wiley &amp; Sons.</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Kramer, J., Gupta, A., Ellis, S., Reed, J., McWilliams, A., Pokharel, Y., </w:t>
      </w:r>
      <w:proofErr w:type="spellStart"/>
      <w:r w:rsidRPr="003B6CB1">
        <w:rPr>
          <w:color w:val="000000" w:themeColor="text1"/>
          <w:sz w:val="24"/>
          <w:szCs w:val="24"/>
          <w:lang w:val="en-GB"/>
        </w:rPr>
        <w:t>Debinski</w:t>
      </w:r>
      <w:proofErr w:type="spellEnd"/>
      <w:r w:rsidRPr="003B6CB1">
        <w:rPr>
          <w:color w:val="000000" w:themeColor="text1"/>
          <w:sz w:val="24"/>
          <w:szCs w:val="24"/>
          <w:lang w:val="en-GB"/>
        </w:rPr>
        <w:t>, B., Watson, B., Sparks, N., Daniel, S. and Taylor, Y.J. (2025) ‘Relationships matter: Exploring the impact of patients’ familial, community, and provider relationships on hypertension management’, Journal of General Internal Medicine, pp.1-10. Available at: https://doi.org/10.1007/s11606-025-09470-1</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Kulkarni, S., Glover, M., Kapil, V., Abrams, S.M.L., Partridge, S., </w:t>
      </w:r>
      <w:r w:rsidRPr="003B6CB1">
        <w:rPr>
          <w:color w:val="000000" w:themeColor="text1"/>
          <w:sz w:val="24"/>
          <w:szCs w:val="24"/>
          <w:lang w:val="en-GB"/>
        </w:rPr>
        <w:lastRenderedPageBreak/>
        <w:t>McCormack, T., Sever, P., Delles, C. and Wilkinson, I.B. (2023) ‘Management of hypertensive crisis: British and Irish hypertension society position document’, Journal of human hypertension, 37(10), pp.863-879. Available at: https://doi.org/10.1038/s41371-022-00776-9</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Lay-Flurrie, S.L., Sheppard, J.P., Stevens, R.J., Mallen, C., Heneghan, C., Hobbs, F.R., Williams, B., Mant, J. and McManus, R.J. (2020) ‘Impact of changes to national hypertension guidelines on hypertension management and outcomes in the United Kingdom’, Hypertension, 75(2), pp.356-364. Available at: https://doi.org/10.1161/HYPERTENSIONAHA.119.13926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Lee, E.K., Poon, P., Yip, B.H., Bo, Y., Zhu, M.T., Yu, C.P., Ngai, A.C., Wong, M.C. and Wong, S.Y. (2022) ‘Global burden, regional differences, trends, and health consequences of medication nonadherence for hypertension during 2010 to 2020: a meta</w:t>
      </w:r>
      <w:r w:rsidRPr="003B6CB1">
        <w:rPr>
          <w:rFonts w:ascii="Cambria Math" w:hAnsi="Cambria Math"/>
          <w:color w:val="000000" w:themeColor="text1"/>
          <w:sz w:val="24"/>
          <w:szCs w:val="24"/>
          <w:lang w:val="en-GB"/>
        </w:rPr>
        <w:t>‐</w:t>
      </w:r>
      <w:r w:rsidRPr="003B6CB1">
        <w:rPr>
          <w:color w:val="000000" w:themeColor="text1"/>
          <w:sz w:val="24"/>
          <w:szCs w:val="24"/>
          <w:lang w:val="en-GB"/>
        </w:rPr>
        <w:t xml:space="preserve">analysis involving 27 million patients’, Journal of the American Heart Association, 11(17), p.e026582. Available at: </w:t>
      </w:r>
      <w:r w:rsidRPr="003B6CB1">
        <w:rPr>
          <w:color w:val="000000" w:themeColor="text1"/>
          <w:sz w:val="24"/>
          <w:szCs w:val="24"/>
          <w:lang w:val="en-GB"/>
        </w:rPr>
        <w:t>https://doi.org/10.1161/JAHA.122.026582</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Ling, T., Fahy, N. and </w:t>
      </w:r>
      <w:proofErr w:type="spellStart"/>
      <w:r w:rsidRPr="003B6CB1">
        <w:rPr>
          <w:color w:val="000000" w:themeColor="text1"/>
          <w:sz w:val="24"/>
          <w:szCs w:val="24"/>
          <w:lang w:val="en-GB"/>
        </w:rPr>
        <w:t>Dawney</w:t>
      </w:r>
      <w:proofErr w:type="spellEnd"/>
      <w:r w:rsidRPr="003B6CB1">
        <w:rPr>
          <w:color w:val="000000" w:themeColor="text1"/>
          <w:sz w:val="24"/>
          <w:szCs w:val="24"/>
          <w:lang w:val="en-GB"/>
        </w:rPr>
        <w:t>, J. (2025) ‘Reframing the evaluation of Integrated Care; examples from the NHS in England’, Health Policy, p.105418. Available at: https://doi.org/10.1016/j.healthpol.2025.105418</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Lip, G.Y., Lane, D.A., </w:t>
      </w:r>
      <w:proofErr w:type="spellStart"/>
      <w:r w:rsidRPr="003B6CB1">
        <w:rPr>
          <w:color w:val="000000" w:themeColor="text1"/>
          <w:sz w:val="24"/>
          <w:szCs w:val="24"/>
          <w:lang w:val="en-GB"/>
        </w:rPr>
        <w:t>Lenarczyk</w:t>
      </w:r>
      <w:proofErr w:type="spellEnd"/>
      <w:r w:rsidRPr="003B6CB1">
        <w:rPr>
          <w:color w:val="000000" w:themeColor="text1"/>
          <w:sz w:val="24"/>
          <w:szCs w:val="24"/>
          <w:lang w:val="en-GB"/>
        </w:rPr>
        <w:t xml:space="preserve">, R., </w:t>
      </w:r>
      <w:proofErr w:type="spellStart"/>
      <w:r w:rsidRPr="003B6CB1">
        <w:rPr>
          <w:color w:val="000000" w:themeColor="text1"/>
          <w:sz w:val="24"/>
          <w:szCs w:val="24"/>
          <w:lang w:val="en-GB"/>
        </w:rPr>
        <w:t>Boriani</w:t>
      </w:r>
      <w:proofErr w:type="spellEnd"/>
      <w:r w:rsidRPr="003B6CB1">
        <w:rPr>
          <w:color w:val="000000" w:themeColor="text1"/>
          <w:sz w:val="24"/>
          <w:szCs w:val="24"/>
          <w:lang w:val="en-GB"/>
        </w:rPr>
        <w:t xml:space="preserve">, G., </w:t>
      </w:r>
      <w:proofErr w:type="spellStart"/>
      <w:r w:rsidRPr="003B6CB1">
        <w:rPr>
          <w:color w:val="000000" w:themeColor="text1"/>
          <w:sz w:val="24"/>
          <w:szCs w:val="24"/>
          <w:lang w:val="en-GB"/>
        </w:rPr>
        <w:t>Doehner</w:t>
      </w:r>
      <w:proofErr w:type="spellEnd"/>
      <w:r w:rsidRPr="003B6CB1">
        <w:rPr>
          <w:color w:val="000000" w:themeColor="text1"/>
          <w:sz w:val="24"/>
          <w:szCs w:val="24"/>
          <w:lang w:val="en-GB"/>
        </w:rPr>
        <w:t>, W., Benjamin, L.A., Fisher, M., Lowe, D., Sacco, R.L., Schnabel, R. and Watkins, C. (2022) ‘Integrated care for optimizing the management of stroke and associated heart disease: a position paper of the European Society of Cardiology Council on Stroke’, European heart journal, 43(26), pp.2442-2460. Available at: https://doi.org/10.1093/eurheartj/ehac245</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Manalili, K., Lorenzetti, D.L., </w:t>
      </w:r>
      <w:proofErr w:type="spellStart"/>
      <w:r w:rsidRPr="003B6CB1">
        <w:rPr>
          <w:color w:val="000000" w:themeColor="text1"/>
          <w:sz w:val="24"/>
          <w:szCs w:val="24"/>
          <w:lang w:val="en-GB"/>
        </w:rPr>
        <w:t>Egunsola</w:t>
      </w:r>
      <w:proofErr w:type="spellEnd"/>
      <w:r w:rsidRPr="003B6CB1">
        <w:rPr>
          <w:color w:val="000000" w:themeColor="text1"/>
          <w:sz w:val="24"/>
          <w:szCs w:val="24"/>
          <w:lang w:val="en-GB"/>
        </w:rPr>
        <w:t>, O., O'Beirne, M., Hemmelgarn, B., Scott, C.M. and Santana, M.J. (2022) ‘The effectiveness of person</w:t>
      </w:r>
      <w:r w:rsidRPr="003B6CB1">
        <w:rPr>
          <w:rFonts w:ascii="Cambria Math" w:hAnsi="Cambria Math"/>
          <w:color w:val="000000" w:themeColor="text1"/>
          <w:sz w:val="24"/>
          <w:szCs w:val="24"/>
          <w:lang w:val="en-GB"/>
        </w:rPr>
        <w:t>‐</w:t>
      </w:r>
      <w:r w:rsidRPr="003B6CB1">
        <w:rPr>
          <w:color w:val="000000" w:themeColor="text1"/>
          <w:sz w:val="24"/>
          <w:szCs w:val="24"/>
          <w:lang w:val="en-GB"/>
        </w:rPr>
        <w:t xml:space="preserve">centred quality improvement strategies on the management and control of hypertension in primary care: A </w:t>
      </w:r>
      <w:r w:rsidRPr="003B6CB1">
        <w:rPr>
          <w:color w:val="000000" w:themeColor="text1"/>
          <w:sz w:val="24"/>
          <w:szCs w:val="24"/>
          <w:lang w:val="en-GB"/>
        </w:rPr>
        <w:lastRenderedPageBreak/>
        <w:t>systematic review and meta</w:t>
      </w:r>
      <w:r w:rsidRPr="003B6CB1">
        <w:rPr>
          <w:rFonts w:ascii="Cambria Math" w:hAnsi="Cambria Math"/>
          <w:color w:val="000000" w:themeColor="text1"/>
          <w:sz w:val="24"/>
          <w:szCs w:val="24"/>
          <w:lang w:val="en-GB"/>
        </w:rPr>
        <w:t>‐</w:t>
      </w:r>
      <w:r w:rsidRPr="003B6CB1">
        <w:rPr>
          <w:color w:val="000000" w:themeColor="text1"/>
          <w:sz w:val="24"/>
          <w:szCs w:val="24"/>
          <w:lang w:val="en-GB"/>
        </w:rPr>
        <w:t>analysis’, Journal of Evaluation in Clinical Practice, 28(2), pp.260-277</w:t>
      </w:r>
      <w:proofErr w:type="gramStart"/>
      <w:r w:rsidRPr="003B6CB1">
        <w:rPr>
          <w:color w:val="000000" w:themeColor="text1"/>
          <w:sz w:val="24"/>
          <w:szCs w:val="24"/>
          <w:lang w:val="en-GB"/>
        </w:rPr>
        <w:t>. .</w:t>
      </w:r>
      <w:proofErr w:type="gramEnd"/>
      <w:r w:rsidRPr="003B6CB1">
        <w:rPr>
          <w:color w:val="000000" w:themeColor="text1"/>
          <w:sz w:val="24"/>
          <w:szCs w:val="24"/>
          <w:lang w:val="en-GB"/>
        </w:rPr>
        <w:t xml:space="preserve"> Available at: https://doi.org/10.1111/jep.13618</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Mishima, E., </w:t>
      </w:r>
      <w:proofErr w:type="spellStart"/>
      <w:r w:rsidRPr="003B6CB1">
        <w:rPr>
          <w:color w:val="000000" w:themeColor="text1"/>
          <w:sz w:val="24"/>
          <w:szCs w:val="24"/>
          <w:lang w:val="en-GB"/>
        </w:rPr>
        <w:t>Funayama</w:t>
      </w:r>
      <w:proofErr w:type="spellEnd"/>
      <w:r w:rsidRPr="003B6CB1">
        <w:rPr>
          <w:color w:val="000000" w:themeColor="text1"/>
          <w:sz w:val="24"/>
          <w:szCs w:val="24"/>
          <w:lang w:val="en-GB"/>
        </w:rPr>
        <w:t xml:space="preserve">, Y., Suzuki, T., Mishima, F., Nitta, F., </w:t>
      </w:r>
      <w:proofErr w:type="spellStart"/>
      <w:r w:rsidRPr="003B6CB1">
        <w:rPr>
          <w:color w:val="000000" w:themeColor="text1"/>
          <w:sz w:val="24"/>
          <w:szCs w:val="24"/>
          <w:lang w:val="en-GB"/>
        </w:rPr>
        <w:t>Toyohara</w:t>
      </w:r>
      <w:proofErr w:type="spellEnd"/>
      <w:r w:rsidRPr="003B6CB1">
        <w:rPr>
          <w:color w:val="000000" w:themeColor="text1"/>
          <w:sz w:val="24"/>
          <w:szCs w:val="24"/>
          <w:lang w:val="en-GB"/>
        </w:rPr>
        <w:t xml:space="preserve">, T., Kikuchi, K., </w:t>
      </w:r>
      <w:proofErr w:type="spellStart"/>
      <w:r w:rsidRPr="003B6CB1">
        <w:rPr>
          <w:color w:val="000000" w:themeColor="text1"/>
          <w:sz w:val="24"/>
          <w:szCs w:val="24"/>
          <w:lang w:val="en-GB"/>
        </w:rPr>
        <w:t>Kunikata</w:t>
      </w:r>
      <w:proofErr w:type="spellEnd"/>
      <w:r w:rsidRPr="003B6CB1">
        <w:rPr>
          <w:color w:val="000000" w:themeColor="text1"/>
          <w:sz w:val="24"/>
          <w:szCs w:val="24"/>
          <w:lang w:val="en-GB"/>
        </w:rPr>
        <w:t>, H., Hashimoto, J., Miyazaki, M. and Harigae, H. (2021) ‘Concurrent analogous organ damage in the brain, eyes, and kidneys in malignant hypertension: reversible encephalopathy, serous retinal detachment, and proteinuria’, Hypertension Research, 44(1), pp.88-97. Available at: https://doi.org/10.1038/s41440-020-0521-2</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NHS (2026a) Fit for the Future: 10 Year Health Plan for England. Available at: https://www.england.nhs.uk/long-term-plan/ (Accessed: 3rd March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NHS (2026b) </w:t>
      </w:r>
      <w:proofErr w:type="gramStart"/>
      <w:r w:rsidRPr="003B6CB1">
        <w:rPr>
          <w:color w:val="000000" w:themeColor="text1"/>
          <w:sz w:val="24"/>
          <w:szCs w:val="24"/>
          <w:lang w:val="en-GB"/>
        </w:rPr>
        <w:t>Cardiovascular disease</w:t>
      </w:r>
      <w:proofErr w:type="gramEnd"/>
      <w:r w:rsidRPr="003B6CB1">
        <w:rPr>
          <w:color w:val="000000" w:themeColor="text1"/>
          <w:sz w:val="24"/>
          <w:szCs w:val="24"/>
          <w:lang w:val="en-GB"/>
        </w:rPr>
        <w:t xml:space="preserve"> (CVD). Available at: https://www.england.nhs.uk/ourwork/clinical-policy/cvd/ (Accessed: 3rd March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NICE (2025) Hypertension in adults: diagnosis and treatment. Available at: </w:t>
      </w:r>
      <w:r w:rsidRPr="003B6CB1">
        <w:rPr>
          <w:color w:val="000000" w:themeColor="text1"/>
          <w:sz w:val="24"/>
          <w:szCs w:val="24"/>
          <w:lang w:val="en-GB"/>
        </w:rPr>
        <w:t>https://www.nice.org.uk/guidance/ng136/resources/visual-summary-pdf-6899919517 ((Accessed: 3rd March 2026)</w:t>
      </w:r>
    </w:p>
    <w:p w:rsidR="00DF780A" w:rsidRPr="003B6CB1" w:rsidRDefault="00DF780A" w:rsidP="00135869">
      <w:pPr>
        <w:spacing w:before="240" w:line="360" w:lineRule="auto"/>
        <w:jc w:val="both"/>
        <w:rPr>
          <w:color w:val="000000" w:themeColor="text1"/>
          <w:sz w:val="24"/>
          <w:szCs w:val="24"/>
          <w:lang w:val="en-GB"/>
        </w:rPr>
      </w:pPr>
      <w:proofErr w:type="spellStart"/>
      <w:r w:rsidRPr="003B6CB1">
        <w:rPr>
          <w:color w:val="000000" w:themeColor="text1"/>
          <w:sz w:val="24"/>
          <w:szCs w:val="24"/>
          <w:lang w:val="en-GB"/>
        </w:rPr>
        <w:t>Ojangba</w:t>
      </w:r>
      <w:proofErr w:type="spellEnd"/>
      <w:r w:rsidRPr="003B6CB1">
        <w:rPr>
          <w:color w:val="000000" w:themeColor="text1"/>
          <w:sz w:val="24"/>
          <w:szCs w:val="24"/>
          <w:lang w:val="en-GB"/>
        </w:rPr>
        <w:t xml:space="preserve">, T., Boamah, S., Miao, Y., Guo, X., Fen, Y., </w:t>
      </w:r>
      <w:proofErr w:type="spellStart"/>
      <w:r w:rsidRPr="003B6CB1">
        <w:rPr>
          <w:color w:val="000000" w:themeColor="text1"/>
          <w:sz w:val="24"/>
          <w:szCs w:val="24"/>
          <w:lang w:val="en-GB"/>
        </w:rPr>
        <w:t>Agboyibor</w:t>
      </w:r>
      <w:proofErr w:type="spellEnd"/>
      <w:r w:rsidRPr="003B6CB1">
        <w:rPr>
          <w:color w:val="000000" w:themeColor="text1"/>
          <w:sz w:val="24"/>
          <w:szCs w:val="24"/>
          <w:lang w:val="en-GB"/>
        </w:rPr>
        <w:t>, C., Yuan, J. and Dong, W. (2023) ‘Comprehensive effects of lifestyle reform, adherence, and related factors on hypertension control: A review’, The Journal of Clinical Hypertension, 25(6), pp.509-520. Available at: https://doi.org/10.1111/jch.14653</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Pringle, P. (2019) Four million people are living with untreated high blood pressure, new estimates show. Available at: https://www.bhf.org.uk/what-we-do/news-from-the-bhf/news-archive/2019/may/four-million-people-are-living-with-untreated-high-blood-pressure (Accessed: 28 February 2026)</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Roy, M. and Chakraborty, S. (2024) ‘How does the stiffness of blood vessel walls and deposited plaques impact coronary artery diseases?’, Physics of Fluids, 36(8). Available at: https://doi.org/10.1063/5.0226771</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lastRenderedPageBreak/>
        <w:t>Sierra, C. (2020) ‘Hypertension and the risk of dementia’, Frontiers in cardiovascular medicine, 7, p.5. Available at: https://doi.org/10.3389/fcvm.2020.00005</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Silva, G.O., Andrade-Lima, A., Germano-Soares, A.H., Lima-Junior, D.D., Rodrigues, S.L., </w:t>
      </w:r>
      <w:proofErr w:type="spellStart"/>
      <w:r w:rsidRPr="003B6CB1">
        <w:rPr>
          <w:color w:val="000000" w:themeColor="text1"/>
          <w:sz w:val="24"/>
          <w:szCs w:val="24"/>
          <w:lang w:val="en-GB"/>
        </w:rPr>
        <w:t>Ritti</w:t>
      </w:r>
      <w:proofErr w:type="spellEnd"/>
      <w:r w:rsidRPr="003B6CB1">
        <w:rPr>
          <w:color w:val="000000" w:themeColor="text1"/>
          <w:sz w:val="24"/>
          <w:szCs w:val="24"/>
          <w:lang w:val="en-GB"/>
        </w:rPr>
        <w:t>-Dias, R.M. and Farah, B.Q. (2020) ‘Factors associated with quality of life in patients with systemic arterial hypertension’, International Journal of Cardiovascular Sciences, 33, pp.133-142. Available at: https://doi.org/10.5935/2359-4802.20190092</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Sinnott, S.J., Douglas, I.J., Smeeth, L., Williamson, E. and Tomlinson, L.A. (2020) ‘First line drug treatment for hypertension and reductions in blood pressure according to age and ethnicity: cohort study in UK primary care’, </w:t>
      </w:r>
      <w:proofErr w:type="spellStart"/>
      <w:r w:rsidRPr="003B6CB1">
        <w:rPr>
          <w:color w:val="000000" w:themeColor="text1"/>
          <w:sz w:val="24"/>
          <w:szCs w:val="24"/>
          <w:lang w:val="en-GB"/>
        </w:rPr>
        <w:t>bmj</w:t>
      </w:r>
      <w:proofErr w:type="spellEnd"/>
      <w:r w:rsidRPr="003B6CB1">
        <w:rPr>
          <w:color w:val="000000" w:themeColor="text1"/>
          <w:sz w:val="24"/>
          <w:szCs w:val="24"/>
          <w:lang w:val="en-GB"/>
        </w:rPr>
        <w:t>, 371. Available at: https://doi.org/10.1136/bmj.m4080</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 xml:space="preserve">Tanner, L., Kenny, R.P.W., Still, M., Ling, J., Pearson, F., Thompson, K. and Bhardwaj-Gosling, R. (2022) ‘NHS Health Check programme: a rapid review update’, BMJ open, 12(2), p.e052832. Available at: </w:t>
      </w:r>
      <w:r w:rsidRPr="003B6CB1">
        <w:rPr>
          <w:color w:val="000000" w:themeColor="text1"/>
          <w:sz w:val="24"/>
          <w:szCs w:val="24"/>
          <w:lang w:val="en-GB"/>
        </w:rPr>
        <w:t>https://doi.org/10.1136/bmjopen-2021-052832</w:t>
      </w:r>
    </w:p>
    <w:p w:rsidR="00DF780A" w:rsidRPr="003B6CB1" w:rsidRDefault="00DF780A" w:rsidP="00135869">
      <w:pPr>
        <w:spacing w:before="240" w:line="360" w:lineRule="auto"/>
        <w:jc w:val="both"/>
        <w:rPr>
          <w:color w:val="000000" w:themeColor="text1"/>
          <w:sz w:val="24"/>
          <w:szCs w:val="24"/>
          <w:lang w:val="en-GB"/>
        </w:rPr>
      </w:pPr>
      <w:proofErr w:type="spellStart"/>
      <w:r w:rsidRPr="003B6CB1">
        <w:rPr>
          <w:color w:val="000000" w:themeColor="text1"/>
          <w:sz w:val="24"/>
          <w:szCs w:val="24"/>
          <w:lang w:val="en-GB"/>
        </w:rPr>
        <w:t>Towfighi</w:t>
      </w:r>
      <w:proofErr w:type="spellEnd"/>
      <w:r w:rsidRPr="003B6CB1">
        <w:rPr>
          <w:color w:val="000000" w:themeColor="text1"/>
          <w:sz w:val="24"/>
          <w:szCs w:val="24"/>
          <w:lang w:val="en-GB"/>
        </w:rPr>
        <w:t xml:space="preserve">, A., Cheng, E.M., Ayala-Rivera, M., Barry, F., McCreath, H., Ganz, D.A., Lee, M.L., </w:t>
      </w:r>
      <w:proofErr w:type="spellStart"/>
      <w:r w:rsidRPr="003B6CB1">
        <w:rPr>
          <w:color w:val="000000" w:themeColor="text1"/>
          <w:sz w:val="24"/>
          <w:szCs w:val="24"/>
          <w:lang w:val="en-GB"/>
        </w:rPr>
        <w:t>Sanossian</w:t>
      </w:r>
      <w:proofErr w:type="spellEnd"/>
      <w:r w:rsidRPr="003B6CB1">
        <w:rPr>
          <w:color w:val="000000" w:themeColor="text1"/>
          <w:sz w:val="24"/>
          <w:szCs w:val="24"/>
          <w:lang w:val="en-GB"/>
        </w:rPr>
        <w:t>, N., Mehta, B., Dutta, T. and Razmara, A. (2021) ‘Effect of a coordinated community and chronic care model team intervention vs usual care on systolic blood pressure in patients with stroke or transient ischemic attack: the SUCCEED randomized clinical trial’, JAMA network open, 4(2), p.e2036227. Available at: https://doi.org/10.1001/jamanetworkopen.2020.36227</w:t>
      </w:r>
    </w:p>
    <w:p w:rsidR="00DF780A" w:rsidRPr="003B6CB1" w:rsidRDefault="00DF780A" w:rsidP="00135869">
      <w:pPr>
        <w:spacing w:before="240" w:line="360" w:lineRule="auto"/>
        <w:jc w:val="both"/>
        <w:rPr>
          <w:color w:val="000000" w:themeColor="text1"/>
          <w:sz w:val="24"/>
          <w:szCs w:val="24"/>
          <w:lang w:val="en-GB"/>
        </w:rPr>
      </w:pPr>
      <w:r w:rsidRPr="003B6CB1">
        <w:rPr>
          <w:color w:val="000000" w:themeColor="text1"/>
          <w:sz w:val="24"/>
          <w:szCs w:val="24"/>
          <w:lang w:val="en-GB"/>
        </w:rPr>
        <w:t>WHO (</w:t>
      </w:r>
      <w:proofErr w:type="gramStart"/>
      <w:r w:rsidRPr="003B6CB1">
        <w:rPr>
          <w:color w:val="000000" w:themeColor="text1"/>
          <w:sz w:val="24"/>
          <w:szCs w:val="24"/>
          <w:lang w:val="en-GB"/>
        </w:rPr>
        <w:t>2025)Hypertension</w:t>
      </w:r>
      <w:proofErr w:type="gramEnd"/>
      <w:r w:rsidRPr="003B6CB1">
        <w:rPr>
          <w:color w:val="000000" w:themeColor="text1"/>
          <w:sz w:val="24"/>
          <w:szCs w:val="24"/>
          <w:lang w:val="en-GB"/>
        </w:rPr>
        <w:t>. Available at: https://www.who.int/news-room/fact-sheets/detail/hypertension (Accessed: 27 February 2026)</w:t>
      </w:r>
    </w:p>
    <w:p w:rsidR="002F7F84" w:rsidRDefault="00DF780A" w:rsidP="00135869">
      <w:pPr>
        <w:spacing w:before="240" w:line="360" w:lineRule="auto"/>
        <w:jc w:val="both"/>
        <w:rPr>
          <w:color w:val="000000" w:themeColor="text1"/>
          <w:sz w:val="24"/>
          <w:szCs w:val="24"/>
          <w:lang w:val="en-GB"/>
        </w:rPr>
      </w:pPr>
      <w:proofErr w:type="spellStart"/>
      <w:r w:rsidRPr="003B6CB1">
        <w:rPr>
          <w:color w:val="000000" w:themeColor="text1"/>
          <w:sz w:val="24"/>
          <w:szCs w:val="24"/>
          <w:lang w:val="en-GB"/>
        </w:rPr>
        <w:t>Wierzejska</w:t>
      </w:r>
      <w:proofErr w:type="spellEnd"/>
      <w:r w:rsidRPr="003B6CB1">
        <w:rPr>
          <w:color w:val="000000" w:themeColor="text1"/>
          <w:sz w:val="24"/>
          <w:szCs w:val="24"/>
          <w:lang w:val="en-GB"/>
        </w:rPr>
        <w:t xml:space="preserve">, E., </w:t>
      </w:r>
      <w:proofErr w:type="spellStart"/>
      <w:r w:rsidRPr="003B6CB1">
        <w:rPr>
          <w:color w:val="000000" w:themeColor="text1"/>
          <w:sz w:val="24"/>
          <w:szCs w:val="24"/>
          <w:lang w:val="en-GB"/>
        </w:rPr>
        <w:t>Giernaś</w:t>
      </w:r>
      <w:proofErr w:type="spellEnd"/>
      <w:r w:rsidRPr="003B6CB1">
        <w:rPr>
          <w:color w:val="000000" w:themeColor="text1"/>
          <w:sz w:val="24"/>
          <w:szCs w:val="24"/>
          <w:lang w:val="en-GB"/>
        </w:rPr>
        <w:t xml:space="preserve">, B., </w:t>
      </w:r>
      <w:proofErr w:type="spellStart"/>
      <w:r w:rsidRPr="003B6CB1">
        <w:rPr>
          <w:color w:val="000000" w:themeColor="text1"/>
          <w:sz w:val="24"/>
          <w:szCs w:val="24"/>
          <w:lang w:val="en-GB"/>
        </w:rPr>
        <w:t>Lipiak</w:t>
      </w:r>
      <w:proofErr w:type="spellEnd"/>
      <w:r w:rsidRPr="003B6CB1">
        <w:rPr>
          <w:color w:val="000000" w:themeColor="text1"/>
          <w:sz w:val="24"/>
          <w:szCs w:val="24"/>
          <w:lang w:val="en-GB"/>
        </w:rPr>
        <w:t xml:space="preserve">, A., Karasiewicz, M., </w:t>
      </w:r>
      <w:proofErr w:type="spellStart"/>
      <w:r w:rsidRPr="003B6CB1">
        <w:rPr>
          <w:color w:val="000000" w:themeColor="text1"/>
          <w:sz w:val="24"/>
          <w:szCs w:val="24"/>
          <w:lang w:val="en-GB"/>
        </w:rPr>
        <w:t>Cofta</w:t>
      </w:r>
      <w:proofErr w:type="spellEnd"/>
      <w:r w:rsidRPr="003B6CB1">
        <w:rPr>
          <w:color w:val="000000" w:themeColor="text1"/>
          <w:sz w:val="24"/>
          <w:szCs w:val="24"/>
          <w:lang w:val="en-GB"/>
        </w:rPr>
        <w:t xml:space="preserve">, M. and Staszewski, R. (2020) ‘A global perspective on the costs of hypertension: a systematic review’, Archives of Medical </w:t>
      </w:r>
    </w:p>
    <w:p w:rsidR="00DF780A" w:rsidRPr="003B6CB1" w:rsidRDefault="00DF780A" w:rsidP="002F7F84">
      <w:pPr>
        <w:rPr>
          <w:color w:val="000000" w:themeColor="text1"/>
          <w:sz w:val="24"/>
          <w:szCs w:val="24"/>
          <w:lang w:val="en-GB"/>
        </w:rPr>
      </w:pPr>
      <w:r w:rsidRPr="003B6CB1">
        <w:rPr>
          <w:color w:val="000000" w:themeColor="text1"/>
          <w:sz w:val="24"/>
          <w:szCs w:val="24"/>
          <w:lang w:val="en-GB"/>
        </w:rPr>
        <w:t>Science, 16(1), pp.1078-1091. Available at: https://doi.org/10.5114/aoms.2020.92689</w:t>
      </w:r>
    </w:p>
    <w:p w:rsidR="003C571E" w:rsidRPr="003B6CB1" w:rsidRDefault="003C571E" w:rsidP="00135869">
      <w:pPr>
        <w:spacing w:before="240" w:line="360" w:lineRule="auto"/>
        <w:jc w:val="both"/>
        <w:rPr>
          <w:color w:val="000000" w:themeColor="text1"/>
          <w:sz w:val="24"/>
          <w:szCs w:val="24"/>
          <w:lang w:val="en-GB"/>
        </w:rPr>
        <w:sectPr w:rsidR="003C571E" w:rsidRPr="003B6CB1" w:rsidSect="003C571E">
          <w:type w:val="continuous"/>
          <w:pgSz w:w="12240" w:h="15840"/>
          <w:pgMar w:top="1440" w:right="1440" w:bottom="1440" w:left="1440" w:header="720" w:footer="720" w:gutter="0"/>
          <w:pgNumType w:start="1"/>
          <w:cols w:num="2" w:space="720"/>
          <w:titlePg/>
          <w:docGrid w:linePitch="299"/>
        </w:sectPr>
      </w:pPr>
    </w:p>
    <w:p w:rsidR="002D046A" w:rsidRDefault="002D046A">
      <w:pPr>
        <w:rPr>
          <w:color w:val="000000" w:themeColor="text1"/>
          <w:sz w:val="24"/>
          <w:szCs w:val="24"/>
          <w:lang w:val="en-GB"/>
        </w:rPr>
      </w:pPr>
      <w:r>
        <w:rPr>
          <w:color w:val="000000" w:themeColor="text1"/>
          <w:sz w:val="24"/>
          <w:szCs w:val="24"/>
          <w:lang w:val="en-GB"/>
        </w:rPr>
        <w:br w:type="page"/>
      </w:r>
    </w:p>
    <w:sectPr w:rsidR="002D046A" w:rsidSect="003C571E">
      <w:type w:val="continuous"/>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0BDF" w:rsidRDefault="00790BDF" w:rsidP="001B49D6">
      <w:pPr>
        <w:spacing w:line="240" w:lineRule="auto"/>
      </w:pPr>
      <w:r>
        <w:separator/>
      </w:r>
    </w:p>
  </w:endnote>
  <w:endnote w:type="continuationSeparator" w:id="0">
    <w:p w:rsidR="00790BDF" w:rsidRDefault="00790BDF" w:rsidP="001B49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C5D7A73-ED97-4AF2-87B6-A2AF00A7CADC}"/>
  </w:font>
  <w:font w:name="Calibri">
    <w:panose1 w:val="020F0502020204030204"/>
    <w:charset w:val="00"/>
    <w:family w:val="swiss"/>
    <w:pitch w:val="variable"/>
    <w:sig w:usb0="E4002EFF" w:usb1="C000247B" w:usb2="00000009" w:usb3="00000000" w:csb0="000001FF" w:csb1="00000000"/>
    <w:embedRegular r:id="rId2" w:fontKey="{36A86AB2-DFD1-4CBE-AFE3-7B569F07D48C}"/>
    <w:embedBold r:id="rId3" w:fontKey="{78E5BE21-3860-44B4-ADE1-74751F103327}"/>
  </w:font>
  <w:font w:name="Cambria">
    <w:panose1 w:val="02040503050406030204"/>
    <w:charset w:val="00"/>
    <w:family w:val="roman"/>
    <w:pitch w:val="variable"/>
    <w:sig w:usb0="E00006FF" w:usb1="420024FF" w:usb2="02000000" w:usb3="00000000" w:csb0="0000019F" w:csb1="00000000"/>
    <w:embedRegular r:id="rId4" w:fontKey="{43E98E32-F35D-4935-9194-FAAD754B0D8E}"/>
  </w:font>
  <w:font w:name="Cambria Math">
    <w:panose1 w:val="02040503050406030204"/>
    <w:charset w:val="00"/>
    <w:family w:val="roman"/>
    <w:pitch w:val="variable"/>
    <w:sig w:usb0="E00006FF" w:usb1="420024FF" w:usb2="02000000" w:usb3="00000000" w:csb0="0000019F" w:csb1="00000000"/>
    <w:embedRegular r:id="rId5" w:fontKey="{1634E02D-3EB7-415A-871A-D330F0B2CAC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825402"/>
      <w:docPartObj>
        <w:docPartGallery w:val="Page Numbers (Bottom of Page)"/>
        <w:docPartUnique/>
      </w:docPartObj>
    </w:sdtPr>
    <w:sdtContent>
      <w:p w:rsidR="00FB25A8" w:rsidRDefault="00BF7E14">
        <w:pPr>
          <w:pStyle w:val="Footer"/>
          <w:jc w:val="right"/>
        </w:pPr>
        <w:r w:rsidRPr="00FB25A8">
          <w:rPr>
            <w:sz w:val="20"/>
            <w:szCs w:val="20"/>
          </w:rPr>
          <w:fldChar w:fldCharType="begin"/>
        </w:r>
        <w:r w:rsidR="00FB25A8" w:rsidRPr="00FB25A8">
          <w:rPr>
            <w:sz w:val="20"/>
            <w:szCs w:val="20"/>
          </w:rPr>
          <w:instrText xml:space="preserve"> PAGE   \* MERGEFORMAT </w:instrText>
        </w:r>
        <w:r w:rsidRPr="00FB25A8">
          <w:rPr>
            <w:sz w:val="20"/>
            <w:szCs w:val="20"/>
          </w:rPr>
          <w:fldChar w:fldCharType="separate"/>
        </w:r>
        <w:r w:rsidR="00303A1E">
          <w:rPr>
            <w:noProof/>
            <w:sz w:val="20"/>
            <w:szCs w:val="20"/>
          </w:rPr>
          <w:t>3</w:t>
        </w:r>
        <w:r w:rsidRPr="00FB25A8">
          <w:rPr>
            <w:sz w:val="20"/>
            <w:szCs w:val="20"/>
          </w:rPr>
          <w:fldChar w:fldCharType="end"/>
        </w:r>
      </w:p>
    </w:sdtContent>
  </w:sdt>
  <w:p w:rsidR="00FB25A8" w:rsidRDefault="00FB2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86529" w:rsidRDefault="00F86529">
    <w:pPr>
      <w:pStyle w:val="Footer"/>
      <w:jc w:val="right"/>
    </w:pPr>
  </w:p>
  <w:p w:rsidR="00F86529" w:rsidRDefault="00F86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0BDF" w:rsidRDefault="00790BDF" w:rsidP="001B49D6">
      <w:pPr>
        <w:spacing w:line="240" w:lineRule="auto"/>
      </w:pPr>
      <w:r>
        <w:separator/>
      </w:r>
    </w:p>
  </w:footnote>
  <w:footnote w:type="continuationSeparator" w:id="0">
    <w:p w:rsidR="00790BDF" w:rsidRDefault="00790BDF" w:rsidP="001B49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93874"/>
    <w:multiLevelType w:val="hybridMultilevel"/>
    <w:tmpl w:val="1B1C8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3F0965"/>
    <w:multiLevelType w:val="multilevel"/>
    <w:tmpl w:val="2E3E4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7F275B"/>
    <w:multiLevelType w:val="multilevel"/>
    <w:tmpl w:val="1EB2D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5059406">
    <w:abstractNumId w:val="1"/>
  </w:num>
  <w:num w:numId="2" w16cid:durableId="496578761">
    <w:abstractNumId w:val="2"/>
  </w:num>
  <w:num w:numId="3" w16cid:durableId="82609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removePersonalInformation/>
  <w:removeDateAndTime/>
  <w:displayBackgroundShape/>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49D6"/>
    <w:rsid w:val="000105EE"/>
    <w:rsid w:val="0001215B"/>
    <w:rsid w:val="0009732D"/>
    <w:rsid w:val="00135869"/>
    <w:rsid w:val="0014383D"/>
    <w:rsid w:val="001B49D6"/>
    <w:rsid w:val="0020729F"/>
    <w:rsid w:val="002C1284"/>
    <w:rsid w:val="002D046A"/>
    <w:rsid w:val="002F7F84"/>
    <w:rsid w:val="00303A1E"/>
    <w:rsid w:val="003241E5"/>
    <w:rsid w:val="003939BC"/>
    <w:rsid w:val="00395AEB"/>
    <w:rsid w:val="003B6CB1"/>
    <w:rsid w:val="003C571E"/>
    <w:rsid w:val="004346A5"/>
    <w:rsid w:val="004B25C9"/>
    <w:rsid w:val="004C72E0"/>
    <w:rsid w:val="004F1E48"/>
    <w:rsid w:val="00516D73"/>
    <w:rsid w:val="00561349"/>
    <w:rsid w:val="0057711E"/>
    <w:rsid w:val="005D1F81"/>
    <w:rsid w:val="005F0641"/>
    <w:rsid w:val="00744DED"/>
    <w:rsid w:val="0075567F"/>
    <w:rsid w:val="00782B83"/>
    <w:rsid w:val="00790BDF"/>
    <w:rsid w:val="007A7423"/>
    <w:rsid w:val="007B0EF7"/>
    <w:rsid w:val="008203C6"/>
    <w:rsid w:val="00866E20"/>
    <w:rsid w:val="008765EF"/>
    <w:rsid w:val="008B7ADE"/>
    <w:rsid w:val="00936D1F"/>
    <w:rsid w:val="009517B1"/>
    <w:rsid w:val="00991ACB"/>
    <w:rsid w:val="00994891"/>
    <w:rsid w:val="009A5460"/>
    <w:rsid w:val="009E0E2D"/>
    <w:rsid w:val="00A86C6F"/>
    <w:rsid w:val="00AA3AD1"/>
    <w:rsid w:val="00AA62CC"/>
    <w:rsid w:val="00AF1CEE"/>
    <w:rsid w:val="00B31C92"/>
    <w:rsid w:val="00B849DD"/>
    <w:rsid w:val="00B86AAF"/>
    <w:rsid w:val="00BC60E0"/>
    <w:rsid w:val="00BD35A1"/>
    <w:rsid w:val="00BF7E14"/>
    <w:rsid w:val="00C97B12"/>
    <w:rsid w:val="00CB1FB7"/>
    <w:rsid w:val="00CF3F17"/>
    <w:rsid w:val="00D1697C"/>
    <w:rsid w:val="00D92358"/>
    <w:rsid w:val="00DF780A"/>
    <w:rsid w:val="00DF7820"/>
    <w:rsid w:val="00E44249"/>
    <w:rsid w:val="00E6506B"/>
    <w:rsid w:val="00E85771"/>
    <w:rsid w:val="00EE3D83"/>
    <w:rsid w:val="00EE79F2"/>
    <w:rsid w:val="00F07777"/>
    <w:rsid w:val="00F14AB8"/>
    <w:rsid w:val="00F36C0A"/>
    <w:rsid w:val="00F702DF"/>
    <w:rsid w:val="00F86529"/>
    <w:rsid w:val="00FA6985"/>
    <w:rsid w:val="00FB0029"/>
    <w:rsid w:val="00FB25A8"/>
    <w:rsid w:val="00FC4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D8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2DF"/>
  </w:style>
  <w:style w:type="paragraph" w:styleId="Heading1">
    <w:name w:val="heading 1"/>
    <w:basedOn w:val="Normal1"/>
    <w:next w:val="Normal1"/>
    <w:rsid w:val="00395AEB"/>
    <w:pPr>
      <w:keepNext/>
      <w:keepLines/>
      <w:spacing w:before="400" w:after="120" w:line="360" w:lineRule="auto"/>
      <w:jc w:val="both"/>
      <w:outlineLvl w:val="0"/>
    </w:pPr>
    <w:rPr>
      <w:b/>
      <w:sz w:val="28"/>
      <w:szCs w:val="40"/>
    </w:rPr>
  </w:style>
  <w:style w:type="paragraph" w:styleId="Heading2">
    <w:name w:val="heading 2"/>
    <w:basedOn w:val="Normal1"/>
    <w:next w:val="Normal1"/>
    <w:rsid w:val="00395AEB"/>
    <w:pPr>
      <w:keepNext/>
      <w:keepLines/>
      <w:spacing w:before="360" w:after="120" w:line="360" w:lineRule="auto"/>
      <w:jc w:val="both"/>
      <w:outlineLvl w:val="1"/>
    </w:pPr>
    <w:rPr>
      <w:b/>
      <w:sz w:val="24"/>
      <w:szCs w:val="32"/>
    </w:rPr>
  </w:style>
  <w:style w:type="paragraph" w:styleId="Heading3">
    <w:name w:val="heading 3"/>
    <w:basedOn w:val="Normal1"/>
    <w:next w:val="Normal1"/>
    <w:rsid w:val="001B49D6"/>
    <w:pPr>
      <w:keepNext/>
      <w:keepLines/>
      <w:spacing w:before="320" w:after="80"/>
      <w:outlineLvl w:val="2"/>
    </w:pPr>
    <w:rPr>
      <w:color w:val="434343"/>
      <w:sz w:val="28"/>
      <w:szCs w:val="28"/>
    </w:rPr>
  </w:style>
  <w:style w:type="paragraph" w:styleId="Heading4">
    <w:name w:val="heading 4"/>
    <w:basedOn w:val="Normal1"/>
    <w:next w:val="Normal1"/>
    <w:rsid w:val="001B49D6"/>
    <w:pPr>
      <w:keepNext/>
      <w:keepLines/>
      <w:spacing w:before="280" w:after="80"/>
      <w:outlineLvl w:val="3"/>
    </w:pPr>
    <w:rPr>
      <w:color w:val="666666"/>
      <w:sz w:val="24"/>
      <w:szCs w:val="24"/>
    </w:rPr>
  </w:style>
  <w:style w:type="paragraph" w:styleId="Heading5">
    <w:name w:val="heading 5"/>
    <w:basedOn w:val="Normal1"/>
    <w:next w:val="Normal1"/>
    <w:rsid w:val="001B49D6"/>
    <w:pPr>
      <w:keepNext/>
      <w:keepLines/>
      <w:spacing w:before="240" w:after="80"/>
      <w:outlineLvl w:val="4"/>
    </w:pPr>
    <w:rPr>
      <w:color w:val="666666"/>
    </w:rPr>
  </w:style>
  <w:style w:type="paragraph" w:styleId="Heading6">
    <w:name w:val="heading 6"/>
    <w:basedOn w:val="Normal1"/>
    <w:next w:val="Normal1"/>
    <w:rsid w:val="001B49D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B49D6"/>
    <w:tblPr>
      <w:tblCellMar>
        <w:top w:w="100" w:type="dxa"/>
        <w:left w:w="100" w:type="dxa"/>
        <w:bottom w:w="100" w:type="dxa"/>
        <w:right w:w="100" w:type="dxa"/>
      </w:tblCellMar>
    </w:tblPr>
  </w:style>
  <w:style w:type="paragraph" w:customStyle="1" w:styleId="Normal1">
    <w:name w:val="Normal1"/>
    <w:rsid w:val="001B49D6"/>
  </w:style>
  <w:style w:type="paragraph" w:styleId="Title">
    <w:name w:val="Title"/>
    <w:basedOn w:val="Normal1"/>
    <w:next w:val="Normal1"/>
    <w:rsid w:val="001B49D6"/>
    <w:pPr>
      <w:keepNext/>
      <w:keepLines/>
      <w:spacing w:after="60"/>
    </w:pPr>
    <w:rPr>
      <w:sz w:val="52"/>
      <w:szCs w:val="52"/>
    </w:rPr>
  </w:style>
  <w:style w:type="paragraph" w:styleId="Subtitle">
    <w:name w:val="Subtitle"/>
    <w:basedOn w:val="Normal1"/>
    <w:next w:val="Normal1"/>
    <w:rsid w:val="001B49D6"/>
    <w:pPr>
      <w:keepNext/>
      <w:keepLines/>
      <w:spacing w:after="320"/>
    </w:pPr>
    <w:rPr>
      <w:color w:val="666666"/>
      <w:sz w:val="30"/>
      <w:szCs w:val="30"/>
    </w:rPr>
  </w:style>
  <w:style w:type="table" w:customStyle="1" w:styleId="a">
    <w:basedOn w:val="TableNormal0"/>
    <w:rsid w:val="001B49D6"/>
    <w:tblPr>
      <w:tblStyleRowBandSize w:val="1"/>
      <w:tblStyleColBandSize w:val="1"/>
    </w:tblPr>
  </w:style>
  <w:style w:type="paragraph" w:styleId="CommentText">
    <w:name w:val="annotation text"/>
    <w:basedOn w:val="Normal"/>
    <w:link w:val="CommentTextChar"/>
    <w:uiPriority w:val="99"/>
    <w:semiHidden/>
    <w:unhideWhenUsed/>
    <w:rsid w:val="001B49D6"/>
    <w:pPr>
      <w:spacing w:line="240" w:lineRule="auto"/>
    </w:pPr>
    <w:rPr>
      <w:sz w:val="20"/>
      <w:szCs w:val="20"/>
    </w:rPr>
  </w:style>
  <w:style w:type="character" w:customStyle="1" w:styleId="CommentTextChar">
    <w:name w:val="Comment Text Char"/>
    <w:basedOn w:val="DefaultParagraphFont"/>
    <w:link w:val="CommentText"/>
    <w:uiPriority w:val="99"/>
    <w:semiHidden/>
    <w:rsid w:val="001B49D6"/>
    <w:rPr>
      <w:sz w:val="20"/>
      <w:szCs w:val="20"/>
    </w:rPr>
  </w:style>
  <w:style w:type="character" w:styleId="CommentReference">
    <w:name w:val="annotation reference"/>
    <w:basedOn w:val="DefaultParagraphFont"/>
    <w:uiPriority w:val="99"/>
    <w:semiHidden/>
    <w:unhideWhenUsed/>
    <w:rsid w:val="001B49D6"/>
    <w:rPr>
      <w:sz w:val="16"/>
      <w:szCs w:val="16"/>
    </w:rPr>
  </w:style>
  <w:style w:type="paragraph" w:styleId="BalloonText">
    <w:name w:val="Balloon Text"/>
    <w:basedOn w:val="Normal"/>
    <w:link w:val="BalloonTextChar"/>
    <w:uiPriority w:val="99"/>
    <w:semiHidden/>
    <w:unhideWhenUsed/>
    <w:rsid w:val="00FC4E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E73"/>
    <w:rPr>
      <w:rFonts w:ascii="Tahoma" w:hAnsi="Tahoma" w:cs="Tahoma"/>
      <w:sz w:val="16"/>
      <w:szCs w:val="16"/>
    </w:rPr>
  </w:style>
  <w:style w:type="paragraph" w:styleId="TOCHeading">
    <w:name w:val="TOC Heading"/>
    <w:basedOn w:val="Heading1"/>
    <w:next w:val="Normal"/>
    <w:uiPriority w:val="39"/>
    <w:semiHidden/>
    <w:unhideWhenUsed/>
    <w:qFormat/>
    <w:rsid w:val="004F1E4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F1E48"/>
    <w:pPr>
      <w:spacing w:after="100"/>
    </w:pPr>
  </w:style>
  <w:style w:type="paragraph" w:styleId="TOC2">
    <w:name w:val="toc 2"/>
    <w:basedOn w:val="Normal"/>
    <w:next w:val="Normal"/>
    <w:autoRedefine/>
    <w:uiPriority w:val="39"/>
    <w:unhideWhenUsed/>
    <w:rsid w:val="004F1E48"/>
    <w:pPr>
      <w:spacing w:after="100"/>
      <w:ind w:left="220"/>
    </w:pPr>
  </w:style>
  <w:style w:type="paragraph" w:styleId="TOC3">
    <w:name w:val="toc 3"/>
    <w:basedOn w:val="Normal"/>
    <w:next w:val="Normal"/>
    <w:autoRedefine/>
    <w:uiPriority w:val="39"/>
    <w:unhideWhenUsed/>
    <w:rsid w:val="004F1E48"/>
    <w:pPr>
      <w:spacing w:after="100"/>
      <w:ind w:left="440"/>
    </w:pPr>
  </w:style>
  <w:style w:type="character" w:styleId="Hyperlink">
    <w:name w:val="Hyperlink"/>
    <w:basedOn w:val="DefaultParagraphFont"/>
    <w:uiPriority w:val="99"/>
    <w:unhideWhenUsed/>
    <w:rsid w:val="004F1E48"/>
    <w:rPr>
      <w:color w:val="0000FF" w:themeColor="hyperlink"/>
      <w:u w:val="single"/>
    </w:rPr>
  </w:style>
  <w:style w:type="paragraph" w:styleId="Header">
    <w:name w:val="header"/>
    <w:basedOn w:val="Normal"/>
    <w:link w:val="HeaderChar"/>
    <w:uiPriority w:val="99"/>
    <w:semiHidden/>
    <w:unhideWhenUsed/>
    <w:rsid w:val="00FB25A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B25A8"/>
  </w:style>
  <w:style w:type="paragraph" w:styleId="Footer">
    <w:name w:val="footer"/>
    <w:basedOn w:val="Normal"/>
    <w:link w:val="FooterChar"/>
    <w:uiPriority w:val="99"/>
    <w:unhideWhenUsed/>
    <w:rsid w:val="00FB25A8"/>
    <w:pPr>
      <w:tabs>
        <w:tab w:val="center" w:pos="4680"/>
        <w:tab w:val="right" w:pos="9360"/>
      </w:tabs>
      <w:spacing w:line="240" w:lineRule="auto"/>
    </w:pPr>
  </w:style>
  <w:style w:type="character" w:customStyle="1" w:styleId="FooterChar">
    <w:name w:val="Footer Char"/>
    <w:basedOn w:val="DefaultParagraphFont"/>
    <w:link w:val="Footer"/>
    <w:uiPriority w:val="99"/>
    <w:rsid w:val="00FB25A8"/>
  </w:style>
  <w:style w:type="paragraph" w:styleId="ListParagraph">
    <w:name w:val="List Paragraph"/>
    <w:basedOn w:val="Normal"/>
    <w:uiPriority w:val="34"/>
    <w:qFormat/>
    <w:rsid w:val="005613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gif"/><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5367</Words>
  <Characters>30596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2026-03-05T14:41:00Z</dcterms:created>
  <dcterms:modified xsi:type="dcterms:W3CDTF">2026-03-17T06:51:00Z</dcterms:modified>
</cp:coreProperties>
</file>