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2D12" w:rsidRPr="00D21B34" w:rsidRDefault="009C2D12">
      <w:r w:rsidRPr="00D21B34">
        <w:t>Charlotte Murdoch</w:t>
      </w:r>
    </w:p>
    <w:p w:rsidR="009C2D12" w:rsidRPr="00D21B34" w:rsidRDefault="009C2D12"/>
    <w:p w:rsidR="00CA2DBF" w:rsidRPr="00D21B34" w:rsidRDefault="00920093" w:rsidP="006745ED">
      <w:pPr>
        <w:jc w:val="center"/>
        <w:rPr>
          <w:sz w:val="32"/>
        </w:rPr>
      </w:pPr>
      <w:r w:rsidRPr="00D21B34">
        <w:rPr>
          <w:sz w:val="32"/>
        </w:rPr>
        <w:t>“…Morally condemning the woman whose nakedness you depicted for your own pleasure</w:t>
      </w:r>
      <w:r w:rsidR="00CA2DBF" w:rsidRPr="00D21B34">
        <w:rPr>
          <w:sz w:val="32"/>
        </w:rPr>
        <w:t>.”</w:t>
      </w:r>
    </w:p>
    <w:p w:rsidR="00920093" w:rsidRPr="00D21B34" w:rsidRDefault="00920093" w:rsidP="006745ED">
      <w:pPr>
        <w:jc w:val="center"/>
        <w:rPr>
          <w:sz w:val="32"/>
        </w:rPr>
      </w:pPr>
      <w:r w:rsidRPr="00D21B34">
        <w:rPr>
          <w:sz w:val="32"/>
        </w:rPr>
        <w:t>Explore how the depiction of the female form has changed throughout art and its effect on beauty and power in modern day feminism.</w:t>
      </w:r>
    </w:p>
    <w:p w:rsidR="00920093" w:rsidRPr="00D21B34" w:rsidRDefault="00920093" w:rsidP="006745ED">
      <w:pPr>
        <w:jc w:val="center"/>
        <w:rPr>
          <w:sz w:val="32"/>
        </w:rPr>
      </w:pPr>
    </w:p>
    <w:p w:rsidR="009C2D12" w:rsidRPr="00D21B34" w:rsidRDefault="009C2D12" w:rsidP="006745ED">
      <w:pPr>
        <w:jc w:val="center"/>
        <w:rPr>
          <w:sz w:val="32"/>
        </w:rPr>
      </w:pPr>
    </w:p>
    <w:p w:rsidR="009C2D12" w:rsidRPr="00D21B34" w:rsidRDefault="009C2D12" w:rsidP="006745ED">
      <w:pPr>
        <w:jc w:val="center"/>
        <w:rPr>
          <w:sz w:val="32"/>
        </w:rPr>
      </w:pPr>
      <w:r w:rsidRPr="00D21B34">
        <w:rPr>
          <w:sz w:val="32"/>
        </w:rPr>
        <w:t>Submitted in partial fulfillment of the requirements for the degree of BA (Hons) in Illustration, University of Wales Trinity St. David, Swansea, December 2017</w:t>
      </w:r>
      <w:r w:rsidRPr="00D21B34">
        <w:rPr>
          <w:sz w:val="32"/>
        </w:rPr>
        <w:t>.</w:t>
      </w:r>
    </w:p>
    <w:p w:rsidR="009C2D12" w:rsidRPr="00D21B34" w:rsidRDefault="009C2D12"/>
    <w:p w:rsidR="009C2D12" w:rsidRPr="00D21B34" w:rsidRDefault="009C2D12"/>
    <w:p w:rsidR="009C2D12" w:rsidRPr="00D21B34" w:rsidRDefault="009C2D12"/>
    <w:p w:rsidR="009C2D12" w:rsidRPr="00D21B34" w:rsidRDefault="009C2D12"/>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Pr>
        <w:rPr>
          <w:sz w:val="28"/>
        </w:rPr>
      </w:pPr>
      <w:r w:rsidRPr="00D21B34">
        <w:rPr>
          <w:sz w:val="28"/>
        </w:rPr>
        <w:lastRenderedPageBreak/>
        <w:t>Contents page</w:t>
      </w:r>
    </w:p>
    <w:p w:rsidR="006745ED" w:rsidRPr="00D21B34" w:rsidRDefault="006745ED"/>
    <w:p w:rsidR="006745ED" w:rsidRPr="00D21B34" w:rsidRDefault="006745ED"/>
    <w:p w:rsidR="006745ED" w:rsidRPr="00D21B34" w:rsidRDefault="006745ED">
      <w:r w:rsidRPr="00D21B34">
        <w:rPr>
          <w:b/>
        </w:rPr>
        <w:t>Chapter One</w:t>
      </w:r>
      <w:r w:rsidRPr="00D21B34">
        <w:t xml:space="preserve"> </w:t>
      </w:r>
      <w:r w:rsidR="00447F36" w:rsidRPr="00D21B34">
        <w:t xml:space="preserve">  </w:t>
      </w:r>
      <w:r w:rsidRPr="00D21B34">
        <w:t>John Berger’s Ways of Seeing, the Male Gaze and Sexual Assault</w:t>
      </w:r>
      <w:r w:rsidR="007E7A06" w:rsidRPr="00D21B34">
        <w:t xml:space="preserve"> p.2</w:t>
      </w:r>
    </w:p>
    <w:p w:rsidR="006745ED" w:rsidRPr="00D21B34" w:rsidRDefault="006745ED"/>
    <w:p w:rsidR="006745ED" w:rsidRPr="00D21B34" w:rsidRDefault="006745ED">
      <w:r w:rsidRPr="00D21B34">
        <w:rPr>
          <w:b/>
        </w:rPr>
        <w:t>Chapter Two</w:t>
      </w:r>
      <w:r w:rsidRPr="00D21B34">
        <w:t xml:space="preserve"> </w:t>
      </w:r>
      <w:r w:rsidR="00447F36" w:rsidRPr="00D21B34">
        <w:t xml:space="preserve"> </w:t>
      </w:r>
      <w:r w:rsidRPr="00D21B34">
        <w:t xml:space="preserve"> The Power of Beauty and Performativity</w:t>
      </w:r>
      <w:r w:rsidR="00447F36" w:rsidRPr="00D21B34">
        <w:t xml:space="preserve"> p.4-5</w:t>
      </w:r>
    </w:p>
    <w:p w:rsidR="006745ED" w:rsidRPr="00D21B34" w:rsidRDefault="006745ED"/>
    <w:p w:rsidR="006745ED" w:rsidRPr="00D21B34" w:rsidRDefault="006745ED">
      <w:r w:rsidRPr="00D21B34">
        <w:rPr>
          <w:b/>
        </w:rPr>
        <w:t>Chapter Three</w:t>
      </w:r>
      <w:r w:rsidRPr="00D21B34">
        <w:t xml:space="preserve"> </w:t>
      </w:r>
      <w:r w:rsidR="00447F36" w:rsidRPr="00D21B34">
        <w:t xml:space="preserve">  </w:t>
      </w:r>
      <w:r w:rsidR="00AD3A63" w:rsidRPr="00D21B34">
        <w:t>Marxist and Situationist theory as social commentary</w:t>
      </w:r>
      <w:r w:rsidR="00447F36" w:rsidRPr="00D21B34">
        <w:t xml:space="preserve"> p. 6-7</w:t>
      </w:r>
    </w:p>
    <w:p w:rsidR="00AD3A63" w:rsidRPr="00D21B34" w:rsidRDefault="00AD3A63"/>
    <w:p w:rsidR="007F5E4C" w:rsidRPr="00D21B34" w:rsidRDefault="00AD3A63">
      <w:r w:rsidRPr="00D21B34">
        <w:rPr>
          <w:b/>
        </w:rPr>
        <w:t>Chapter Four</w:t>
      </w:r>
      <w:r w:rsidRPr="00D21B34">
        <w:t xml:space="preserve"> </w:t>
      </w:r>
      <w:r w:rsidR="00447F36" w:rsidRPr="00D21B34">
        <w:t xml:space="preserve"> </w:t>
      </w:r>
      <w:r w:rsidRPr="00D21B34">
        <w:t xml:space="preserve"> The Female Nude and Susannah and the Elders</w:t>
      </w:r>
      <w:r w:rsidR="00447F36" w:rsidRPr="00D21B34">
        <w:t xml:space="preserve"> </w:t>
      </w:r>
      <w:r w:rsidR="007F5E4C" w:rsidRPr="00D21B34">
        <w:t>8-1</w:t>
      </w:r>
    </w:p>
    <w:p w:rsidR="00447F36" w:rsidRPr="00D21B34" w:rsidRDefault="00447F36"/>
    <w:p w:rsidR="00447F36" w:rsidRPr="00D21B34" w:rsidRDefault="00447F36">
      <w:r w:rsidRPr="00D21B34">
        <w:rPr>
          <w:b/>
        </w:rPr>
        <w:t>Bibliography</w:t>
      </w:r>
      <w:r w:rsidRPr="00D21B34">
        <w:t xml:space="preserve">   p.16-17 </w:t>
      </w:r>
    </w:p>
    <w:p w:rsidR="00447F36" w:rsidRPr="00D21B34" w:rsidRDefault="00447F36"/>
    <w:p w:rsidR="006745ED" w:rsidRPr="00D21B34" w:rsidRDefault="007F5E4C">
      <w:r w:rsidRPr="00D21B34">
        <w:t>Wordcount: 5,186</w:t>
      </w:r>
    </w:p>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6745ED" w:rsidRPr="00D21B34" w:rsidRDefault="006745ED"/>
    <w:p w:rsidR="00447F36" w:rsidRPr="00D21B34" w:rsidRDefault="00447F36" w:rsidP="00447F36">
      <w:pPr>
        <w:spacing w:line="480" w:lineRule="auto"/>
      </w:pPr>
    </w:p>
    <w:p w:rsidR="009C2D12" w:rsidRPr="00D21B34" w:rsidRDefault="00447F36" w:rsidP="00447F36">
      <w:pPr>
        <w:spacing w:line="480" w:lineRule="auto"/>
      </w:pPr>
      <w:r w:rsidRPr="00D21B34">
        <w:t>I</w:t>
      </w:r>
      <w:r w:rsidR="007E7A06" w:rsidRPr="00D21B34">
        <w:t>ntroduction</w:t>
      </w:r>
    </w:p>
    <w:p w:rsidR="00EB0015" w:rsidRPr="00D21B34" w:rsidRDefault="00EA22A5" w:rsidP="00447F36">
      <w:pPr>
        <w:spacing w:line="480" w:lineRule="auto"/>
      </w:pPr>
      <w:r w:rsidRPr="00D21B34">
        <w:t xml:space="preserve">Within this essay, the theory and deconstruction of the female body and objectification of the female gender will be explored. A key text to this understanding is a specific, deeper investigation and exploration of “Ways of Seeing” by John Berger which is used to underpin specific points on the treatment of: the woman in relation to man, the female nude and performativity. </w:t>
      </w:r>
      <w:r w:rsidR="009F4521" w:rsidRPr="00D21B34">
        <w:t>Ways of Seeing</w:t>
      </w:r>
      <w:r w:rsidRPr="00D21B34">
        <w:t xml:space="preserve"> </w:t>
      </w:r>
      <w:r w:rsidR="009F4521" w:rsidRPr="00D21B34">
        <w:t xml:space="preserve">(1972) </w:t>
      </w:r>
      <w:r w:rsidR="00CA2DBF" w:rsidRPr="00D21B34">
        <w:t>is first examined</w:t>
      </w:r>
      <w:r w:rsidR="006439E4" w:rsidRPr="00D21B34">
        <w:t xml:space="preserve"> with</w:t>
      </w:r>
      <w:r w:rsidR="00EB0015" w:rsidRPr="00D21B34">
        <w:t xml:space="preserve"> John Berger’s</w:t>
      </w:r>
      <w:r w:rsidR="00791334" w:rsidRPr="00D21B34">
        <w:t xml:space="preserve"> political stance being</w:t>
      </w:r>
      <w:r w:rsidR="00EB0015" w:rsidRPr="00D21B34">
        <w:t xml:space="preserve"> firmly both Marxist and feminist. Written in 1972, his most known piece of work continues to teach and inform academics around the globe, as his fresh, approachable and clear wording made for easy reading. Tackling notions of hypocrisy and double standards within classical oil paintings, he urges the viewer to “see” for themselves how the female nude is approached.</w:t>
      </w:r>
      <w:r w:rsidR="009F4521" w:rsidRPr="00D21B34">
        <w:t xml:space="preserve"> </w:t>
      </w:r>
      <w:r w:rsidR="00EB0015" w:rsidRPr="00D21B34">
        <w:t xml:space="preserve">Berger also explores, more specifically, the idea of the female nude in relation to modern day, and the concept between “nude” and “naked”. </w:t>
      </w:r>
      <w:r w:rsidR="009F4521" w:rsidRPr="00D21B34">
        <w:t>This dissertation further examines</w:t>
      </w:r>
      <w:r w:rsidR="00EB0015" w:rsidRPr="00D21B34">
        <w:t xml:space="preserve"> the sexualisation, objectification an</w:t>
      </w:r>
      <w:r w:rsidR="009F4521" w:rsidRPr="00D21B34">
        <w:t>d attack of women</w:t>
      </w:r>
      <w:r w:rsidR="00EB0015" w:rsidRPr="00D21B34">
        <w:t xml:space="preserve">, </w:t>
      </w:r>
      <w:r w:rsidR="008266FF" w:rsidRPr="00D21B34">
        <w:t xml:space="preserve">with references to modern day acts of sexual assault and misogyny. </w:t>
      </w:r>
      <w:r w:rsidR="00BC6446" w:rsidRPr="00D21B34">
        <w:t xml:space="preserve">The </w:t>
      </w:r>
      <w:r w:rsidR="009F4521" w:rsidRPr="00D21B34">
        <w:t>ardent, passionate voices of</w:t>
      </w:r>
      <w:r w:rsidR="00BC6446" w:rsidRPr="00D21B34">
        <w:t xml:space="preserve"> third </w:t>
      </w:r>
      <w:r w:rsidR="009F4521" w:rsidRPr="00D21B34">
        <w:t xml:space="preserve">wave feminism are important now, as a fourth wave emerges, </w:t>
      </w:r>
      <w:r w:rsidR="00BC6446" w:rsidRPr="00D21B34">
        <w:t xml:space="preserve">more than ever, as those in power and political control escape from sexual misconduct </w:t>
      </w:r>
      <w:r w:rsidR="00BB588B" w:rsidRPr="00D21B34">
        <w:t>unscathed from their deserved and fair trial</w:t>
      </w:r>
      <w:r w:rsidR="009F4521" w:rsidRPr="00D21B34">
        <w:t xml:space="preserve"> (Weinstein and trump newspaper references)</w:t>
      </w:r>
      <w:r w:rsidR="00BB588B" w:rsidRPr="00D21B34">
        <w:t xml:space="preserve">. </w:t>
      </w:r>
      <w:r w:rsidR="009F4521" w:rsidRPr="00D21B34">
        <w:t xml:space="preserve"> </w:t>
      </w:r>
    </w:p>
    <w:p w:rsidR="00397FED" w:rsidRPr="00D21B34" w:rsidRDefault="00A450A5" w:rsidP="00447F36">
      <w:pPr>
        <w:spacing w:line="480" w:lineRule="auto"/>
      </w:pPr>
      <w:r w:rsidRPr="00D21B34">
        <w:t xml:space="preserve">Two images of the sexualised female form are presented and compared, one being a shoot for the clothing line Abercrombie and Fitch, and the other </w:t>
      </w:r>
      <w:r w:rsidR="002F60E4" w:rsidRPr="00D21B34">
        <w:t>a Romantic painting of a “maja” (society’s dejected and outrageous lower class of the time) in the early 1800s Spain. CITATION parallels are drawn between the similarities of the two women in question, Abercrombie and Fitch’s use of a porn star for their bikini ad, and the maja depicted in Goya’</w:t>
      </w:r>
      <w:r w:rsidR="009F4521" w:rsidRPr="00D21B34">
        <w:t xml:space="preserve">s painting, centuries earlier. </w:t>
      </w:r>
      <w:r w:rsidR="00BB588B" w:rsidRPr="00D21B34">
        <w:t xml:space="preserve">Kate Fox’s article </w:t>
      </w:r>
      <w:r w:rsidR="00397FED" w:rsidRPr="00D21B34">
        <w:t xml:space="preserve">“Mirror, Mirror”, </w:t>
      </w:r>
      <w:r w:rsidR="00BB588B" w:rsidRPr="00D21B34">
        <w:t>on the worrying spike of mental illness and self-consciousness is examin</w:t>
      </w:r>
      <w:r w:rsidR="00397FED" w:rsidRPr="00D21B34">
        <w:t>e</w:t>
      </w:r>
      <w:r w:rsidR="00BB588B" w:rsidRPr="00D21B34">
        <w:t>d in relation to</w:t>
      </w:r>
      <w:r w:rsidR="00D004D1" w:rsidRPr="00D21B34">
        <w:t>,</w:t>
      </w:r>
      <w:r w:rsidR="00BB588B" w:rsidRPr="00D21B34">
        <w:t xml:space="preserve"> partly</w:t>
      </w:r>
      <w:r w:rsidR="00D004D1" w:rsidRPr="00D21B34">
        <w:t xml:space="preserve">, </w:t>
      </w:r>
      <w:r w:rsidR="00BB588B" w:rsidRPr="00D21B34">
        <w:t xml:space="preserve"> the rise of social media</w:t>
      </w:r>
      <w:r w:rsidR="00397FED" w:rsidRPr="00D21B34">
        <w:t>, and the damaging effect very thin models have on 13-16 year olds. The theory of Functionalism is then examined, in relation to how art, the media and consumerist culture all ar</w:t>
      </w:r>
      <w:r w:rsidRPr="00D21B34">
        <w:t xml:space="preserve">e somewhat to blame for the modern notion of womanhood, and the constant reminder of </w:t>
      </w:r>
      <w:r w:rsidR="00645BAE" w:rsidRPr="00D21B34">
        <w:t xml:space="preserve">how </w:t>
      </w:r>
      <w:r w:rsidRPr="00D21B34">
        <w:t xml:space="preserve">the “ideal” female body is pedalled. </w:t>
      </w:r>
      <w:r w:rsidR="00D004D1" w:rsidRPr="00D21B34">
        <w:t>The notion of vanity and double standards are examined, closely studying the tale of Susannah and the Elders, in the context of current sexual assault cases, and more broadly in society in general.</w:t>
      </w:r>
    </w:p>
    <w:p w:rsidR="00A450A5" w:rsidRPr="00D21B34" w:rsidRDefault="00A450A5" w:rsidP="00447F36">
      <w:pPr>
        <w:spacing w:line="480" w:lineRule="auto"/>
      </w:pPr>
    </w:p>
    <w:p w:rsidR="00EB1255" w:rsidRPr="00D21B34" w:rsidRDefault="00EB1255" w:rsidP="00447F36">
      <w:pPr>
        <w:spacing w:line="480" w:lineRule="auto"/>
      </w:pPr>
    </w:p>
    <w:p w:rsidR="007E7A06" w:rsidRPr="00D21B34" w:rsidRDefault="007E7A06" w:rsidP="00447F36">
      <w:pPr>
        <w:spacing w:line="480" w:lineRule="auto"/>
        <w:rPr>
          <w:rStyle w:val="dt6"/>
          <w:rFonts w:cstheme="minorHAnsi"/>
          <w:spacing w:val="10"/>
          <w:lang w:val="en"/>
        </w:rPr>
      </w:pPr>
    </w:p>
    <w:p w:rsidR="00EB1255" w:rsidRPr="00D21B34" w:rsidRDefault="0018284B" w:rsidP="00447F36">
      <w:pPr>
        <w:spacing w:line="480" w:lineRule="auto"/>
        <w:rPr>
          <w:rStyle w:val="dt6"/>
          <w:rFonts w:cstheme="minorHAnsi"/>
          <w:spacing w:val="10"/>
          <w:lang w:val="en"/>
        </w:rPr>
      </w:pPr>
      <w:r w:rsidRPr="00D21B34">
        <w:rPr>
          <w:rStyle w:val="dt6"/>
          <w:rFonts w:cstheme="minorHAnsi"/>
          <w:spacing w:val="10"/>
          <w:lang w:val="en"/>
          <w:specVanish w:val="0"/>
        </w:rPr>
        <w:t>Ways of Seeing/ Female Nude and Sexual Assault</w:t>
      </w:r>
      <w:r w:rsidR="00EB1255" w:rsidRPr="00D21B34">
        <w:rPr>
          <w:rStyle w:val="dt6"/>
          <w:rFonts w:cstheme="minorHAnsi"/>
          <w:spacing w:val="10"/>
          <w:lang w:val="en"/>
          <w:specVanish w:val="0"/>
        </w:rPr>
        <w:t xml:space="preserve"> </w:t>
      </w:r>
    </w:p>
    <w:p w:rsidR="00EB1255" w:rsidRPr="00D21B34" w:rsidRDefault="00EB1255" w:rsidP="00447F36">
      <w:pPr>
        <w:spacing w:line="480" w:lineRule="auto"/>
        <w:rPr>
          <w:rFonts w:eastAsia="Times New Roman" w:cs="Times New Roman"/>
          <w:sz w:val="24"/>
          <w:szCs w:val="24"/>
        </w:rPr>
      </w:pPr>
      <w:r w:rsidRPr="00D21B34">
        <w:rPr>
          <w:rStyle w:val="dt6"/>
          <w:rFonts w:cstheme="minorHAnsi"/>
          <w:spacing w:val="10"/>
          <w:lang w:val="en"/>
          <w:specVanish w:val="0"/>
        </w:rPr>
        <w:t>In John Berger’s Ways of Seeing</w:t>
      </w:r>
      <w:r w:rsidR="006745ED" w:rsidRPr="00D21B34">
        <w:rPr>
          <w:rStyle w:val="dt6"/>
          <w:rFonts w:cstheme="minorHAnsi"/>
          <w:spacing w:val="10"/>
          <w:lang w:val="en"/>
        </w:rPr>
        <w:t xml:space="preserve">, a series of </w:t>
      </w:r>
      <w:r w:rsidRPr="00D21B34">
        <w:rPr>
          <w:rStyle w:val="dt6"/>
          <w:rFonts w:cstheme="minorHAnsi"/>
          <w:spacing w:val="10"/>
          <w:lang w:val="en"/>
          <w:specVanish w:val="0"/>
        </w:rPr>
        <w:t>essays about the key concepts of art history and how we take in the aesthetic world, Berger explores how we literally see the world around us. Prompted by Kenneth Clark’s “Civilisation”, Berger ardently disagreed with the key concepts and created the series in an attempt to argue or inform the public of his way of thinking. “</w:t>
      </w:r>
      <w:r w:rsidRPr="00D21B34">
        <w:rPr>
          <w:rFonts w:eastAsia="Times New Roman" w:cs="Times New Roman"/>
          <w:color w:val="333333"/>
          <w:shd w:val="clear" w:color="auto" w:fill="FFFFFF"/>
        </w:rPr>
        <w:t>Berger's brilliant TV series and book </w:t>
      </w:r>
      <w:r w:rsidRPr="00D21B34">
        <w:rPr>
          <w:rFonts w:eastAsia="Times New Roman" w:cs="Times New Roman"/>
          <w:i/>
          <w:iCs/>
          <w:color w:val="005689"/>
        </w:rPr>
        <w:t>Ways of Seeing</w:t>
      </w:r>
      <w:r w:rsidRPr="00D21B34">
        <w:rPr>
          <w:rFonts w:eastAsia="Times New Roman" w:cs="Times New Roman"/>
          <w:color w:val="333333"/>
          <w:shd w:val="clear" w:color="auto" w:fill="FFFFFF"/>
        </w:rPr>
        <w:t> (1972) threw down a lethal Marxist-feminist gauntlet to Clark's Olympian worldview.”</w:t>
      </w:r>
      <w:r w:rsidR="00C359E9" w:rsidRPr="00D21B34">
        <w:rPr>
          <w:rFonts w:eastAsia="Times New Roman" w:cs="Arial"/>
          <w:color w:val="666666"/>
          <w:sz w:val="20"/>
          <w:szCs w:val="20"/>
          <w:shd w:val="clear" w:color="auto" w:fill="FFF5AA"/>
        </w:rPr>
        <w:t xml:space="preserve"> (Hall, 2014</w:t>
      </w:r>
      <w:r w:rsidRPr="00D21B34">
        <w:rPr>
          <w:rFonts w:eastAsia="Times New Roman" w:cs="Arial"/>
          <w:color w:val="666666"/>
          <w:sz w:val="20"/>
          <w:szCs w:val="20"/>
          <w:shd w:val="clear" w:color="auto" w:fill="FFF5AA"/>
        </w:rPr>
        <w:t xml:space="preserve">) </w:t>
      </w:r>
      <w:r w:rsidRPr="00D21B34">
        <w:rPr>
          <w:rStyle w:val="EndnoteReference"/>
          <w:rFonts w:eastAsia="Times New Roman" w:cs="Arial"/>
          <w:color w:val="666666"/>
          <w:sz w:val="20"/>
          <w:szCs w:val="20"/>
          <w:shd w:val="clear" w:color="auto" w:fill="FFF5AA"/>
        </w:rPr>
        <w:endnoteReference w:id="1"/>
      </w:r>
    </w:p>
    <w:p w:rsidR="00EB1255" w:rsidRPr="00D21B34" w:rsidRDefault="006745ED" w:rsidP="00447F36">
      <w:pPr>
        <w:pStyle w:val="NoSpacing"/>
        <w:spacing w:line="480" w:lineRule="auto"/>
        <w:rPr>
          <w:rFonts w:cs="Arial"/>
          <w:color w:val="666666"/>
          <w:sz w:val="20"/>
          <w:szCs w:val="20"/>
          <w:shd w:val="clear" w:color="auto" w:fill="FFF5AA"/>
        </w:rPr>
      </w:pPr>
      <w:r w:rsidRPr="00D21B34">
        <w:rPr>
          <w:rStyle w:val="dt6"/>
          <w:rFonts w:cstheme="minorHAnsi"/>
          <w:spacing w:val="10"/>
          <w:lang w:val="en"/>
        </w:rPr>
        <w:t xml:space="preserve"> John Berger also</w:t>
      </w:r>
      <w:r w:rsidR="00EB1255" w:rsidRPr="00D21B34">
        <w:rPr>
          <w:rStyle w:val="dt6"/>
          <w:rFonts w:cstheme="minorHAnsi"/>
          <w:spacing w:val="10"/>
          <w:lang w:val="en"/>
          <w:specVanish w:val="0"/>
        </w:rPr>
        <w:t xml:space="preserve"> explores how the female nude is presented in traditional paintings, and how this is related to modern day. He compares the used of the “male gaze”, and the key component within these pai</w:t>
      </w:r>
      <w:r w:rsidR="006439E4" w:rsidRPr="00D21B34">
        <w:rPr>
          <w:rStyle w:val="dt6"/>
          <w:rFonts w:cstheme="minorHAnsi"/>
          <w:spacing w:val="10"/>
          <w:lang w:val="en"/>
          <w:specVanish w:val="0"/>
        </w:rPr>
        <w:t xml:space="preserve">ntings being vanity. He states </w:t>
      </w:r>
      <w:r w:rsidR="00EB1255" w:rsidRPr="00D21B34">
        <w:rPr>
          <w:bCs/>
          <w:color w:val="181818"/>
          <w:szCs w:val="21"/>
        </w:rPr>
        <w:t xml:space="preserve">“You painted a naked woman because you enjoyed looking at her, put a mirror in her hand and you called the painting “Vanity,” </w:t>
      </w:r>
      <w:r w:rsidR="0018284B" w:rsidRPr="00D21B34">
        <w:rPr>
          <w:bCs/>
          <w:color w:val="181818"/>
          <w:szCs w:val="21"/>
        </w:rPr>
        <w:t xml:space="preserve">thus morally </w:t>
      </w:r>
      <w:r w:rsidR="00EB1255" w:rsidRPr="00D21B34">
        <w:rPr>
          <w:bCs/>
          <w:color w:val="181818"/>
          <w:szCs w:val="21"/>
        </w:rPr>
        <w:t xml:space="preserve">condemning the woman whose nakedness you had depicted for you own pleasure.”- </w:t>
      </w:r>
      <w:r w:rsidR="00EB1255" w:rsidRPr="00D21B34">
        <w:rPr>
          <w:rStyle w:val="EndnoteReference"/>
          <w:bCs/>
          <w:color w:val="181818"/>
          <w:szCs w:val="21"/>
        </w:rPr>
        <w:endnoteReference w:id="2"/>
      </w:r>
      <w:r w:rsidR="00EB1255" w:rsidRPr="00D21B34">
        <w:rPr>
          <w:rFonts w:cs="Arial"/>
          <w:color w:val="666666"/>
          <w:sz w:val="20"/>
          <w:szCs w:val="20"/>
          <w:shd w:val="clear" w:color="auto" w:fill="FFF5AA"/>
        </w:rPr>
        <w:t xml:space="preserve"> (Berger, 2008) </w:t>
      </w:r>
    </w:p>
    <w:p w:rsidR="00EB1255" w:rsidRPr="00D21B34" w:rsidRDefault="00EB1255" w:rsidP="00447F36">
      <w:pPr>
        <w:pStyle w:val="NoSpacing"/>
        <w:spacing w:line="480" w:lineRule="auto"/>
        <w:rPr>
          <w:bCs/>
          <w:color w:val="181818"/>
          <w:szCs w:val="21"/>
        </w:rPr>
      </w:pPr>
    </w:p>
    <w:p w:rsidR="00EB1255" w:rsidRPr="00D21B34" w:rsidRDefault="00EB1255" w:rsidP="00447F36">
      <w:pPr>
        <w:pStyle w:val="NormalWeb"/>
        <w:spacing w:before="120" w:beforeAutospacing="0" w:after="120" w:afterAutospacing="0" w:line="480" w:lineRule="auto"/>
        <w:rPr>
          <w:rFonts w:asciiTheme="minorHAnsi" w:hAnsiTheme="minorHAnsi"/>
          <w:bCs/>
          <w:color w:val="181818"/>
          <w:szCs w:val="21"/>
        </w:rPr>
      </w:pPr>
      <w:r w:rsidRPr="00D21B34">
        <w:rPr>
          <w:rFonts w:asciiTheme="minorHAnsi" w:hAnsiTheme="minorHAnsi"/>
          <w:bCs/>
          <w:color w:val="181818"/>
          <w:szCs w:val="21"/>
        </w:rPr>
        <w:t>John Berger’s understanding and addressing of the incredible hypocrisy and double standard relating to the female nude was both a very good observation and ahead of its time. Considering the current climate of misogyny and sexism, with large focus on Hollywood elites being surrounded by sexual assault charge and claims, it could be argued that feminism and sexism have both come a long way, and have still a long way to go. Harvey Weinstein, Kevin Spacey and Ben Affleck have all allegedly had sexual misconduct, amongst others.</w:t>
      </w:r>
      <w:r w:rsidRPr="00D21B34">
        <w:rPr>
          <w:rStyle w:val="EndnoteReference"/>
          <w:rFonts w:asciiTheme="minorHAnsi" w:hAnsiTheme="minorHAnsi"/>
          <w:bCs/>
          <w:color w:val="181818"/>
          <w:szCs w:val="21"/>
        </w:rPr>
        <w:endnoteReference w:id="3"/>
      </w:r>
      <w:r w:rsidRPr="00D21B34">
        <w:rPr>
          <w:rFonts w:asciiTheme="minorHAnsi" w:hAnsiTheme="minorHAnsi"/>
          <w:bCs/>
          <w:color w:val="181818"/>
          <w:szCs w:val="21"/>
        </w:rPr>
        <w:t xml:space="preserve"> (BBC, 2017). If the facts and statistics are examined, one could observe that the sexist, predatorial powerful males are now being thoroughly examined and investigated with the modern day notions of equality and feminism. Both the gradual, steady change in ideals and expectations for women throughout the late 20</w:t>
      </w:r>
      <w:r w:rsidRPr="00D21B34">
        <w:rPr>
          <w:rFonts w:asciiTheme="minorHAnsi" w:hAnsiTheme="minorHAnsi"/>
          <w:bCs/>
          <w:color w:val="181818"/>
          <w:szCs w:val="21"/>
          <w:vertAlign w:val="superscript"/>
        </w:rPr>
        <w:t>th</w:t>
      </w:r>
      <w:r w:rsidRPr="00D21B34">
        <w:rPr>
          <w:rFonts w:asciiTheme="minorHAnsi" w:hAnsiTheme="minorHAnsi"/>
          <w:bCs/>
          <w:color w:val="181818"/>
          <w:szCs w:val="21"/>
        </w:rPr>
        <w:t xml:space="preserve"> Century and the very recent rise of third wave feminism can both be huge factors to women’s personal and professional success. But unfortunately, not everyone has taken on board this inclusive way of thinking.</w:t>
      </w:r>
    </w:p>
    <w:p w:rsidR="00EB1255" w:rsidRPr="00D21B34" w:rsidRDefault="00EB1255" w:rsidP="00447F36">
      <w:pPr>
        <w:pStyle w:val="NormalWeb"/>
        <w:spacing w:before="120" w:beforeAutospacing="0" w:after="120" w:afterAutospacing="0" w:line="480" w:lineRule="auto"/>
        <w:rPr>
          <w:rFonts w:asciiTheme="minorHAnsi" w:hAnsiTheme="minorHAnsi"/>
          <w:color w:val="222222"/>
          <w:sz w:val="21"/>
          <w:szCs w:val="21"/>
        </w:rPr>
      </w:pPr>
      <w:r w:rsidRPr="00D21B34">
        <w:rPr>
          <w:rFonts w:asciiTheme="minorHAnsi" w:hAnsiTheme="minorHAnsi"/>
          <w:bCs/>
          <w:color w:val="181818"/>
          <w:szCs w:val="21"/>
        </w:rPr>
        <w:t xml:space="preserve"> The most infamous example of this being the case of Donald Trump, and his leaked video in which he is heard announcing: </w:t>
      </w:r>
      <w:r w:rsidRPr="00D21B34">
        <w:rPr>
          <w:rFonts w:asciiTheme="minorHAnsi" w:hAnsiTheme="minorHAnsi"/>
          <w:bCs/>
          <w:color w:val="181818"/>
          <w:sz w:val="22"/>
          <w:szCs w:val="22"/>
        </w:rPr>
        <w:t>“</w:t>
      </w:r>
      <w:r w:rsidRPr="00D21B34">
        <w:rPr>
          <w:rFonts w:asciiTheme="minorHAnsi" w:hAnsiTheme="minorHAnsi"/>
          <w:color w:val="222222"/>
          <w:sz w:val="22"/>
          <w:szCs w:val="22"/>
        </w:rPr>
        <w:t>You can do anything. Grab 'em by the pussy. You can do anything.” (</w:t>
      </w:r>
      <w:r w:rsidR="006E4681" w:rsidRPr="00D21B34">
        <w:rPr>
          <w:rFonts w:asciiTheme="minorHAnsi" w:hAnsiTheme="minorHAnsi"/>
          <w:color w:val="222222"/>
          <w:sz w:val="22"/>
          <w:szCs w:val="22"/>
        </w:rPr>
        <w:t>Fahrenthold, 2017</w:t>
      </w:r>
      <w:r w:rsidRPr="00D21B34">
        <w:rPr>
          <w:rFonts w:asciiTheme="minorHAnsi" w:hAnsiTheme="minorHAnsi"/>
          <w:color w:val="222222"/>
          <w:sz w:val="22"/>
          <w:szCs w:val="22"/>
        </w:rPr>
        <w:t>)</w:t>
      </w:r>
      <w:r w:rsidRPr="00D21B34">
        <w:rPr>
          <w:rStyle w:val="EndnoteReference"/>
          <w:rFonts w:asciiTheme="minorHAnsi" w:hAnsiTheme="minorHAnsi"/>
          <w:color w:val="222222"/>
          <w:sz w:val="22"/>
          <w:szCs w:val="22"/>
        </w:rPr>
        <w:endnoteReference w:id="4"/>
      </w:r>
      <w:r w:rsidRPr="00D21B34">
        <w:rPr>
          <w:rFonts w:asciiTheme="minorHAnsi" w:hAnsiTheme="minorHAnsi"/>
          <w:color w:val="222222"/>
          <w:sz w:val="22"/>
          <w:szCs w:val="22"/>
        </w:rPr>
        <w:t xml:space="preserve"> in response to being famous and his power over people, in casual conversation with host Billy Bush, before appearing in </w:t>
      </w:r>
      <w:r w:rsidRPr="00D21B34">
        <w:rPr>
          <w:rFonts w:asciiTheme="minorHAnsi" w:hAnsiTheme="minorHAnsi"/>
          <w:i/>
          <w:color w:val="222222"/>
          <w:sz w:val="22"/>
          <w:szCs w:val="22"/>
        </w:rPr>
        <w:t>Days of Our Lives</w:t>
      </w:r>
      <w:r w:rsidRPr="00D21B34">
        <w:rPr>
          <w:rFonts w:asciiTheme="minorHAnsi" w:hAnsiTheme="minorHAnsi"/>
          <w:color w:val="222222"/>
          <w:sz w:val="22"/>
          <w:szCs w:val="22"/>
        </w:rPr>
        <w:t>. Although the original video was from 2005, it was leaked again in 2012 in conjunction with Donald Trump’s presidential running. The leaked footage caused uproar and huge controversy, as especially this was 2 days before the first broadcasted debate between him and leader of the opposition, Hillary Clinton.</w:t>
      </w:r>
      <w:r w:rsidR="00E83459" w:rsidRPr="00D21B34">
        <w:rPr>
          <w:rFonts w:asciiTheme="minorHAnsi" w:hAnsiTheme="minorHAnsi"/>
          <w:color w:val="222222"/>
          <w:sz w:val="22"/>
          <w:szCs w:val="22"/>
        </w:rPr>
        <w:t xml:space="preserve"> Unfortunately, some of the most powerful men in politics at this current moment in time are known for their incessant, misogynistic attitudes towards their wives and partners, and women as a whole gender. </w:t>
      </w:r>
      <w:r w:rsidR="00645BAE" w:rsidRPr="00D21B34">
        <w:rPr>
          <w:rFonts w:asciiTheme="minorHAnsi" w:hAnsiTheme="minorHAnsi"/>
          <w:color w:val="222222"/>
          <w:sz w:val="22"/>
          <w:szCs w:val="22"/>
        </w:rPr>
        <w:t>.</w:t>
      </w:r>
      <w:r w:rsidRPr="00D21B34">
        <w:rPr>
          <w:rFonts w:asciiTheme="minorHAnsi" w:hAnsiTheme="minorHAnsi"/>
          <w:color w:val="222222"/>
          <w:sz w:val="22"/>
          <w:szCs w:val="22"/>
        </w:rPr>
        <w:t xml:space="preserve">But the very fact that multiple incidences like this have happened only supports the fact that, although these statements have been incredibly outrageous, it has ultimately not stood in the way of his presidential running. Overall, this concludes that as much as our standards for holding perpetrators accountable has changed, it has sadly done little to detract from the true power, influence and money that these powerful men yield. </w:t>
      </w:r>
    </w:p>
    <w:p w:rsidR="007E7A06" w:rsidRPr="00D21B34" w:rsidRDefault="007E7A06" w:rsidP="00447F36">
      <w:pPr>
        <w:pStyle w:val="NoSpacing"/>
        <w:spacing w:line="480" w:lineRule="auto"/>
        <w:rPr>
          <w:bCs/>
          <w:color w:val="181818"/>
          <w:szCs w:val="21"/>
        </w:rPr>
      </w:pPr>
    </w:p>
    <w:p w:rsidR="007E7A06" w:rsidRPr="00D21B34" w:rsidRDefault="007E7A06" w:rsidP="00447F36">
      <w:pPr>
        <w:pStyle w:val="NoSpacing"/>
        <w:spacing w:line="480" w:lineRule="auto"/>
        <w:rPr>
          <w:bCs/>
          <w:color w:val="181818"/>
          <w:szCs w:val="21"/>
        </w:rPr>
      </w:pPr>
    </w:p>
    <w:p w:rsidR="007E7A06" w:rsidRPr="00D21B34" w:rsidRDefault="007E7A06" w:rsidP="00447F36">
      <w:pPr>
        <w:pStyle w:val="NoSpacing"/>
        <w:spacing w:line="480" w:lineRule="auto"/>
        <w:rPr>
          <w:bCs/>
          <w:color w:val="181818"/>
          <w:szCs w:val="21"/>
        </w:rPr>
      </w:pPr>
    </w:p>
    <w:p w:rsidR="007E7A06" w:rsidRPr="00D21B34" w:rsidRDefault="007E7A06" w:rsidP="00447F36">
      <w:pPr>
        <w:pStyle w:val="NoSpacing"/>
        <w:spacing w:line="480" w:lineRule="auto"/>
        <w:rPr>
          <w:bCs/>
          <w:color w:val="181818"/>
          <w:szCs w:val="21"/>
        </w:rPr>
      </w:pPr>
    </w:p>
    <w:p w:rsidR="007E7A06" w:rsidRPr="00D21B34" w:rsidRDefault="007E7A06" w:rsidP="00447F36">
      <w:pPr>
        <w:pStyle w:val="NoSpacing"/>
        <w:spacing w:line="480" w:lineRule="auto"/>
        <w:rPr>
          <w:bCs/>
          <w:color w:val="181818"/>
          <w:szCs w:val="21"/>
        </w:rPr>
      </w:pPr>
    </w:p>
    <w:p w:rsidR="00EB1255" w:rsidRPr="00D21B34" w:rsidRDefault="00EB1255" w:rsidP="00447F36">
      <w:pPr>
        <w:pStyle w:val="NoSpacing"/>
        <w:spacing w:line="480" w:lineRule="auto"/>
        <w:rPr>
          <w:bCs/>
          <w:color w:val="181818"/>
          <w:szCs w:val="21"/>
        </w:rPr>
      </w:pPr>
      <w:r w:rsidRPr="00D21B34">
        <w:rPr>
          <w:bCs/>
          <w:color w:val="181818"/>
          <w:szCs w:val="21"/>
        </w:rPr>
        <w:t>Beauty and power/performativty</w:t>
      </w:r>
    </w:p>
    <w:p w:rsidR="00EB1255" w:rsidRPr="00D21B34" w:rsidRDefault="00EB1255" w:rsidP="00447F36">
      <w:pPr>
        <w:pStyle w:val="NoSpacing"/>
        <w:spacing w:line="480" w:lineRule="auto"/>
        <w:rPr>
          <w:bCs/>
          <w:color w:val="181818"/>
          <w:szCs w:val="21"/>
        </w:rPr>
      </w:pPr>
    </w:p>
    <w:p w:rsidR="00920093" w:rsidRPr="00D21B34" w:rsidRDefault="00EB1255" w:rsidP="00447F36">
      <w:pPr>
        <w:pStyle w:val="NoSpacing"/>
        <w:spacing w:line="480" w:lineRule="auto"/>
        <w:rPr>
          <w:rFonts w:cstheme="minorHAnsi"/>
          <w:color w:val="000000" w:themeColor="text1"/>
        </w:rPr>
      </w:pPr>
      <w:r w:rsidRPr="00D21B34">
        <w:rPr>
          <w:bCs/>
          <w:color w:val="181818"/>
          <w:szCs w:val="21"/>
        </w:rPr>
        <w:t>One aspect of Berger’s work within the idea of the female body is the idea of performance and performativity. In “ways of seeing” he explores the notion that a woman can’t help but always see herself as others see her, in a way, voyeurism. He states “men dream of women. Women dream of themselves being dreamt of by men”</w:t>
      </w:r>
      <w:r w:rsidR="00C359E9" w:rsidRPr="00D21B34">
        <w:rPr>
          <w:rStyle w:val="EndnoteReference"/>
          <w:bCs/>
          <w:color w:val="181818"/>
          <w:szCs w:val="21"/>
        </w:rPr>
        <w:endnoteReference w:id="5"/>
      </w:r>
      <w:r w:rsidRPr="00D21B34">
        <w:rPr>
          <w:bCs/>
          <w:color w:val="181818"/>
          <w:szCs w:val="21"/>
        </w:rPr>
        <w:t xml:space="preserve">. Here John Berger is </w:t>
      </w:r>
      <w:r w:rsidRPr="00D21B34">
        <w:rPr>
          <w:bCs/>
          <w:color w:val="000000" w:themeColor="text1"/>
          <w:szCs w:val="21"/>
        </w:rPr>
        <w:t>arguing</w:t>
      </w:r>
      <w:r w:rsidRPr="00D21B34">
        <w:rPr>
          <w:bCs/>
          <w:color w:val="181818"/>
          <w:szCs w:val="21"/>
        </w:rPr>
        <w:t xml:space="preserve"> that women think of themselves being thought </w:t>
      </w:r>
      <w:r w:rsidRPr="00D21B34">
        <w:rPr>
          <w:bCs/>
          <w:i/>
          <w:color w:val="181818"/>
          <w:szCs w:val="21"/>
        </w:rPr>
        <w:t xml:space="preserve">of, </w:t>
      </w:r>
      <w:r w:rsidRPr="00D21B34">
        <w:rPr>
          <w:bCs/>
          <w:color w:val="181818"/>
          <w:szCs w:val="21"/>
        </w:rPr>
        <w:t xml:space="preserve">echoing ideals of beauty, objectification, and the female form. One way we can definitively see the effect of this is shown through the media. Kate Fox (Sirc.org, 1997) </w:t>
      </w:r>
      <w:r w:rsidRPr="00D21B34">
        <w:rPr>
          <w:rStyle w:val="EndnoteReference"/>
          <w:bCs/>
          <w:color w:val="181818"/>
          <w:szCs w:val="21"/>
        </w:rPr>
        <w:endnoteReference w:id="6"/>
      </w:r>
      <w:r w:rsidRPr="00D21B34">
        <w:rPr>
          <w:bCs/>
          <w:color w:val="181818"/>
          <w:szCs w:val="21"/>
        </w:rPr>
        <w:t>argues that TV and magazines have a lot to answer for, and goes as to far as to say that the media over-saturates its viewers, which in turn leads to low body satisfaction and body positivity. She says that in recent experiment have shown</w:t>
      </w:r>
      <w:r w:rsidRPr="00D21B34">
        <w:rPr>
          <w:rFonts w:cstheme="minorHAnsi"/>
          <w:color w:val="000000" w:themeColor="text1"/>
        </w:rPr>
        <w:t xml:space="preserve"> “that exposure to magazine photographs of super-thin models produces depression, stress, guilt, shame, insecurity, body-dissatisfaction and increased endorsement of the thin-ideal stereotype.” </w:t>
      </w:r>
      <w:r w:rsidRPr="00D21B34">
        <w:rPr>
          <w:rStyle w:val="FootnoteReference"/>
          <w:rFonts w:cstheme="minorHAnsi"/>
          <w:color w:val="000000" w:themeColor="text1"/>
        </w:rPr>
        <w:footnoteReference w:id="1"/>
      </w:r>
      <w:r w:rsidRPr="00D21B34">
        <w:rPr>
          <w:rFonts w:cstheme="minorHAnsi"/>
          <w:color w:val="000000" w:themeColor="text1"/>
        </w:rPr>
        <w:t xml:space="preserve"> </w:t>
      </w:r>
    </w:p>
    <w:p w:rsidR="00757F8B" w:rsidRPr="00D21B34" w:rsidRDefault="00EB1255" w:rsidP="00447F36">
      <w:pPr>
        <w:pStyle w:val="NoSpacing"/>
        <w:spacing w:line="480" w:lineRule="auto"/>
        <w:rPr>
          <w:rFonts w:cstheme="minorHAnsi"/>
          <w:color w:val="000000" w:themeColor="text1"/>
        </w:rPr>
      </w:pPr>
      <w:r w:rsidRPr="00D21B34">
        <w:rPr>
          <w:rFonts w:cstheme="minorHAnsi"/>
          <w:color w:val="000000" w:themeColor="text1"/>
        </w:rPr>
        <w:t>This phenomenon can also be seen in conjunction with the skyrocketing popularity of smart phones and social media, and the damaging effect on the youth.</w:t>
      </w:r>
    </w:p>
    <w:p w:rsidR="00EB1255" w:rsidRPr="00D21B34" w:rsidRDefault="00EB1255" w:rsidP="00447F36">
      <w:pPr>
        <w:pStyle w:val="NoSpacing"/>
        <w:spacing w:line="480" w:lineRule="auto"/>
        <w:rPr>
          <w:rFonts w:cstheme="minorHAnsi"/>
          <w:color w:val="000000" w:themeColor="text1"/>
        </w:rPr>
      </w:pPr>
      <w:r w:rsidRPr="00D21B34">
        <w:rPr>
          <w:rFonts w:cstheme="minorHAnsi"/>
          <w:color w:val="000000" w:themeColor="text1"/>
        </w:rPr>
        <w:t xml:space="preserve">In a report published by the British Medical Journal ardently points towards a huge rise in mental health issues, stating that </w:t>
      </w:r>
    </w:p>
    <w:p w:rsidR="00EB1255" w:rsidRPr="00D21B34" w:rsidRDefault="00EB1255" w:rsidP="00447F36">
      <w:pPr>
        <w:spacing w:line="480" w:lineRule="auto"/>
        <w:rPr>
          <w:rFonts w:eastAsia="Times New Roman" w:cs="Times New Roman"/>
          <w:szCs w:val="24"/>
        </w:rPr>
      </w:pPr>
      <w:r w:rsidRPr="00D21B34">
        <w:rPr>
          <w:shd w:val="clear" w:color="auto" w:fill="FFFFFF"/>
        </w:rPr>
        <w:t>“In girls aged 13-16 years, there was a noticeable increase in the incidence of self-harm over time, specifically during 2011-14.” (Morgan et al.)</w:t>
      </w:r>
      <w:r w:rsidRPr="00D21B34">
        <w:rPr>
          <w:rStyle w:val="EndnoteReference"/>
          <w:shd w:val="clear" w:color="auto" w:fill="FFFFFF"/>
        </w:rPr>
        <w:endnoteReference w:id="7"/>
      </w:r>
      <w:r w:rsidRPr="00D21B34">
        <w:rPr>
          <w:shd w:val="clear" w:color="auto" w:fill="FFFFFF"/>
        </w:rPr>
        <w:t xml:space="preserve"> </w:t>
      </w:r>
      <w:r w:rsidRPr="00D21B34">
        <w:rPr>
          <w:rFonts w:cstheme="minorHAnsi"/>
          <w:bCs/>
          <w:color w:val="000000" w:themeColor="text1"/>
          <w:szCs w:val="21"/>
        </w:rPr>
        <w:t xml:space="preserve">This report also points to the growing use of social media and the large expectation of using social communication a lot earlier in age. Some suggest that this might be part of the reason, stating “digital media… is the centre of continued media debate” and that </w:t>
      </w:r>
      <w:r w:rsidR="00645BAE" w:rsidRPr="00D21B34">
        <w:rPr>
          <w:rFonts w:cstheme="minorHAnsi"/>
          <w:bCs/>
          <w:color w:val="000000" w:themeColor="text1"/>
          <w:szCs w:val="21"/>
        </w:rPr>
        <w:t>“</w:t>
      </w:r>
      <w:r w:rsidRPr="00D21B34">
        <w:rPr>
          <w:rFonts w:eastAsia="Times New Roman" w:cs="Times New Roman"/>
          <w:color w:val="333333"/>
          <w:szCs w:val="24"/>
          <w:shd w:val="clear" w:color="auto" w:fill="FFFFFF"/>
        </w:rPr>
        <w:t>extreme “connectedness” could have detrimental effects</w:t>
      </w:r>
      <w:r w:rsidRPr="00D21B34">
        <w:rPr>
          <w:rFonts w:eastAsia="Times New Roman" w:cs="Times New Roman"/>
          <w:szCs w:val="24"/>
        </w:rPr>
        <w:t xml:space="preserve">” (Morgan et al). By examining the current trends in the media, it is not unsurprising that the most popular shows and magazines feature heavily photo shopped and re-touched images, giving a false sense of truth to their viewers and readers. Shows like </w:t>
      </w:r>
      <w:r w:rsidRPr="00D21B34">
        <w:rPr>
          <w:rFonts w:eastAsia="Times New Roman" w:cs="Times New Roman"/>
          <w:i/>
          <w:szCs w:val="24"/>
        </w:rPr>
        <w:t>Keeping up with The Kardashians</w:t>
      </w:r>
      <w:r w:rsidRPr="00D21B34">
        <w:rPr>
          <w:rFonts w:eastAsia="Times New Roman" w:cs="Times New Roman"/>
          <w:szCs w:val="24"/>
        </w:rPr>
        <w:t xml:space="preserve">, </w:t>
      </w:r>
      <w:r w:rsidRPr="00D21B34">
        <w:rPr>
          <w:rFonts w:eastAsia="Times New Roman" w:cs="Times New Roman"/>
          <w:i/>
          <w:szCs w:val="24"/>
        </w:rPr>
        <w:t>Jersey Shore, Ex on The Beach, The Only Way Is Essex</w:t>
      </w:r>
      <w:r w:rsidRPr="00D21B34">
        <w:rPr>
          <w:rFonts w:eastAsia="Times New Roman" w:cs="Times New Roman"/>
          <w:szCs w:val="24"/>
        </w:rPr>
        <w:t xml:space="preserve"> among others can be seen as examples. These shows also explore the notion that unnaturally good looking individuals, with egotistical and selfish motives always “win”, and are the public’s favourite. </w:t>
      </w:r>
      <w:r w:rsidR="00645BAE" w:rsidRPr="00D21B34">
        <w:rPr>
          <w:rFonts w:eastAsia="Times New Roman" w:cs="Times New Roman"/>
          <w:szCs w:val="24"/>
        </w:rPr>
        <w:t xml:space="preserve">Consumed by swathes of people across the UK, these “reality” shows depict arrogant, self-motivated and superficial behaviour having little to no consequence, which in turn, teach their viewers to behave in a similar manner. </w:t>
      </w:r>
      <w:r w:rsidRPr="00D21B34">
        <w:rPr>
          <w:rFonts w:eastAsia="Times New Roman" w:cs="Times New Roman"/>
          <w:szCs w:val="24"/>
        </w:rPr>
        <w:t xml:space="preserve">In connection with John Berger, the theme of vanity and appearance go as far back as Biblical times, where in the Book of Genesis describes how, when Eve took from the fruit of knowledge, she was punished by being made subservient to Adam. Berger argues that, although Adam also eats the fruit, Eve is punished by “being made subservient to the man.” (Berger 48) </w:t>
      </w:r>
    </w:p>
    <w:p w:rsidR="00EB1255" w:rsidRPr="00D21B34" w:rsidRDefault="00EB1255" w:rsidP="00447F36">
      <w:pPr>
        <w:pStyle w:val="NoSpacing"/>
        <w:spacing w:line="480" w:lineRule="auto"/>
      </w:pPr>
    </w:p>
    <w:p w:rsidR="007E7A06" w:rsidRPr="00D21B34" w:rsidRDefault="007E7A06" w:rsidP="00447F36">
      <w:pPr>
        <w:pStyle w:val="NoSpacing"/>
        <w:spacing w:line="480" w:lineRule="auto"/>
      </w:pPr>
    </w:p>
    <w:p w:rsidR="007E7A06" w:rsidRPr="00D21B34" w:rsidRDefault="007E7A06" w:rsidP="00447F36">
      <w:pPr>
        <w:pStyle w:val="NoSpacing"/>
        <w:spacing w:line="480" w:lineRule="auto"/>
      </w:pPr>
    </w:p>
    <w:p w:rsidR="007E7A06" w:rsidRPr="00D21B34" w:rsidRDefault="007E7A06" w:rsidP="00447F36">
      <w:pPr>
        <w:pStyle w:val="NoSpacing"/>
        <w:spacing w:line="480" w:lineRule="auto"/>
      </w:pPr>
    </w:p>
    <w:p w:rsidR="00447F36" w:rsidRPr="00D21B34" w:rsidRDefault="00447F36" w:rsidP="00447F36">
      <w:pPr>
        <w:pStyle w:val="NoSpacing"/>
        <w:spacing w:line="480" w:lineRule="auto"/>
      </w:pPr>
    </w:p>
    <w:p w:rsidR="00447F36" w:rsidRPr="00D21B34" w:rsidRDefault="00447F36" w:rsidP="00447F36">
      <w:pPr>
        <w:pStyle w:val="NoSpacing"/>
        <w:spacing w:line="480" w:lineRule="auto"/>
      </w:pPr>
    </w:p>
    <w:p w:rsidR="007E7A06" w:rsidRPr="00D21B34" w:rsidRDefault="007E7A06" w:rsidP="00447F36">
      <w:pPr>
        <w:pStyle w:val="NoSpacing"/>
        <w:spacing w:line="480" w:lineRule="auto"/>
      </w:pPr>
    </w:p>
    <w:p w:rsidR="00EB1255" w:rsidRPr="00D21B34" w:rsidRDefault="00EB1255" w:rsidP="00447F36">
      <w:pPr>
        <w:pStyle w:val="NoSpacing"/>
        <w:spacing w:line="480" w:lineRule="auto"/>
      </w:pPr>
      <w:r w:rsidRPr="00D21B34">
        <w:t>Marxist/ Situationist theory, What do we already know in the area?</w:t>
      </w:r>
    </w:p>
    <w:p w:rsidR="00EB1255" w:rsidRPr="00D21B34" w:rsidRDefault="00EB1255" w:rsidP="00447F36">
      <w:pPr>
        <w:pStyle w:val="NoSpacing"/>
        <w:spacing w:line="480" w:lineRule="auto"/>
        <w:rPr>
          <w:rStyle w:val="dt6"/>
        </w:rPr>
      </w:pPr>
      <w:r w:rsidRPr="00D21B34">
        <w:t>Jonathan Wolff defines Marxism as “the historical process as proceeding through a necessary series of modes of production, characterized by class struggle, culminating in communism.</w:t>
      </w:r>
      <w:sdt>
        <w:sdtPr>
          <w:id w:val="-1377613322"/>
          <w:citation/>
        </w:sdtPr>
        <w:sdtEndPr/>
        <w:sdtContent>
          <w:r w:rsidRPr="00D21B34">
            <w:fldChar w:fldCharType="begin"/>
          </w:r>
          <w:r w:rsidRPr="00D21B34">
            <w:rPr>
              <w:rStyle w:val="dt6"/>
              <w:specVanish w:val="0"/>
            </w:rPr>
            <w:instrText xml:space="preserve">CITATION Wolon \t  \l 2057 </w:instrText>
          </w:r>
          <w:r w:rsidRPr="00D21B34">
            <w:fldChar w:fldCharType="separate"/>
          </w:r>
          <w:r w:rsidR="006439E4" w:rsidRPr="00D21B34">
            <w:rPr>
              <w:rStyle w:val="dt6"/>
              <w:noProof/>
              <w:specVanish w:val="0"/>
            </w:rPr>
            <w:t xml:space="preserve"> </w:t>
          </w:r>
          <w:r w:rsidR="006439E4" w:rsidRPr="00D21B34">
            <w:rPr>
              <w:noProof/>
            </w:rPr>
            <w:t>(Wolff, Winter 2017 Edition)</w:t>
          </w:r>
          <w:r w:rsidRPr="00D21B34">
            <w:fldChar w:fldCharType="end"/>
          </w:r>
        </w:sdtContent>
      </w:sdt>
      <w:r w:rsidRPr="00D21B34">
        <w:rPr>
          <w:rStyle w:val="dt6"/>
          <w:specVanish w:val="0"/>
        </w:rPr>
        <w:t xml:space="preserve">”. Karl Marx believed in the intrinsic interest of the many, and the importance of abolishing the classes for an idealistic, classless society. The main flaws in this way of thinking are, as an expansion of the criticisms of Communism and the far left leaning ideal, that the human race is complicated, individualistic, and florishes under a more meritocratic system. The main strengths of severe capitalism are also the main flaws, </w:t>
      </w:r>
      <w:r w:rsidR="00645BAE" w:rsidRPr="00D21B34">
        <w:rPr>
          <w:rStyle w:val="dt6"/>
          <w:specVanish w:val="0"/>
        </w:rPr>
        <w:t xml:space="preserve">in </w:t>
      </w:r>
      <w:r w:rsidRPr="00D21B34">
        <w:rPr>
          <w:rStyle w:val="dt6"/>
          <w:specVanish w:val="0"/>
        </w:rPr>
        <w:t xml:space="preserve">that the selfishness and drive to do well, gain material wealth and supposed “success”, (which is, itself, subjective), are the same systems that benefit the elite and target the poor. As Rousseau states in The Social Contract; “man is born free, and everywhere he is in chains” </w:t>
      </w:r>
      <w:r w:rsidRPr="00D21B34">
        <w:rPr>
          <w:rFonts w:ascii="Arial" w:hAnsi="Arial" w:cs="Arial"/>
          <w:color w:val="666666"/>
          <w:sz w:val="20"/>
          <w:szCs w:val="20"/>
          <w:shd w:val="clear" w:color="auto" w:fill="FFF5AA"/>
        </w:rPr>
        <w:t>(Rousseau and Cole, 2012)</w:t>
      </w:r>
      <w:r w:rsidRPr="00D21B34">
        <w:rPr>
          <w:rStyle w:val="EndnoteReference"/>
        </w:rPr>
        <w:endnoteReference w:id="8"/>
      </w:r>
    </w:p>
    <w:p w:rsidR="00EB1255" w:rsidRPr="00D21B34" w:rsidRDefault="00645BAE" w:rsidP="00447F36">
      <w:pPr>
        <w:pStyle w:val="NoSpacing"/>
        <w:spacing w:line="480" w:lineRule="auto"/>
        <w:rPr>
          <w:rStyle w:val="dt6"/>
          <w:rFonts w:cstheme="minorHAnsi"/>
          <w:spacing w:val="10"/>
          <w:lang w:val="en"/>
        </w:rPr>
      </w:pPr>
      <w:r w:rsidRPr="00D21B34">
        <w:rPr>
          <w:rStyle w:val="dt6"/>
          <w:rFonts w:cstheme="minorHAnsi"/>
          <w:spacing w:val="10"/>
          <w:lang w:val="en"/>
          <w:specVanish w:val="0"/>
        </w:rPr>
        <w:t xml:space="preserve">By comparing Marxism to Situationism, </w:t>
      </w:r>
      <w:r w:rsidR="00A4537C" w:rsidRPr="00D21B34">
        <w:rPr>
          <w:rStyle w:val="dt6"/>
          <w:rFonts w:cstheme="minorHAnsi"/>
          <w:spacing w:val="10"/>
          <w:lang w:val="en"/>
          <w:specVanish w:val="0"/>
        </w:rPr>
        <w:t xml:space="preserve">the social order is perceived and reflected through the human experience, and presented back in personal ways. </w:t>
      </w:r>
      <w:r w:rsidR="00EB1255" w:rsidRPr="00D21B34">
        <w:rPr>
          <w:rStyle w:val="dt6"/>
          <w:rFonts w:cstheme="minorHAnsi"/>
          <w:spacing w:val="10"/>
          <w:lang w:val="en"/>
          <w:specVanish w:val="0"/>
        </w:rPr>
        <w:t xml:space="preserve">In the Society of the Spectacle, Guy Debord tackles the notion of situationist theory. The situationists believed that, according to Merriam Webster, “a theory viewing human personality as a function of response to situations”, which links the human experience and the incredibly personal experience of events as symbiotic. This in turn, affects how we see the world and react to it, in minute, personal different ways. For example, a person raised in a working class family in a council estate would probably have a different sense of community and family values than one raised in middle class household. </w:t>
      </w:r>
    </w:p>
    <w:p w:rsidR="00EB1255" w:rsidRPr="00D21B34" w:rsidRDefault="00EB1255" w:rsidP="00447F36">
      <w:pPr>
        <w:pStyle w:val="NoSpacing"/>
        <w:spacing w:line="480" w:lineRule="auto"/>
        <w:rPr>
          <w:rStyle w:val="dt6"/>
          <w:rFonts w:cstheme="minorHAnsi"/>
          <w:spacing w:val="10"/>
          <w:lang w:val="en"/>
        </w:rPr>
      </w:pPr>
      <w:r w:rsidRPr="00D21B34">
        <w:rPr>
          <w:rStyle w:val="dt6"/>
          <w:rFonts w:cstheme="minorHAnsi"/>
          <w:spacing w:val="10"/>
          <w:lang w:val="en"/>
          <w:specVanish w:val="0"/>
        </w:rPr>
        <w:t>In sociology, the term Functionalism is used to describe this concept. Each system, or social order, has a function in the larger social order. Education, family and government all work with and for each other to work, or “function”. The symbol of the human body is often used to compare the vital “functions”, with vital organs replaced by education, family and government. Everything in society has a larger function – the media for example is put in place, within categories, to control and subject us to a larger structure. This in some ways, overhand and underhand tactics are employed by key systems that target and manipulate those in certain socioeconomic classes. The well-known example being that the homeless, addicted and alcoholic are firstly, grouped together thematically, and secondly, demonized for their lot in life. The coining of the word “Chav” for example, was meant to generalise and group together the young, uneducated people. Owen Jones,  We are taught not to trust young, uneducated people as they are depicted as thugs and worthy of scorn, labelling them as “chavs”. This theory does little to sympathize, and instead encourages and perpetuates the very system it is condemning.</w:t>
      </w:r>
      <w:r w:rsidR="001C50D1" w:rsidRPr="00D21B34">
        <w:rPr>
          <w:rStyle w:val="dt6"/>
          <w:rFonts w:cstheme="minorHAnsi"/>
          <w:spacing w:val="10"/>
          <w:lang w:val="en"/>
        </w:rPr>
        <w:t xml:space="preserve"> </w:t>
      </w:r>
    </w:p>
    <w:p w:rsidR="001C50D1" w:rsidRPr="00D21B34" w:rsidRDefault="001C50D1" w:rsidP="00447F36">
      <w:pPr>
        <w:pStyle w:val="NoSpacing"/>
        <w:spacing w:line="480" w:lineRule="auto"/>
        <w:rPr>
          <w:rStyle w:val="dt6"/>
          <w:rFonts w:cstheme="minorHAnsi"/>
          <w:spacing w:val="10"/>
          <w:lang w:val="en"/>
        </w:rPr>
      </w:pPr>
    </w:p>
    <w:p w:rsidR="001C50D1" w:rsidRPr="00D21B34" w:rsidRDefault="001C50D1" w:rsidP="00447F36">
      <w:pPr>
        <w:pStyle w:val="NoSpacing"/>
        <w:spacing w:line="480" w:lineRule="auto"/>
        <w:rPr>
          <w:rStyle w:val="dt6"/>
          <w:rFonts w:cstheme="minorHAnsi"/>
          <w:spacing w:val="10"/>
          <w:lang w:val="en"/>
        </w:rPr>
      </w:pPr>
      <w:r w:rsidRPr="00D21B34">
        <w:rPr>
          <w:rStyle w:val="dt6"/>
          <w:rFonts w:cstheme="minorHAnsi"/>
          <w:spacing w:val="10"/>
          <w:lang w:val="en"/>
          <w:specVanish w:val="0"/>
        </w:rPr>
        <w:t xml:space="preserve">The notions of social commentary and generalisation has been tackled through text, photography, painting and political satire. In reference to gender and performativity, Judith Butler and Cindy Sherman aimed to reframe what we know by bringing forward their own work, challenging our preconceptions and generalisations. </w:t>
      </w:r>
    </w:p>
    <w:p w:rsidR="00BA6FCB" w:rsidRPr="00D21B34" w:rsidRDefault="00BA6FCB" w:rsidP="00447F36">
      <w:pPr>
        <w:pStyle w:val="NoSpacing"/>
        <w:spacing w:line="480" w:lineRule="auto"/>
        <w:rPr>
          <w:bCs/>
          <w:color w:val="181818"/>
          <w:szCs w:val="21"/>
        </w:rPr>
      </w:pPr>
      <w:r w:rsidRPr="00D21B34">
        <w:rPr>
          <w:bCs/>
          <w:color w:val="181818"/>
          <w:szCs w:val="21"/>
        </w:rPr>
        <w:t xml:space="preserve"> Butler’s perspective on </w:t>
      </w:r>
      <w:r w:rsidR="00EB696F" w:rsidRPr="00D21B34">
        <w:rPr>
          <w:bCs/>
          <w:color w:val="181818"/>
          <w:szCs w:val="21"/>
        </w:rPr>
        <w:t xml:space="preserve">gender and sexuality </w:t>
      </w:r>
      <w:r w:rsidRPr="00D21B34">
        <w:rPr>
          <w:bCs/>
          <w:color w:val="181818"/>
          <w:szCs w:val="21"/>
        </w:rPr>
        <w:t>are different concepts was a hugely influential piece of writing</w:t>
      </w:r>
      <w:r w:rsidR="00EB696F" w:rsidRPr="00D21B34">
        <w:rPr>
          <w:bCs/>
          <w:color w:val="181818"/>
          <w:szCs w:val="21"/>
        </w:rPr>
        <w:t xml:space="preserve">, as she stated that ones sex is biological, but ones gender is more of a </w:t>
      </w:r>
      <w:r w:rsidR="00344DCB" w:rsidRPr="00D21B34">
        <w:rPr>
          <w:bCs/>
          <w:color w:val="181818"/>
          <w:szCs w:val="21"/>
        </w:rPr>
        <w:t xml:space="preserve">social construct, or </w:t>
      </w:r>
      <w:r w:rsidR="00EB696F" w:rsidRPr="00D21B34">
        <w:rPr>
          <w:bCs/>
          <w:color w:val="181818"/>
          <w:szCs w:val="21"/>
        </w:rPr>
        <w:t xml:space="preserve">performance. </w:t>
      </w:r>
      <w:r w:rsidR="006C53E8" w:rsidRPr="00D21B34">
        <w:rPr>
          <w:bCs/>
          <w:color w:val="181818"/>
          <w:szCs w:val="21"/>
        </w:rPr>
        <w:t xml:space="preserve">Inspired in part by Foucault, she </w:t>
      </w:r>
      <w:r w:rsidR="00656E8F" w:rsidRPr="00D21B34">
        <w:rPr>
          <w:bCs/>
          <w:color w:val="181818"/>
          <w:szCs w:val="21"/>
        </w:rPr>
        <w:t xml:space="preserve">puts forward the concept that </w:t>
      </w:r>
      <w:r w:rsidR="00417C32" w:rsidRPr="00D21B34">
        <w:rPr>
          <w:bCs/>
          <w:color w:val="181818"/>
          <w:szCs w:val="21"/>
        </w:rPr>
        <w:t xml:space="preserve">gender is a performance, and can change and mould day to day depending on context. She rejected the strict binary that was seen in gender theory as “women” and “men” and instead insisted the fluidity and unregimented perspective was more of an accurate account. As David Gauntlett summarises, </w:t>
      </w:r>
      <w:r w:rsidR="009F64B1" w:rsidRPr="00D21B34">
        <w:rPr>
          <w:bCs/>
          <w:color w:val="181818"/>
          <w:szCs w:val="21"/>
        </w:rPr>
        <w:t xml:space="preserve">instead of a fixed point </w:t>
      </w:r>
      <w:r w:rsidR="00417C32" w:rsidRPr="00D21B34">
        <w:rPr>
          <w:rFonts w:cstheme="minorHAnsi"/>
          <w:bCs/>
          <w:szCs w:val="21"/>
        </w:rPr>
        <w:t>“</w:t>
      </w:r>
      <w:r w:rsidR="00417C32" w:rsidRPr="00D21B34">
        <w:rPr>
          <w:rFonts w:cstheme="minorHAnsi"/>
          <w:shd w:val="clear" w:color="auto" w:fill="FFFFFF"/>
        </w:rPr>
        <w:t>gender should be seen as a fluid variable which shifts and changes in different contexts and at different times.</w:t>
      </w:r>
      <w:r w:rsidR="00417C32" w:rsidRPr="00D21B34">
        <w:rPr>
          <w:rFonts w:cstheme="minorHAnsi"/>
          <w:shd w:val="clear" w:color="auto" w:fill="FFFFFF"/>
        </w:rPr>
        <w:t xml:space="preserve">” </w:t>
      </w:r>
      <w:r w:rsidR="009F64B1" w:rsidRPr="00D21B34">
        <w:rPr>
          <w:rFonts w:cstheme="minorHAnsi"/>
          <w:shd w:val="clear" w:color="auto" w:fill="FFFFFF"/>
        </w:rPr>
        <w:t>(</w:t>
      </w:r>
      <w:r w:rsidR="00417C32" w:rsidRPr="00D21B34">
        <w:rPr>
          <w:rFonts w:cstheme="minorHAnsi"/>
          <w:shd w:val="clear" w:color="auto" w:fill="FFFFFF"/>
        </w:rPr>
        <w:t>Gauntlett, 1998</w:t>
      </w:r>
      <w:r w:rsidR="009F64B1" w:rsidRPr="00D21B34">
        <w:rPr>
          <w:rFonts w:cstheme="minorHAnsi"/>
          <w:shd w:val="clear" w:color="auto" w:fill="FFFFFF"/>
        </w:rPr>
        <w:t>)</w:t>
      </w:r>
      <w:r w:rsidR="009F64B1" w:rsidRPr="00D21B34">
        <w:rPr>
          <w:rStyle w:val="EndnoteReference"/>
          <w:rFonts w:cstheme="minorHAnsi"/>
          <w:shd w:val="clear" w:color="auto" w:fill="FFFFFF"/>
        </w:rPr>
        <w:endnoteReference w:id="9"/>
      </w:r>
      <w:r w:rsidR="00417C32" w:rsidRPr="00D21B34">
        <w:rPr>
          <w:rFonts w:ascii="Arial" w:hAnsi="Arial" w:cs="Arial"/>
          <w:shd w:val="clear" w:color="auto" w:fill="FFFFFF"/>
        </w:rPr>
        <w:t xml:space="preserve"> </w:t>
      </w:r>
    </w:p>
    <w:p w:rsidR="00EB1255" w:rsidRPr="00D21B34" w:rsidRDefault="00C359E9" w:rsidP="00447F36">
      <w:pPr>
        <w:pStyle w:val="NoSpacing"/>
        <w:spacing w:line="480" w:lineRule="auto"/>
        <w:rPr>
          <w:bCs/>
          <w:color w:val="181818"/>
          <w:szCs w:val="21"/>
        </w:rPr>
      </w:pPr>
      <w:r w:rsidRPr="00D21B34">
        <w:rPr>
          <w:bCs/>
          <w:color w:val="181818"/>
          <w:szCs w:val="21"/>
        </w:rPr>
        <w:t xml:space="preserve">Butler’s </w:t>
      </w:r>
      <w:r w:rsidR="00344DCB" w:rsidRPr="00D21B34">
        <w:rPr>
          <w:bCs/>
          <w:color w:val="181818"/>
          <w:szCs w:val="21"/>
        </w:rPr>
        <w:t>text “Gender Trouble” tackles the notion of social constructs in relation to gender, and her work is highly regarded as a key piece</w:t>
      </w:r>
      <w:r w:rsidR="009F64B1" w:rsidRPr="00D21B34">
        <w:rPr>
          <w:bCs/>
          <w:color w:val="181818"/>
          <w:szCs w:val="21"/>
        </w:rPr>
        <w:t xml:space="preserve"> in third wave feminism reading and queer theory.</w:t>
      </w:r>
    </w:p>
    <w:p w:rsidR="009F64B1" w:rsidRPr="00D21B34" w:rsidRDefault="009F64B1" w:rsidP="00447F36">
      <w:pPr>
        <w:pStyle w:val="NoSpacing"/>
        <w:spacing w:line="480" w:lineRule="auto"/>
        <w:rPr>
          <w:bCs/>
          <w:color w:val="181818"/>
          <w:szCs w:val="21"/>
        </w:rPr>
      </w:pPr>
      <w:r w:rsidRPr="00D21B34">
        <w:rPr>
          <w:bCs/>
          <w:color w:val="181818"/>
          <w:szCs w:val="21"/>
        </w:rPr>
        <w:t>Also exploring notions of performativity and gender is Cindy Sherman, who created characters of hers</w:t>
      </w:r>
      <w:r w:rsidR="00B77EDD" w:rsidRPr="00D21B34">
        <w:rPr>
          <w:bCs/>
          <w:color w:val="181818"/>
          <w:szCs w:val="21"/>
        </w:rPr>
        <w:t>elf within the female gender. Her well known self portraits depict a playful and investigative understanding of different female characters, with the intention to disappear behind the character she depicts. Although her photographs are self-portraits, her intention was not to depict herself, but rather be eclipsed by the pastiche o</w:t>
      </w:r>
      <w:r w:rsidR="00993EFF" w:rsidRPr="00D21B34">
        <w:rPr>
          <w:bCs/>
          <w:color w:val="181818"/>
          <w:szCs w:val="21"/>
        </w:rPr>
        <w:t>f the specific woman she depicted</w:t>
      </w:r>
      <w:r w:rsidR="00B77EDD" w:rsidRPr="00D21B34">
        <w:rPr>
          <w:bCs/>
          <w:color w:val="181818"/>
          <w:szCs w:val="21"/>
        </w:rPr>
        <w:t>. She states “I never see myself. They aren’t self portraits. Sometimes I disappear”</w:t>
      </w:r>
      <w:r w:rsidR="009266D2" w:rsidRPr="00D21B34">
        <w:rPr>
          <w:bCs/>
          <w:color w:val="181818"/>
          <w:szCs w:val="21"/>
        </w:rPr>
        <w:t xml:space="preserve"> (Collins, 1990)</w:t>
      </w:r>
      <w:r w:rsidR="009266D2" w:rsidRPr="00D21B34">
        <w:rPr>
          <w:rStyle w:val="EndnoteReference"/>
          <w:bCs/>
          <w:color w:val="181818"/>
          <w:szCs w:val="21"/>
        </w:rPr>
        <w:endnoteReference w:id="10"/>
      </w:r>
      <w:r w:rsidR="00BB043B" w:rsidRPr="00D21B34">
        <w:rPr>
          <w:bCs/>
          <w:color w:val="181818"/>
          <w:szCs w:val="21"/>
        </w:rPr>
        <w:t xml:space="preserve"> Both women explore</w:t>
      </w:r>
      <w:r w:rsidR="00993EFF" w:rsidRPr="00D21B34">
        <w:rPr>
          <w:bCs/>
          <w:color w:val="181818"/>
          <w:szCs w:val="21"/>
        </w:rPr>
        <w:t xml:space="preserve"> the concept of performativity, Judith Butler pushing and confronting the classic, archaic notions of strict g</w:t>
      </w:r>
      <w:r w:rsidR="00BB043B" w:rsidRPr="00D21B34">
        <w:rPr>
          <w:bCs/>
          <w:color w:val="181818"/>
          <w:szCs w:val="21"/>
        </w:rPr>
        <w:t>ender identity through her own unique theory</w:t>
      </w:r>
      <w:r w:rsidR="00993EFF" w:rsidRPr="00D21B34">
        <w:rPr>
          <w:bCs/>
          <w:color w:val="181818"/>
          <w:szCs w:val="21"/>
        </w:rPr>
        <w:t xml:space="preserve"> and </w:t>
      </w:r>
      <w:r w:rsidR="00BB043B" w:rsidRPr="00D21B34">
        <w:rPr>
          <w:bCs/>
          <w:color w:val="181818"/>
          <w:szCs w:val="21"/>
        </w:rPr>
        <w:t>Sherman exploring gender and performance through dress, makeup, wigs through photography.</w:t>
      </w:r>
      <w:r w:rsidR="00993EFF" w:rsidRPr="00D21B34">
        <w:rPr>
          <w:bCs/>
          <w:color w:val="181818"/>
          <w:szCs w:val="21"/>
        </w:rPr>
        <w:t xml:space="preserve"> </w:t>
      </w:r>
    </w:p>
    <w:p w:rsidR="00EB1255" w:rsidRPr="00D21B34" w:rsidRDefault="00EB1255" w:rsidP="00447F36">
      <w:pPr>
        <w:spacing w:line="480" w:lineRule="auto"/>
        <w:rPr>
          <w:rFonts w:eastAsia="Times New Roman" w:cs="Times New Roman"/>
          <w:szCs w:val="24"/>
        </w:rPr>
      </w:pPr>
    </w:p>
    <w:p w:rsidR="00EB1255" w:rsidRPr="00D21B34" w:rsidRDefault="006921CD" w:rsidP="00447F36">
      <w:pPr>
        <w:spacing w:line="480" w:lineRule="auto"/>
        <w:rPr>
          <w:rFonts w:eastAsia="Times New Roman" w:cs="Times New Roman"/>
          <w:szCs w:val="24"/>
        </w:rPr>
      </w:pPr>
      <w:r w:rsidRPr="00D21B34">
        <w:rPr>
          <w:rFonts w:eastAsia="Times New Roman" w:cs="Times New Roman"/>
          <w:szCs w:val="24"/>
        </w:rPr>
        <w:t xml:space="preserve">Throughout </w:t>
      </w:r>
      <w:r w:rsidR="00EB1255" w:rsidRPr="00D21B34">
        <w:rPr>
          <w:rFonts w:eastAsia="Times New Roman" w:cs="Times New Roman"/>
          <w:szCs w:val="24"/>
        </w:rPr>
        <w:t xml:space="preserve">reality shows, meant to provoke and cause tension between cast members, we are not morally higher by, as a nation, addicted and fascinated by the taught behaviour on camera. It could be argued that unless we stop watching, debating and </w:t>
      </w:r>
      <w:r w:rsidR="00EB1255" w:rsidRPr="00D21B34">
        <w:rPr>
          <w:rFonts w:eastAsia="Times New Roman" w:cs="Times New Roman"/>
          <w:i/>
          <w:szCs w:val="24"/>
        </w:rPr>
        <w:t>consuming</w:t>
      </w:r>
      <w:r w:rsidR="00EB1255" w:rsidRPr="00D21B34">
        <w:rPr>
          <w:rFonts w:eastAsia="Times New Roman" w:cs="Times New Roman"/>
          <w:szCs w:val="24"/>
        </w:rPr>
        <w:t xml:space="preserve"> this type of truly sub-par entertainment, these shows will carry on, and the only way to create change is to refuse to </w:t>
      </w:r>
      <w:r w:rsidR="00EB1255" w:rsidRPr="00D21B34">
        <w:rPr>
          <w:rFonts w:eastAsia="Times New Roman" w:cs="Times New Roman"/>
          <w:i/>
          <w:szCs w:val="24"/>
        </w:rPr>
        <w:t>consume</w:t>
      </w:r>
      <w:r w:rsidR="00EB1255" w:rsidRPr="00D21B34">
        <w:rPr>
          <w:rFonts w:eastAsia="Times New Roman" w:cs="Times New Roman"/>
          <w:szCs w:val="24"/>
        </w:rPr>
        <w:t xml:space="preserve"> it. </w:t>
      </w:r>
    </w:p>
    <w:p w:rsidR="00EB1255" w:rsidRPr="00D21B34" w:rsidRDefault="00EB1255" w:rsidP="00447F36">
      <w:pPr>
        <w:spacing w:line="480" w:lineRule="auto"/>
        <w:rPr>
          <w:rFonts w:eastAsia="Times New Roman" w:cs="Times New Roman"/>
          <w:color w:val="2A2A2A"/>
          <w:szCs w:val="24"/>
          <w:shd w:val="clear" w:color="auto" w:fill="FFFFFF"/>
        </w:rPr>
      </w:pPr>
      <w:r w:rsidRPr="00D21B34">
        <w:rPr>
          <w:rFonts w:eastAsia="Times New Roman" w:cs="Times New Roman"/>
          <w:szCs w:val="24"/>
        </w:rPr>
        <w:t>The dictionary definition of consumerism is, according to the Oxford English Dictionary, “</w:t>
      </w:r>
      <w:r w:rsidRPr="00D21B34">
        <w:rPr>
          <w:rFonts w:eastAsia="Times New Roman" w:cs="Times New Roman"/>
          <w:color w:val="2A2A2A"/>
          <w:szCs w:val="24"/>
          <w:shd w:val="clear" w:color="auto" w:fill="FFFFFF"/>
        </w:rPr>
        <w:t xml:space="preserve">The protection or promotion of the interests of consumers.” </w:t>
      </w:r>
      <w:r w:rsidRPr="00D21B34">
        <w:rPr>
          <w:rStyle w:val="EndnoteReference"/>
          <w:rFonts w:eastAsia="Times New Roman" w:cs="Times New Roman"/>
          <w:color w:val="2A2A2A"/>
          <w:szCs w:val="24"/>
          <w:shd w:val="clear" w:color="auto" w:fill="FFFFFF"/>
        </w:rPr>
        <w:endnoteReference w:id="11"/>
      </w:r>
      <w:r w:rsidRPr="00D21B34">
        <w:rPr>
          <w:rFonts w:eastAsia="Times New Roman" w:cs="Times New Roman"/>
          <w:color w:val="2A2A2A"/>
          <w:szCs w:val="24"/>
          <w:shd w:val="clear" w:color="auto" w:fill="FFFFFF"/>
        </w:rPr>
        <w:t xml:space="preserve"> </w:t>
      </w:r>
      <w:r w:rsidR="006921CD" w:rsidRPr="00D21B34">
        <w:rPr>
          <w:rFonts w:eastAsia="Times New Roman" w:cs="Times New Roman"/>
          <w:color w:val="2A2A2A"/>
          <w:szCs w:val="24"/>
          <w:shd w:val="clear" w:color="auto" w:fill="FFFFFF"/>
        </w:rPr>
        <w:t>(</w:t>
      </w:r>
      <w:r w:rsidR="00C359E9" w:rsidRPr="00D21B34">
        <w:rPr>
          <w:rFonts w:eastAsia="Times New Roman" w:cs="Times New Roman"/>
          <w:color w:val="2A2A2A"/>
          <w:szCs w:val="24"/>
          <w:shd w:val="clear" w:color="auto" w:fill="FFFFFF"/>
        </w:rPr>
        <w:t xml:space="preserve"> Oxford Dictionaries") </w:t>
      </w:r>
    </w:p>
    <w:p w:rsidR="00EB1255" w:rsidRPr="00D21B34" w:rsidRDefault="00EB1255" w:rsidP="00447F36">
      <w:pPr>
        <w:spacing w:line="480" w:lineRule="auto"/>
        <w:rPr>
          <w:rFonts w:eastAsia="Times New Roman" w:cs="Times New Roman"/>
          <w:color w:val="2A2A2A"/>
          <w:szCs w:val="24"/>
          <w:shd w:val="clear" w:color="auto" w:fill="FFFFFF"/>
        </w:rPr>
      </w:pPr>
    </w:p>
    <w:p w:rsidR="00EB1255" w:rsidRPr="00D21B34" w:rsidRDefault="00EB1255" w:rsidP="00447F36">
      <w:pPr>
        <w:spacing w:line="480" w:lineRule="auto"/>
        <w:rPr>
          <w:rFonts w:eastAsia="Times New Roman" w:cs="Times New Roman"/>
          <w:color w:val="2A2A2A"/>
          <w:szCs w:val="24"/>
          <w:shd w:val="clear" w:color="auto" w:fill="FFFFFF"/>
        </w:rPr>
      </w:pPr>
      <w:r w:rsidRPr="00D21B34">
        <w:rPr>
          <w:rFonts w:eastAsia="Times New Roman" w:cs="Times New Roman"/>
          <w:color w:val="2A2A2A"/>
          <w:szCs w:val="24"/>
          <w:shd w:val="clear" w:color="auto" w:fill="FFFFFF"/>
        </w:rPr>
        <w:t xml:space="preserve">If the small, incongruous leap can be made between the term “consumer” and “man”, many similarities appear when comparing the female body (and female nude) to objects. The term “abjection” was coined by Julia Kristeva, that in </w:t>
      </w:r>
      <w:r w:rsidRPr="00D21B34">
        <w:rPr>
          <w:rFonts w:eastAsia="Times New Roman" w:cs="Times New Roman"/>
          <w:i/>
          <w:color w:val="2A2A2A"/>
          <w:szCs w:val="24"/>
          <w:shd w:val="clear" w:color="auto" w:fill="FFFFFF"/>
        </w:rPr>
        <w:t xml:space="preserve">Powers of Horror, </w:t>
      </w:r>
      <w:r w:rsidRPr="00D21B34">
        <w:rPr>
          <w:rFonts w:eastAsia="Times New Roman" w:cs="Times New Roman"/>
          <w:color w:val="2A2A2A"/>
          <w:szCs w:val="24"/>
          <w:shd w:val="clear" w:color="auto" w:fill="FFFFFF"/>
        </w:rPr>
        <w:t xml:space="preserve">she argues that there is a specific point, where we determine that in our psychosexual development, that in order for us to process certain images we must first separate the </w:t>
      </w:r>
      <w:r w:rsidRPr="00D21B34">
        <w:rPr>
          <w:rFonts w:eastAsia="Times New Roman" w:cs="Times New Roman"/>
          <w:i/>
          <w:color w:val="2A2A2A"/>
          <w:szCs w:val="24"/>
          <w:shd w:val="clear" w:color="auto" w:fill="FFFFFF"/>
        </w:rPr>
        <w:t xml:space="preserve">idea </w:t>
      </w:r>
      <w:r w:rsidRPr="00D21B34">
        <w:rPr>
          <w:rFonts w:eastAsia="Times New Roman" w:cs="Times New Roman"/>
          <w:color w:val="2A2A2A"/>
          <w:szCs w:val="24"/>
          <w:shd w:val="clear" w:color="auto" w:fill="FFFFFF"/>
        </w:rPr>
        <w:t>of what we are seeing. This in turn, reflects Lacan’s model on psychoanalytical development.</w:t>
      </w:r>
      <w:r w:rsidRPr="00D21B34">
        <w:rPr>
          <w:rStyle w:val="EndnoteReference"/>
          <w:rFonts w:eastAsia="Times New Roman" w:cs="Times New Roman"/>
          <w:color w:val="2A2A2A"/>
          <w:szCs w:val="24"/>
          <w:shd w:val="clear" w:color="auto" w:fill="FFFFFF"/>
        </w:rPr>
        <w:endnoteReference w:id="12"/>
      </w:r>
      <w:r w:rsidRPr="00D21B34">
        <w:rPr>
          <w:rFonts w:eastAsia="Times New Roman" w:cs="Times New Roman"/>
          <w:color w:val="2A2A2A"/>
          <w:szCs w:val="24"/>
          <w:shd w:val="clear" w:color="auto" w:fill="FFFFFF"/>
        </w:rPr>
        <w:t xml:space="preserve"> (Felluga, Dino 2002) In relation to advertising, the female body is constantly under scrutiny, exploited, in pain, sexualised and battered, in order to sell a product. The consumer is then prompted to make the easy leap between a sexualised, objectified image of a female and the object in question, and in the most extreme scenarios, the object itself which is almost lost within this constructed, convoluted narrative involving the woman or female body. The most famous or infamous cases of this are Dolce Gabbana, American Apparel, amongst others. American Apparel, for one, have routinely come under fire for ceaselessly using pseudo-pornographic images of legs, chests and thigh shots to advertise their clothing. </w:t>
      </w:r>
    </w:p>
    <w:p w:rsidR="00EB1255" w:rsidRPr="00D21B34" w:rsidRDefault="00EB1255" w:rsidP="00447F36">
      <w:pPr>
        <w:spacing w:line="480" w:lineRule="auto"/>
        <w:rPr>
          <w:rFonts w:ascii="Times New Roman" w:eastAsia="Times New Roman" w:hAnsi="Times New Roman" w:cs="Times New Roman"/>
          <w:sz w:val="24"/>
          <w:szCs w:val="24"/>
        </w:rPr>
      </w:pPr>
      <w:r w:rsidRPr="00D21B34">
        <w:rPr>
          <w:rFonts w:eastAsia="Times New Roman" w:cs="Times New Roman"/>
          <w:color w:val="2A2A2A"/>
          <w:szCs w:val="24"/>
          <w:shd w:val="clear" w:color="auto" w:fill="FFFFFF"/>
        </w:rPr>
        <w:t xml:space="preserve">Compare these images:  </w:t>
      </w:r>
    </w:p>
    <w:p w:rsidR="00EB1255" w:rsidRPr="00D21B34" w:rsidRDefault="00EB1255" w:rsidP="00447F36">
      <w:pPr>
        <w:spacing w:line="480" w:lineRule="auto"/>
        <w:rPr>
          <w:rFonts w:ascii="Times New Roman" w:eastAsia="Times New Roman" w:hAnsi="Times New Roman" w:cs="Times New Roman"/>
          <w:sz w:val="24"/>
          <w:szCs w:val="24"/>
        </w:rPr>
      </w:pPr>
      <w:r w:rsidRPr="00D21B34">
        <w:rPr>
          <w:rFonts w:ascii="Times New Roman" w:eastAsia="Times New Roman" w:hAnsi="Times New Roman" w:cs="Times New Roman"/>
          <w:noProof/>
          <w:sz w:val="24"/>
          <w:szCs w:val="24"/>
          <w:lang w:eastAsia="en-GB"/>
        </w:rPr>
        <w:drawing>
          <wp:inline distT="0" distB="0" distL="0" distR="0" wp14:anchorId="5024DDBC" wp14:editId="315B43AC">
            <wp:extent cx="2305050" cy="28038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a-2008-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27167" cy="2830708"/>
                    </a:xfrm>
                    <a:prstGeom prst="rect">
                      <a:avLst/>
                    </a:prstGeom>
                  </pic:spPr>
                </pic:pic>
              </a:graphicData>
            </a:graphic>
          </wp:inline>
        </w:drawing>
      </w:r>
      <w:r w:rsidRPr="00D21B34">
        <w:rPr>
          <w:rFonts w:ascii="Times New Roman" w:eastAsia="Times New Roman" w:hAnsi="Times New Roman" w:cs="Times New Roman"/>
          <w:noProof/>
          <w:sz w:val="24"/>
          <w:szCs w:val="24"/>
          <w:lang w:eastAsia="en-GB"/>
        </w:rPr>
        <w:drawing>
          <wp:inline distT="0" distB="0" distL="0" distR="0" wp14:anchorId="153FF72D" wp14:editId="51FA3D15">
            <wp:extent cx="3211531" cy="2136633"/>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rancisco goya, the nude maja 179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4561" cy="2145302"/>
                    </a:xfrm>
                    <a:prstGeom prst="rect">
                      <a:avLst/>
                    </a:prstGeom>
                  </pic:spPr>
                </pic:pic>
              </a:graphicData>
            </a:graphic>
          </wp:inline>
        </w:drawing>
      </w:r>
    </w:p>
    <w:p w:rsidR="00EB1255" w:rsidRPr="00D21B34" w:rsidRDefault="00EB1255" w:rsidP="00447F36">
      <w:pPr>
        <w:spacing w:line="480" w:lineRule="auto"/>
        <w:rPr>
          <w:rFonts w:ascii="Times New Roman" w:eastAsia="Times New Roman" w:hAnsi="Times New Roman" w:cs="Times New Roman"/>
          <w:sz w:val="24"/>
          <w:szCs w:val="24"/>
        </w:rPr>
      </w:pPr>
      <w:r w:rsidRPr="00D21B34">
        <w:rPr>
          <w:rStyle w:val="EndnoteReference"/>
          <w:rFonts w:ascii="Times New Roman" w:eastAsia="Times New Roman" w:hAnsi="Times New Roman" w:cs="Times New Roman"/>
          <w:sz w:val="24"/>
          <w:szCs w:val="24"/>
        </w:rPr>
        <w:endnoteReference w:id="13"/>
      </w:r>
      <w:r w:rsidRPr="00D21B34">
        <w:rPr>
          <w:rFonts w:ascii="Times New Roman" w:eastAsia="Times New Roman" w:hAnsi="Times New Roman" w:cs="Times New Roman"/>
          <w:sz w:val="24"/>
          <w:szCs w:val="24"/>
        </w:rPr>
        <w:t xml:space="preserve"> </w:t>
      </w:r>
    </w:p>
    <w:p w:rsidR="00EB1255" w:rsidRPr="00D21B34" w:rsidRDefault="00EB1255" w:rsidP="00447F36">
      <w:pPr>
        <w:spacing w:line="480" w:lineRule="auto"/>
        <w:rPr>
          <w:rFonts w:cstheme="minorHAnsi"/>
          <w:bCs/>
          <w:color w:val="000000" w:themeColor="text1"/>
          <w:szCs w:val="21"/>
        </w:rPr>
      </w:pPr>
      <w:r w:rsidRPr="00D21B34">
        <w:rPr>
          <w:rFonts w:ascii="Arial" w:hAnsi="Arial" w:cs="Arial"/>
          <w:color w:val="666666"/>
          <w:sz w:val="20"/>
          <w:szCs w:val="20"/>
          <w:shd w:val="clear" w:color="auto" w:fill="FFFFFF"/>
        </w:rPr>
        <w:t xml:space="preserve">      </w:t>
      </w:r>
      <w:r w:rsidRPr="00D21B34">
        <w:rPr>
          <w:rFonts w:ascii="Arial" w:hAnsi="Arial" w:cs="Arial"/>
          <w:color w:val="666666"/>
          <w:sz w:val="20"/>
          <w:szCs w:val="20"/>
          <w:shd w:val="clear" w:color="auto" w:fill="FFF5AA"/>
        </w:rPr>
        <w:t>(American Apparel, 2017)</w:t>
      </w:r>
      <w:r w:rsidRPr="00D21B34">
        <w:rPr>
          <w:rStyle w:val="EndnoteReference"/>
          <w:rFonts w:ascii="Arial" w:hAnsi="Arial" w:cs="Arial"/>
          <w:color w:val="666666"/>
          <w:sz w:val="20"/>
          <w:szCs w:val="20"/>
          <w:shd w:val="clear" w:color="auto" w:fill="FFF5AA"/>
        </w:rPr>
        <w:endnoteReference w:id="14"/>
      </w:r>
      <w:r w:rsidRPr="00D21B34">
        <w:rPr>
          <w:rFonts w:ascii="Arial" w:hAnsi="Arial" w:cs="Arial"/>
          <w:color w:val="666666"/>
          <w:sz w:val="20"/>
          <w:szCs w:val="20"/>
          <w:shd w:val="clear" w:color="auto" w:fill="FFFFFF"/>
        </w:rPr>
        <w:t xml:space="preserve">                                                                       (Goya y Lucientes, 1808) </w:t>
      </w:r>
      <w:r w:rsidRPr="00D21B34">
        <w:rPr>
          <w:rStyle w:val="EndnoteReference"/>
          <w:rFonts w:ascii="Arial" w:hAnsi="Arial" w:cs="Arial"/>
          <w:color w:val="666666"/>
          <w:sz w:val="20"/>
          <w:szCs w:val="20"/>
          <w:shd w:val="clear" w:color="auto" w:fill="FFFFFF"/>
        </w:rPr>
        <w:endnoteReference w:id="15"/>
      </w:r>
    </w:p>
    <w:p w:rsidR="00EB1255" w:rsidRPr="00D21B34" w:rsidRDefault="00EB1255" w:rsidP="00447F36">
      <w:pPr>
        <w:pStyle w:val="NoSpacing"/>
        <w:spacing w:line="480" w:lineRule="auto"/>
        <w:rPr>
          <w:rStyle w:val="dt6"/>
          <w:rFonts w:cstheme="minorHAnsi"/>
          <w:spacing w:val="10"/>
          <w:lang w:val="en"/>
        </w:rPr>
      </w:pPr>
    </w:p>
    <w:p w:rsidR="00EB1255" w:rsidRPr="00D21B34" w:rsidRDefault="00EB1255" w:rsidP="00447F36">
      <w:pPr>
        <w:spacing w:line="480" w:lineRule="auto"/>
        <w:rPr>
          <w:rStyle w:val="dt6"/>
          <w:rFonts w:cstheme="minorHAnsi"/>
          <w:color w:val="3B3E41"/>
          <w:spacing w:val="10"/>
          <w:lang w:val="en"/>
        </w:rPr>
      </w:pPr>
      <w:r w:rsidRPr="00D21B34">
        <w:rPr>
          <w:rStyle w:val="dt6"/>
          <w:rFonts w:cstheme="minorHAnsi"/>
          <w:color w:val="3B3E41"/>
          <w:spacing w:val="10"/>
          <w:lang w:val="en"/>
          <w:specVanish w:val="0"/>
        </w:rPr>
        <w:t xml:space="preserve">In both images, the sexualised, objectified woman is staring head on at the viewer. The model in the American Apparel photograph is visibly bending over, and looking upright for a “pleasing” view of her cleavage, knowing the angle the viewer can see it from. This can be argued to be scopophilic, as the clothes, (or lack thereof), stance and even the eye contact are all factors to consider this image as for the viewership, or entertainment of a presumably mostly male target audience. </w:t>
      </w:r>
      <w:r w:rsidR="00C11625" w:rsidRPr="00D21B34">
        <w:rPr>
          <w:rStyle w:val="dt6"/>
          <w:rFonts w:cstheme="minorHAnsi"/>
          <w:color w:val="3B3E41"/>
          <w:spacing w:val="10"/>
          <w:lang w:val="en"/>
          <w:specVanish w:val="0"/>
        </w:rPr>
        <w:t>The colour palette in the image is limited, with a completely blank backdrop, making the model, her pose, and her stare appear more intense.</w:t>
      </w:r>
      <w:r w:rsidR="003D45F9" w:rsidRPr="00D21B34">
        <w:rPr>
          <w:rStyle w:val="dt6"/>
          <w:rFonts w:cstheme="minorHAnsi"/>
          <w:color w:val="3B3E41"/>
          <w:spacing w:val="10"/>
          <w:lang w:val="en"/>
          <w:specVanish w:val="0"/>
        </w:rPr>
        <w:t xml:space="preserve"> By placing her hands on her knees and bending forward, from the view of the viewer there is a lot of skin on show, imitating nakedness.</w:t>
      </w:r>
    </w:p>
    <w:p w:rsidR="00EB1255" w:rsidRPr="00D21B34" w:rsidRDefault="00EB1255" w:rsidP="00447F36">
      <w:pPr>
        <w:spacing w:line="480" w:lineRule="auto"/>
        <w:rPr>
          <w:rStyle w:val="dt6"/>
          <w:rFonts w:cstheme="minorHAnsi"/>
          <w:color w:val="3B3E41"/>
          <w:spacing w:val="10"/>
          <w:lang w:val="en"/>
        </w:rPr>
      </w:pPr>
      <w:r w:rsidRPr="00D21B34">
        <w:rPr>
          <w:rStyle w:val="dt6"/>
          <w:rFonts w:cstheme="minorHAnsi"/>
          <w:color w:val="3B3E41"/>
          <w:spacing w:val="10"/>
          <w:lang w:val="en"/>
          <w:specVanish w:val="0"/>
        </w:rPr>
        <w:t xml:space="preserve">Goya’s oil painting, featuring the nude Venus, is shown draped across a plush, velvet bed and is also giving the viewer direct eye contact. As Berger would argue, she is seeing herself as men see her for </w:t>
      </w:r>
      <w:r w:rsidRPr="00D21B34">
        <w:rPr>
          <w:rStyle w:val="dt6"/>
          <w:rFonts w:cstheme="minorHAnsi"/>
          <w:i/>
          <w:color w:val="3B3E41"/>
          <w:spacing w:val="10"/>
          <w:lang w:val="en"/>
          <w:specVanish w:val="0"/>
        </w:rPr>
        <w:t>their own pleasure</w:t>
      </w:r>
      <w:r w:rsidRPr="00D21B34">
        <w:rPr>
          <w:rStyle w:val="dt6"/>
          <w:rFonts w:cstheme="minorHAnsi"/>
          <w:color w:val="3B3E41"/>
          <w:spacing w:val="10"/>
          <w:lang w:val="en"/>
          <w:specVanish w:val="0"/>
        </w:rPr>
        <w:t>. Painted in the early 1800s, the reclining Venus herself was in fact, Goya’s mistress, which surely ads further sexual dimension to this painting.</w:t>
      </w:r>
      <w:r w:rsidR="006921CD" w:rsidRPr="00D21B34">
        <w:rPr>
          <w:rStyle w:val="dt6"/>
          <w:rFonts w:cstheme="minorHAnsi"/>
          <w:color w:val="3B3E41"/>
          <w:spacing w:val="10"/>
          <w:lang w:val="en"/>
        </w:rPr>
        <w:t xml:space="preserve"> (Museo del Prado)</w:t>
      </w:r>
      <w:r w:rsidR="006921CD" w:rsidRPr="00D21B34">
        <w:rPr>
          <w:rStyle w:val="EndnoteReference"/>
          <w:rFonts w:cstheme="minorHAnsi"/>
          <w:color w:val="3B3E41"/>
          <w:spacing w:val="10"/>
          <w:lang w:val="en"/>
        </w:rPr>
        <w:endnoteReference w:id="16"/>
      </w:r>
      <w:r w:rsidRPr="00D21B34">
        <w:rPr>
          <w:rStyle w:val="dt6"/>
          <w:rFonts w:cstheme="minorHAnsi"/>
          <w:color w:val="3B3E41"/>
          <w:spacing w:val="10"/>
          <w:lang w:val="en"/>
          <w:specVanish w:val="0"/>
        </w:rPr>
        <w:t xml:space="preserve"> Both women have the same coy, open facial expression, as with a knowing, shared secret between model and viewer.  As Berger stated in Ways of Seeing, when comparing two very similar pieces, “she is offering up her femininity as the surveyed.”</w:t>
      </w:r>
      <w:r w:rsidRPr="00D21B34">
        <w:rPr>
          <w:rStyle w:val="EndnoteReference"/>
          <w:rFonts w:cstheme="minorHAnsi"/>
          <w:color w:val="3B3E41"/>
          <w:spacing w:val="10"/>
          <w:lang w:val="en"/>
        </w:rPr>
        <w:endnoteReference w:id="17"/>
      </w:r>
      <w:r w:rsidR="003D45F9" w:rsidRPr="00D21B34">
        <w:rPr>
          <w:rStyle w:val="dt6"/>
          <w:rFonts w:cstheme="minorHAnsi"/>
          <w:color w:val="3B3E41"/>
          <w:spacing w:val="10"/>
          <w:lang w:val="en"/>
          <w:specVanish w:val="0"/>
        </w:rPr>
        <w:t xml:space="preserve"> This woman also has her body facing the viewer, with her hands behind her head and her legs stretched out, with no clothes across her body. Her pale, light skin almost shines, reflecting light from her sheets beneath her. In both images, there is no doubt of the overt sexualised tone present, (both undressed or mostly undressed) for the purposes of enticing and selling the image through the male gaze. </w:t>
      </w:r>
      <w:r w:rsidR="006921CD" w:rsidRPr="00D21B34">
        <w:rPr>
          <w:rStyle w:val="dt6"/>
          <w:rFonts w:cstheme="minorHAnsi"/>
          <w:color w:val="3B3E41"/>
          <w:spacing w:val="10"/>
          <w:lang w:val="en"/>
        </w:rPr>
        <w:t>A</w:t>
      </w:r>
      <w:r w:rsidR="0080038E" w:rsidRPr="00D21B34">
        <w:rPr>
          <w:rStyle w:val="dt6"/>
          <w:rFonts w:cstheme="minorHAnsi"/>
          <w:color w:val="3B3E41"/>
          <w:spacing w:val="10"/>
          <w:lang w:val="en"/>
          <w:specVanish w:val="0"/>
        </w:rPr>
        <w:t xml:space="preserve"> feminist reading however, could argue that although the women are objectified, the gaze of the model is firmly outwards, at the viewer. the pose and stance of both women are intended for maximum reaction in the male gaze, yet their eye contact with the viewer could be considered challenging, and in control.</w:t>
      </w:r>
    </w:p>
    <w:p w:rsidR="00EB1255" w:rsidRPr="00D21B34" w:rsidRDefault="00EB1255" w:rsidP="00447F36">
      <w:pPr>
        <w:spacing w:line="480" w:lineRule="auto"/>
        <w:rPr>
          <w:rStyle w:val="dt6"/>
          <w:rFonts w:cstheme="minorHAnsi"/>
          <w:color w:val="3B3E41"/>
          <w:spacing w:val="10"/>
          <w:lang w:val="en"/>
        </w:rPr>
      </w:pPr>
      <w:r w:rsidRPr="00D21B34">
        <w:rPr>
          <w:rStyle w:val="dt6"/>
          <w:rFonts w:cstheme="minorHAnsi"/>
          <w:color w:val="3B3E41"/>
          <w:spacing w:val="10"/>
          <w:lang w:val="en"/>
          <w:specVanish w:val="0"/>
        </w:rPr>
        <w:t xml:space="preserve">When examining the theory of the female nude in relation to art, Berger states </w:t>
      </w:r>
    </w:p>
    <w:p w:rsidR="00EB1255" w:rsidRPr="00D21B34" w:rsidRDefault="00EB1255" w:rsidP="00447F36">
      <w:pPr>
        <w:spacing w:line="480" w:lineRule="auto"/>
        <w:ind w:left="720"/>
        <w:rPr>
          <w:rStyle w:val="dt6"/>
          <w:rFonts w:cstheme="minorHAnsi"/>
          <w:color w:val="3B3E41"/>
          <w:spacing w:val="10"/>
          <w:lang w:val="en"/>
        </w:rPr>
      </w:pPr>
      <w:r w:rsidRPr="00D21B34">
        <w:rPr>
          <w:rStyle w:val="dt6"/>
          <w:rFonts w:cstheme="minorHAnsi"/>
          <w:color w:val="3B3E41"/>
          <w:spacing w:val="10"/>
          <w:lang w:val="en"/>
          <w:specVanish w:val="0"/>
        </w:rPr>
        <w:t>“You painted a naked woman because you enjoyed looking at her, you put a mirror in her hand and called the painting Vanity, thus morally condemning the woman whose nakedness you depicted for your own pleasure.”(Berger, 51)</w:t>
      </w:r>
      <w:r w:rsidRPr="00D21B34">
        <w:rPr>
          <w:rStyle w:val="EndnoteReference"/>
          <w:rFonts w:cstheme="minorHAnsi"/>
          <w:color w:val="3B3E41"/>
          <w:spacing w:val="10"/>
          <w:lang w:val="en"/>
        </w:rPr>
        <w:endnoteReference w:id="18"/>
      </w:r>
    </w:p>
    <w:p w:rsidR="00EB1255" w:rsidRPr="00D21B34" w:rsidRDefault="00EB1255" w:rsidP="00447F36">
      <w:pPr>
        <w:spacing w:line="480" w:lineRule="auto"/>
        <w:ind w:left="720"/>
        <w:rPr>
          <w:rStyle w:val="dt6"/>
          <w:rFonts w:cstheme="minorHAnsi"/>
          <w:color w:val="3B3E41"/>
          <w:spacing w:val="10"/>
          <w:lang w:val="en"/>
        </w:rPr>
      </w:pPr>
    </w:p>
    <w:p w:rsidR="00EB1255" w:rsidRPr="00D21B34" w:rsidRDefault="00EB1255" w:rsidP="00447F36">
      <w:pPr>
        <w:spacing w:line="480" w:lineRule="auto"/>
        <w:rPr>
          <w:rStyle w:val="dt6"/>
          <w:rFonts w:cstheme="minorHAnsi"/>
          <w:color w:val="3B3E41"/>
          <w:spacing w:val="10"/>
          <w:lang w:val="en"/>
        </w:rPr>
      </w:pPr>
      <w:r w:rsidRPr="00D21B34">
        <w:rPr>
          <w:rStyle w:val="dt6"/>
          <w:rFonts w:cstheme="minorHAnsi"/>
          <w:color w:val="3B3E41"/>
          <w:spacing w:val="10"/>
          <w:lang w:val="en"/>
          <w:specVanish w:val="0"/>
        </w:rPr>
        <w:t>This quote can be broken down into three distinct pieces.</w:t>
      </w:r>
    </w:p>
    <w:p w:rsidR="00EB1255" w:rsidRPr="00D21B34" w:rsidRDefault="00EB1255" w:rsidP="00447F36">
      <w:pPr>
        <w:spacing w:line="480" w:lineRule="auto"/>
        <w:rPr>
          <w:rStyle w:val="dt6"/>
          <w:rFonts w:cstheme="minorHAnsi"/>
          <w:color w:val="3B3E41"/>
          <w:spacing w:val="10"/>
          <w:lang w:val="en"/>
        </w:rPr>
      </w:pPr>
      <w:r w:rsidRPr="00D21B34">
        <w:rPr>
          <w:rStyle w:val="dt6"/>
          <w:rFonts w:cstheme="minorHAnsi"/>
          <w:color w:val="3B3E41"/>
          <w:spacing w:val="10"/>
          <w:lang w:val="en"/>
          <w:specVanish w:val="0"/>
        </w:rPr>
        <w:t xml:space="preserve"> He firstly refers to the reader in a cold, accusation like way, which is different to most art critics and writers, and within the context of the text, becomes almost aggressive in its assertiveness. He explains that they “painted a naked woman”</w:t>
      </w:r>
      <w:r w:rsidR="006921CD" w:rsidRPr="00D21B34">
        <w:rPr>
          <w:rStyle w:val="EndnoteReference"/>
          <w:rFonts w:cstheme="minorHAnsi"/>
          <w:color w:val="3B3E41"/>
          <w:spacing w:val="10"/>
          <w:lang w:val="en"/>
        </w:rPr>
        <w:endnoteReference w:id="19"/>
      </w:r>
      <w:r w:rsidRPr="00D21B34">
        <w:rPr>
          <w:rStyle w:val="dt6"/>
          <w:rFonts w:cstheme="minorHAnsi"/>
          <w:color w:val="3B3E41"/>
          <w:spacing w:val="10"/>
          <w:lang w:val="en"/>
          <w:specVanish w:val="0"/>
        </w:rPr>
        <w:t xml:space="preserve"> because the painter “enjoyed looking at her”. He used the word “naked” specifically, as earlier he described the significant difference between “naked” and “nude”. The word “naked” implies a lack of clothes, incidental or deliberate. The other true meaning of the word is “vulnerable”, which in almost all examples of the naked female, is also fitting. By choosing the word “naked” instead of “nude”, Berger reminds us that the female body is otherwise intended to be covered, but for the purposes of the painting is stripped bare.</w:t>
      </w:r>
    </w:p>
    <w:p w:rsidR="00EB1255" w:rsidRPr="00D21B34" w:rsidRDefault="00EB1255" w:rsidP="00447F36">
      <w:pPr>
        <w:spacing w:line="480" w:lineRule="auto"/>
        <w:rPr>
          <w:rStyle w:val="dt6"/>
          <w:rFonts w:cstheme="minorHAnsi"/>
          <w:color w:val="3B3E41"/>
          <w:spacing w:val="10"/>
          <w:lang w:val="en"/>
        </w:rPr>
      </w:pPr>
      <w:r w:rsidRPr="00D21B34">
        <w:rPr>
          <w:rStyle w:val="dt6"/>
          <w:rFonts w:cstheme="minorHAnsi"/>
          <w:color w:val="3B3E41"/>
          <w:spacing w:val="10"/>
          <w:lang w:val="en"/>
          <w:specVanish w:val="0"/>
        </w:rPr>
        <w:t xml:space="preserve"> This contrasts with the theory of the word “nude”, which is to describe a deliberate, classical female body, in a life drawing setting nude for the purposes of accuracy and true representation. In other words, the physical, live setting of a nude female is </w:t>
      </w:r>
      <w:r w:rsidR="00AB1C27" w:rsidRPr="00D21B34">
        <w:rPr>
          <w:rStyle w:val="dt6"/>
          <w:rFonts w:cstheme="minorHAnsi"/>
          <w:color w:val="3B3E41"/>
          <w:spacing w:val="10"/>
          <w:lang w:val="en"/>
          <w:specVanish w:val="0"/>
        </w:rPr>
        <w:t>a deliberate choice to replicate</w:t>
      </w:r>
      <w:r w:rsidRPr="00D21B34">
        <w:rPr>
          <w:rStyle w:val="dt6"/>
          <w:rFonts w:cstheme="minorHAnsi"/>
          <w:color w:val="3B3E41"/>
          <w:spacing w:val="10"/>
          <w:lang w:val="en"/>
          <w:specVanish w:val="0"/>
        </w:rPr>
        <w:t xml:space="preserve"> the body, so that on paper it can be reproduced with artistic skill.</w:t>
      </w:r>
    </w:p>
    <w:p w:rsidR="00EB1255" w:rsidRPr="00D21B34" w:rsidRDefault="00EB1255" w:rsidP="00447F36">
      <w:pPr>
        <w:spacing w:line="480" w:lineRule="auto"/>
        <w:rPr>
          <w:rStyle w:val="dt6"/>
          <w:rFonts w:cstheme="minorHAnsi"/>
          <w:color w:val="3B3E41"/>
          <w:spacing w:val="10"/>
          <w:lang w:val="en"/>
        </w:rPr>
      </w:pPr>
      <w:r w:rsidRPr="00D21B34">
        <w:rPr>
          <w:rStyle w:val="dt6"/>
          <w:rFonts w:cstheme="minorHAnsi"/>
          <w:color w:val="3B3E41"/>
          <w:spacing w:val="10"/>
          <w:lang w:val="en"/>
          <w:specVanish w:val="0"/>
        </w:rPr>
        <w:t xml:space="preserve">The word “naked”, on the other hand, implies a choice, in the moment, for presumably sexual fulfilment and enjoyment, hence the need to sell images of the female form with little clothing, as advertisement to the public.  </w:t>
      </w:r>
    </w:p>
    <w:p w:rsidR="00EB1255" w:rsidRPr="00D21B34" w:rsidRDefault="00EB1255" w:rsidP="00447F36">
      <w:pPr>
        <w:spacing w:line="480" w:lineRule="auto"/>
        <w:rPr>
          <w:rStyle w:val="dt6"/>
          <w:rFonts w:cstheme="minorHAnsi"/>
          <w:color w:val="3B3E41"/>
          <w:spacing w:val="10"/>
          <w:lang w:val="en"/>
        </w:rPr>
      </w:pPr>
    </w:p>
    <w:p w:rsidR="00EB1255" w:rsidRPr="00D21B34" w:rsidRDefault="00EB1255" w:rsidP="00447F36">
      <w:pPr>
        <w:spacing w:line="480" w:lineRule="auto"/>
        <w:rPr>
          <w:rStyle w:val="dt6"/>
          <w:rFonts w:cstheme="minorHAnsi"/>
          <w:color w:val="3B3E41"/>
          <w:spacing w:val="10"/>
          <w:lang w:val="en"/>
        </w:rPr>
      </w:pPr>
    </w:p>
    <w:p w:rsidR="006B2B80" w:rsidRPr="00D21B34" w:rsidRDefault="00EB1255" w:rsidP="00447F36">
      <w:pPr>
        <w:spacing w:line="480" w:lineRule="auto"/>
        <w:rPr>
          <w:rFonts w:ascii="Trebuchet MS" w:hAnsi="Trebuchet MS"/>
          <w:color w:val="666666"/>
          <w:shd w:val="clear" w:color="auto" w:fill="FFFFFF"/>
        </w:rPr>
      </w:pPr>
      <w:r w:rsidRPr="00D21B34">
        <w:rPr>
          <w:rStyle w:val="dt6"/>
          <w:rFonts w:cstheme="minorHAnsi"/>
          <w:color w:val="3B3E41"/>
          <w:spacing w:val="10"/>
          <w:lang w:val="en"/>
          <w:specVanish w:val="0"/>
        </w:rPr>
        <w:t xml:space="preserve">The second section of the quote refers to the subject of the mirror, and the term </w:t>
      </w:r>
      <w:r w:rsidRPr="00D21B34">
        <w:rPr>
          <w:rStyle w:val="dt6"/>
          <w:rFonts w:cstheme="minorHAnsi"/>
          <w:i/>
          <w:color w:val="3B3E41"/>
          <w:spacing w:val="10"/>
          <w:lang w:val="en"/>
          <w:specVanish w:val="0"/>
        </w:rPr>
        <w:t>vanity</w:t>
      </w:r>
      <w:r w:rsidRPr="00D21B34">
        <w:rPr>
          <w:rStyle w:val="dt6"/>
          <w:rFonts w:cstheme="minorHAnsi"/>
          <w:color w:val="3B3E41"/>
          <w:spacing w:val="10"/>
          <w:lang w:val="en"/>
          <w:specVanish w:val="0"/>
        </w:rPr>
        <w:t xml:space="preserve">. </w:t>
      </w:r>
      <w:r w:rsidR="008D32B7" w:rsidRPr="00D21B34">
        <w:rPr>
          <w:rStyle w:val="dt6"/>
          <w:rFonts w:cstheme="minorHAnsi"/>
          <w:color w:val="3B3E41"/>
          <w:spacing w:val="10"/>
          <w:lang w:val="en"/>
          <w:specVanish w:val="0"/>
        </w:rPr>
        <w:t>“you put a mirror in her hand and called the painting Vanity”</w:t>
      </w:r>
      <w:r w:rsidR="006921CD" w:rsidRPr="00D21B34">
        <w:rPr>
          <w:rStyle w:val="EndnoteReference"/>
          <w:rFonts w:cstheme="minorHAnsi"/>
          <w:color w:val="3B3E41"/>
          <w:spacing w:val="10"/>
          <w:lang w:val="en"/>
        </w:rPr>
        <w:endnoteReference w:id="20"/>
      </w:r>
      <w:r w:rsidR="008D32B7" w:rsidRPr="00D21B34">
        <w:rPr>
          <w:rStyle w:val="dt6"/>
          <w:rFonts w:cstheme="minorHAnsi"/>
          <w:color w:val="3B3E41"/>
          <w:spacing w:val="10"/>
          <w:lang w:val="en"/>
          <w:specVanish w:val="0"/>
        </w:rPr>
        <w:t xml:space="preserve">.  </w:t>
      </w:r>
      <w:r w:rsidRPr="00D21B34">
        <w:rPr>
          <w:rStyle w:val="dt6"/>
          <w:rFonts w:cstheme="minorHAnsi"/>
          <w:color w:val="3B3E41"/>
          <w:spacing w:val="10"/>
          <w:lang w:val="en"/>
          <w:specVanish w:val="0"/>
        </w:rPr>
        <w:t>The original purpose of a mirror is to be able to see ones reflection in it, and through being aware of the reflection, have the autonomy to adjust according to ones image of oneself.</w:t>
      </w:r>
      <w:r w:rsidR="008D32B7" w:rsidRPr="00D21B34">
        <w:rPr>
          <w:rStyle w:val="dt6"/>
          <w:rFonts w:cstheme="minorHAnsi"/>
          <w:color w:val="3B3E41"/>
          <w:spacing w:val="10"/>
          <w:lang w:val="en"/>
          <w:specVanish w:val="0"/>
        </w:rPr>
        <w:t xml:space="preserve"> The term “vain” is often used to describe someone who is often seeking their reflection in a mirror</w:t>
      </w:r>
      <w:r w:rsidR="00D55C24" w:rsidRPr="00D21B34">
        <w:rPr>
          <w:rStyle w:val="dt6"/>
          <w:rFonts w:cstheme="minorHAnsi"/>
          <w:color w:val="3B3E41"/>
          <w:spacing w:val="10"/>
          <w:lang w:val="en"/>
          <w:specVanish w:val="0"/>
        </w:rPr>
        <w:t>, pleased with their appearance</w:t>
      </w:r>
      <w:r w:rsidR="008D32B7" w:rsidRPr="00D21B34">
        <w:rPr>
          <w:rStyle w:val="dt6"/>
          <w:rFonts w:cstheme="minorHAnsi"/>
          <w:color w:val="3B3E41"/>
          <w:spacing w:val="10"/>
          <w:lang w:val="en"/>
          <w:specVanish w:val="0"/>
        </w:rPr>
        <w:t xml:space="preserve">. This misconception, however, has been written off by critics and scientists alike, </w:t>
      </w:r>
      <w:r w:rsidR="00423125" w:rsidRPr="00D21B34">
        <w:rPr>
          <w:rStyle w:val="dt6"/>
          <w:rFonts w:cstheme="minorHAnsi"/>
          <w:color w:val="3B3E41"/>
          <w:spacing w:val="10"/>
          <w:lang w:val="en"/>
          <w:specVanish w:val="0"/>
        </w:rPr>
        <w:t xml:space="preserve">as studies show </w:t>
      </w:r>
      <w:r w:rsidR="00D55C24" w:rsidRPr="00D21B34">
        <w:rPr>
          <w:rStyle w:val="dt6"/>
          <w:rFonts w:cstheme="minorHAnsi"/>
          <w:color w:val="3B3E41"/>
          <w:spacing w:val="10"/>
          <w:lang w:val="en"/>
          <w:specVanish w:val="0"/>
        </w:rPr>
        <w:t>that “a</w:t>
      </w:r>
      <w:r w:rsidR="00D55C24" w:rsidRPr="00D21B34">
        <w:rPr>
          <w:rFonts w:ascii="Trebuchet MS" w:hAnsi="Trebuchet MS"/>
          <w:color w:val="666666"/>
          <w:shd w:val="clear" w:color="auto" w:fill="FFFFFF"/>
        </w:rPr>
        <w:t>mong women over 18 looking at themselves in the mirror</w:t>
      </w:r>
      <w:r w:rsidR="006921CD" w:rsidRPr="00D21B34">
        <w:rPr>
          <w:rFonts w:ascii="Trebuchet MS" w:hAnsi="Trebuchet MS"/>
          <w:color w:val="666666"/>
          <w:shd w:val="clear" w:color="auto" w:fill="FFFFFF"/>
        </w:rPr>
        <w:t>… at</w:t>
      </w:r>
      <w:r w:rsidR="00D55C24" w:rsidRPr="00D21B34">
        <w:rPr>
          <w:rFonts w:ascii="Trebuchet MS" w:hAnsi="Trebuchet MS"/>
          <w:color w:val="666666"/>
          <w:shd w:val="clear" w:color="auto" w:fill="FFFFFF"/>
        </w:rPr>
        <w:t xml:space="preserve"> least 80% are unhappy with what they see</w:t>
      </w:r>
      <w:r w:rsidR="006921CD" w:rsidRPr="00D21B34">
        <w:rPr>
          <w:rFonts w:ascii="Trebuchet MS" w:hAnsi="Trebuchet MS"/>
          <w:color w:val="666666"/>
          <w:shd w:val="clear" w:color="auto" w:fill="FFFFFF"/>
        </w:rPr>
        <w:t>.” (</w:t>
      </w:r>
      <w:r w:rsidR="00D55C24" w:rsidRPr="00D21B34">
        <w:rPr>
          <w:rFonts w:ascii="Trebuchet MS" w:hAnsi="Trebuchet MS"/>
          <w:color w:val="666666"/>
          <w:shd w:val="clear" w:color="auto" w:fill="FFFFFF"/>
        </w:rPr>
        <w:t>Fox, 1997)</w:t>
      </w:r>
      <w:r w:rsidR="006921CD" w:rsidRPr="00D21B34">
        <w:rPr>
          <w:rStyle w:val="EndnoteReference"/>
          <w:rFonts w:ascii="Trebuchet MS" w:hAnsi="Trebuchet MS"/>
          <w:color w:val="666666"/>
          <w:shd w:val="clear" w:color="auto" w:fill="FFFFFF"/>
        </w:rPr>
        <w:endnoteReference w:id="21"/>
      </w:r>
    </w:p>
    <w:p w:rsidR="00EB1255" w:rsidRPr="00D21B34" w:rsidRDefault="00EB1255" w:rsidP="00447F36">
      <w:pPr>
        <w:spacing w:line="480" w:lineRule="auto"/>
        <w:rPr>
          <w:rStyle w:val="dt6"/>
          <w:rFonts w:cstheme="minorHAnsi"/>
          <w:color w:val="3B3E41"/>
          <w:spacing w:val="10"/>
          <w:lang w:val="en"/>
        </w:rPr>
      </w:pPr>
      <w:r w:rsidRPr="00D21B34">
        <w:rPr>
          <w:rStyle w:val="dt6"/>
          <w:rFonts w:cstheme="minorHAnsi"/>
          <w:color w:val="3B3E41"/>
          <w:spacing w:val="10"/>
          <w:lang w:val="en"/>
          <w:specVanish w:val="0"/>
        </w:rPr>
        <w:t xml:space="preserve"> In the classic image of Susannah and the Elders, the titular character is often shown holding a mirror to herself. </w:t>
      </w:r>
      <w:r w:rsidR="008D32B7" w:rsidRPr="00D21B34">
        <w:rPr>
          <w:rStyle w:val="dt6"/>
          <w:rFonts w:cstheme="minorHAnsi"/>
          <w:color w:val="3B3E41"/>
          <w:spacing w:val="10"/>
          <w:lang w:val="en"/>
          <w:specVanish w:val="0"/>
        </w:rPr>
        <w:t xml:space="preserve">The </w:t>
      </w:r>
      <w:r w:rsidR="006B2B80" w:rsidRPr="00D21B34">
        <w:rPr>
          <w:rStyle w:val="dt6"/>
          <w:rFonts w:cstheme="minorHAnsi"/>
          <w:color w:val="3B3E41"/>
          <w:spacing w:val="10"/>
          <w:lang w:val="en"/>
          <w:specVanish w:val="0"/>
        </w:rPr>
        <w:t>classic tale of Susanna originates</w:t>
      </w:r>
      <w:r w:rsidR="008D32B7" w:rsidRPr="00D21B34">
        <w:rPr>
          <w:rStyle w:val="dt6"/>
          <w:rFonts w:cstheme="minorHAnsi"/>
          <w:color w:val="3B3E41"/>
          <w:spacing w:val="10"/>
          <w:lang w:val="en"/>
          <w:specVanish w:val="0"/>
        </w:rPr>
        <w:t xml:space="preserve"> in Greek versions of the Book of Daniel, where a woman is blackmailed into sexual relations by her Elders, who are highly respected judge-like characters. </w:t>
      </w:r>
      <w:r w:rsidR="006B2B80" w:rsidRPr="00D21B34">
        <w:rPr>
          <w:rStyle w:val="dt6"/>
          <w:rFonts w:cstheme="minorHAnsi"/>
          <w:color w:val="3B3E41"/>
          <w:spacing w:val="10"/>
          <w:lang w:val="en"/>
          <w:specVanish w:val="0"/>
        </w:rPr>
        <w:t>She is forced to make a choice: lie with the Elders, or they will testify that she sent her maids away in order to lie with her “Young lover”. Glancy explains : “</w:t>
      </w:r>
      <w:r w:rsidR="006B2B80" w:rsidRPr="00D21B34">
        <w:rPr>
          <w:rFonts w:cstheme="minorHAnsi"/>
          <w:color w:val="555555"/>
          <w:shd w:val="clear" w:color="auto" w:fill="FFFFFF"/>
        </w:rPr>
        <w:t>to submit to the elders is to disobey the law of Moses, which she has been raised to follow, but to resist the elders is to invite the death penalty for adultery</w:t>
      </w:r>
      <w:r w:rsidR="006B2B80" w:rsidRPr="00D21B34">
        <w:rPr>
          <w:rStyle w:val="dt6"/>
          <w:rFonts w:cstheme="minorHAnsi"/>
          <w:color w:val="3B3E41"/>
          <w:spacing w:val="10"/>
          <w:lang w:val="en"/>
          <w:specVanish w:val="0"/>
        </w:rPr>
        <w:t>”</w:t>
      </w:r>
      <w:r w:rsidR="008D32B7" w:rsidRPr="00D21B34">
        <w:rPr>
          <w:rStyle w:val="dt6"/>
          <w:rFonts w:cstheme="minorHAnsi"/>
          <w:color w:val="3B3E41"/>
          <w:spacing w:val="10"/>
          <w:lang w:val="en"/>
          <w:specVanish w:val="0"/>
        </w:rPr>
        <w:t>Jennifer A. Glancy argues that she is shown as a seductress, her naked body enticing the elder men to entrap her for their sexual gratification</w:t>
      </w:r>
      <w:r w:rsidR="00D55C24" w:rsidRPr="00D21B34">
        <w:rPr>
          <w:rStyle w:val="dt6"/>
          <w:rFonts w:cstheme="minorHAnsi"/>
          <w:color w:val="3B3E41"/>
          <w:spacing w:val="10"/>
          <w:lang w:val="en"/>
          <w:specVanish w:val="0"/>
        </w:rPr>
        <w:t xml:space="preserve">. </w:t>
      </w:r>
      <w:r w:rsidR="008D32B7" w:rsidRPr="00D21B34">
        <w:rPr>
          <w:rStyle w:val="dt6"/>
          <w:rFonts w:cstheme="minorHAnsi"/>
          <w:color w:val="3B3E41"/>
          <w:spacing w:val="10"/>
          <w:lang w:val="en"/>
          <w:specVanish w:val="0"/>
        </w:rPr>
        <w:t xml:space="preserve"> </w:t>
      </w:r>
    </w:p>
    <w:p w:rsidR="00EB1255" w:rsidRPr="00D21B34" w:rsidRDefault="006B2B80" w:rsidP="00447F36">
      <w:pPr>
        <w:spacing w:line="480" w:lineRule="auto"/>
        <w:rPr>
          <w:rStyle w:val="dt6"/>
          <w:rFonts w:cstheme="minorHAnsi"/>
          <w:color w:val="3B3E41"/>
          <w:spacing w:val="10"/>
          <w:lang w:val="en"/>
        </w:rPr>
      </w:pPr>
      <w:r w:rsidRPr="00D21B34">
        <w:rPr>
          <w:rStyle w:val="dt6"/>
          <w:rFonts w:cstheme="minorHAnsi"/>
          <w:color w:val="3B3E41"/>
          <w:spacing w:val="10"/>
          <w:lang w:val="en"/>
          <w:specVanish w:val="0"/>
        </w:rPr>
        <w:t>In the Lambert Sustris painting</w:t>
      </w:r>
      <w:r w:rsidR="00EB1255" w:rsidRPr="00D21B34">
        <w:rPr>
          <w:rStyle w:val="dt6"/>
          <w:rFonts w:cstheme="minorHAnsi"/>
          <w:color w:val="3B3E41"/>
          <w:spacing w:val="10"/>
          <w:lang w:val="en"/>
          <w:specVanish w:val="0"/>
        </w:rPr>
        <w:t>, Susannah is depicted nude, reclining on a bed of fabric. An elder is holding up a mirror to her face, away from her body. Therefore, within her view of her image in the mirror, she can look and admire her face and body from the torso up.</w:t>
      </w:r>
    </w:p>
    <w:p w:rsidR="00EB1255" w:rsidRPr="00D21B34" w:rsidRDefault="00D55C24" w:rsidP="00447F36">
      <w:pPr>
        <w:spacing w:line="480" w:lineRule="auto"/>
        <w:rPr>
          <w:rFonts w:eastAsiaTheme="minorEastAsia" w:cs="Georgia"/>
          <w:color w:val="434343"/>
          <w:szCs w:val="32"/>
          <w:lang w:val="en-US"/>
        </w:rPr>
      </w:pPr>
      <w:r w:rsidRPr="00D21B34">
        <w:rPr>
          <w:rStyle w:val="dt6"/>
          <w:rFonts w:cstheme="minorHAnsi"/>
          <w:color w:val="3B3E41"/>
          <w:spacing w:val="10"/>
          <w:lang w:val="en"/>
          <w:specVanish w:val="0"/>
        </w:rPr>
        <w:t xml:space="preserve"> </w:t>
      </w:r>
      <w:r w:rsidR="00EB1255" w:rsidRPr="00D21B34">
        <w:rPr>
          <w:rStyle w:val="dt6"/>
          <w:rFonts w:cstheme="minorHAnsi"/>
          <w:color w:val="3B3E41"/>
          <w:spacing w:val="10"/>
          <w:lang w:val="en"/>
          <w:specVanish w:val="0"/>
        </w:rPr>
        <w:t>Glancy examines the story in the specific modern Bible editons as Daniel 13, as Daniel intervenes and saves Susannah from her predicament by cross examining the elders, proving that they were conspiring against her and that she was innocent of sleeping with a man.</w:t>
      </w:r>
      <w:r w:rsidR="005D7D9D" w:rsidRPr="00D21B34">
        <w:rPr>
          <w:rStyle w:val="dt6"/>
          <w:rFonts w:cstheme="minorHAnsi"/>
          <w:color w:val="3B3E41"/>
          <w:spacing w:val="10"/>
          <w:lang w:val="en"/>
          <w:specVanish w:val="0"/>
        </w:rPr>
        <w:t xml:space="preserve"> It is interesting to note that when found innocent, her husband and parents </w:t>
      </w:r>
      <w:r w:rsidR="00A4537C" w:rsidRPr="00D21B34">
        <w:rPr>
          <w:rStyle w:val="dt6"/>
          <w:rFonts w:cstheme="minorHAnsi"/>
          <w:color w:val="3B3E41"/>
          <w:spacing w:val="10"/>
          <w:lang w:val="en"/>
          <w:specVanish w:val="0"/>
        </w:rPr>
        <w:t>celebrate</w:t>
      </w:r>
      <w:r w:rsidR="005D7D9D" w:rsidRPr="00D21B34">
        <w:rPr>
          <w:rStyle w:val="dt6"/>
          <w:rFonts w:cstheme="minorHAnsi"/>
          <w:color w:val="3B3E41"/>
          <w:spacing w:val="10"/>
          <w:lang w:val="en"/>
          <w:specVanish w:val="0"/>
        </w:rPr>
        <w:t>, but not because of her fair trial by Daniel, but because she was innocent of the crime of sex.</w:t>
      </w:r>
      <w:r w:rsidR="00EB1255" w:rsidRPr="00D21B34">
        <w:rPr>
          <w:rStyle w:val="dt6"/>
          <w:rFonts w:cstheme="minorHAnsi"/>
          <w:color w:val="3B3E41"/>
          <w:spacing w:val="10"/>
          <w:lang w:val="en"/>
          <w:specVanish w:val="0"/>
        </w:rPr>
        <w:t xml:space="preserve"> Glancy writes that although the written style is sympathetic to the Elders, “</w:t>
      </w:r>
      <w:r w:rsidR="00EB1255" w:rsidRPr="00D21B34">
        <w:rPr>
          <w:rFonts w:eastAsiaTheme="minorEastAsia" w:cs="Georgia"/>
          <w:color w:val="434343"/>
          <w:szCs w:val="32"/>
          <w:lang w:val="en-US"/>
        </w:rPr>
        <w:t>feminist critics have insisted that it is really a tale of attempted rape.”</w:t>
      </w:r>
      <w:r w:rsidR="00EB1255" w:rsidRPr="00D21B34">
        <w:rPr>
          <w:rStyle w:val="EndnoteReference"/>
          <w:rFonts w:eastAsiaTheme="minorEastAsia" w:cs="Georgia"/>
          <w:color w:val="434343"/>
          <w:szCs w:val="32"/>
          <w:lang w:val="en-US"/>
        </w:rPr>
        <w:endnoteReference w:id="22"/>
      </w:r>
      <w:r w:rsidR="00EB1255" w:rsidRPr="00D21B34">
        <w:rPr>
          <w:rFonts w:eastAsiaTheme="minorEastAsia" w:cs="Georgia"/>
          <w:color w:val="434343"/>
          <w:szCs w:val="32"/>
          <w:lang w:val="en-US"/>
        </w:rPr>
        <w:t xml:space="preserve"> (Glancy,2000)</w:t>
      </w:r>
      <w:r w:rsidR="005D7D9D" w:rsidRPr="00D21B34">
        <w:rPr>
          <w:rFonts w:eastAsiaTheme="minorEastAsia" w:cs="Georgia"/>
          <w:color w:val="434343"/>
          <w:szCs w:val="32"/>
          <w:lang w:val="en-US"/>
        </w:rPr>
        <w:t xml:space="preserve"> This further exemplifies the frequent and unjust volume of examples where the woman is depicted as temptress and condemned, by society, yet was pressured into sexual acts by the same society, or group of people. Parallels can be drawn between this tale and the current sexual assault cases, as the double standards set for women entrap them in such a way that the victims are blamed for the crime, not the perpetrator.</w:t>
      </w:r>
      <w:r w:rsidR="00596412" w:rsidRPr="00D21B34">
        <w:rPr>
          <w:rFonts w:eastAsiaTheme="minorEastAsia" w:cs="Georgia"/>
          <w:color w:val="434343"/>
          <w:szCs w:val="32"/>
          <w:lang w:val="en-US"/>
        </w:rPr>
        <w:t xml:space="preserve"> In Ruth Davidson’</w:t>
      </w:r>
      <w:r w:rsidR="00D004D1" w:rsidRPr="00D21B34">
        <w:rPr>
          <w:rFonts w:eastAsiaTheme="minorEastAsia" w:cs="Georgia"/>
          <w:color w:val="434343"/>
          <w:szCs w:val="32"/>
          <w:lang w:val="en-US"/>
        </w:rPr>
        <w:t>s words: “</w:t>
      </w:r>
      <w:r w:rsidR="00596412" w:rsidRPr="00D21B34">
        <w:rPr>
          <w:rFonts w:cstheme="minorHAnsi"/>
          <w:color w:val="281E1E"/>
          <w:shd w:val="clear" w:color="auto" w:fill="FFFFFF"/>
        </w:rPr>
        <w:t>it isn’t actually about sex. It’s about power</w:t>
      </w:r>
      <w:r w:rsidR="00D004D1" w:rsidRPr="00D21B34">
        <w:rPr>
          <w:rFonts w:cstheme="minorHAnsi"/>
          <w:color w:val="281E1E"/>
          <w:shd w:val="clear" w:color="auto" w:fill="FFFFFF"/>
        </w:rPr>
        <w:t>. It’s always about power” (</w:t>
      </w:r>
      <w:r w:rsidR="0095033F" w:rsidRPr="00D21B34">
        <w:rPr>
          <w:rFonts w:cstheme="minorHAnsi"/>
          <w:color w:val="281E1E"/>
          <w:shd w:val="clear" w:color="auto" w:fill="FFFFFF"/>
        </w:rPr>
        <w:t>Watts</w:t>
      </w:r>
      <w:r w:rsidR="00D004D1" w:rsidRPr="00D21B34">
        <w:rPr>
          <w:rFonts w:cstheme="minorHAnsi"/>
          <w:color w:val="281E1E"/>
          <w:shd w:val="clear" w:color="auto" w:fill="FFFFFF"/>
        </w:rPr>
        <w:t>, 2017)</w:t>
      </w:r>
      <w:r w:rsidR="0062614E" w:rsidRPr="00D21B34">
        <w:rPr>
          <w:rStyle w:val="EndnoteReference"/>
          <w:rFonts w:cstheme="minorHAnsi"/>
          <w:color w:val="281E1E"/>
          <w:shd w:val="clear" w:color="auto" w:fill="FFFFFF"/>
        </w:rPr>
        <w:endnoteReference w:id="23"/>
      </w:r>
    </w:p>
    <w:p w:rsidR="007F5A43" w:rsidRPr="00D21B34" w:rsidRDefault="00EB1255" w:rsidP="00447F36">
      <w:pPr>
        <w:spacing w:line="480" w:lineRule="auto"/>
        <w:rPr>
          <w:rFonts w:eastAsiaTheme="minorEastAsia" w:cs="Georgia"/>
          <w:color w:val="434343"/>
          <w:szCs w:val="32"/>
          <w:lang w:val="en-US"/>
        </w:rPr>
      </w:pPr>
      <w:r w:rsidRPr="00D21B34">
        <w:rPr>
          <w:rFonts w:eastAsiaTheme="minorEastAsia" w:cs="Georgia"/>
          <w:color w:val="434343"/>
          <w:szCs w:val="32"/>
          <w:lang w:val="en-US"/>
        </w:rPr>
        <w:t>The third section</w:t>
      </w:r>
      <w:r w:rsidR="00A4537C" w:rsidRPr="00D21B34">
        <w:rPr>
          <w:rFonts w:eastAsiaTheme="minorEastAsia" w:cs="Georgia"/>
          <w:color w:val="434343"/>
          <w:szCs w:val="32"/>
          <w:lang w:val="en-US"/>
        </w:rPr>
        <w:t xml:space="preserve"> of the quote</w:t>
      </w:r>
      <w:r w:rsidRPr="00D21B34">
        <w:rPr>
          <w:rFonts w:eastAsiaTheme="minorEastAsia" w:cs="Georgia"/>
          <w:color w:val="434343"/>
          <w:szCs w:val="32"/>
          <w:lang w:val="en-US"/>
        </w:rPr>
        <w:t xml:space="preserve"> relates to hypocrisy and double standards that the painter has. Berger used the words “morally condemning” </w:t>
      </w:r>
      <w:r w:rsidR="00C15542" w:rsidRPr="00D21B34">
        <w:rPr>
          <w:rFonts w:eastAsiaTheme="minorEastAsia" w:cs="Georgia"/>
          <w:color w:val="434343"/>
          <w:szCs w:val="32"/>
          <w:lang w:val="en-US"/>
        </w:rPr>
        <w:t>when describing the painter, as his view is that punishing, or condemning the woman unjust.</w:t>
      </w:r>
      <w:r w:rsidRPr="00D21B34">
        <w:rPr>
          <w:rFonts w:eastAsiaTheme="minorEastAsia" w:cs="Georgia"/>
          <w:color w:val="434343"/>
          <w:szCs w:val="32"/>
          <w:lang w:val="en-US"/>
        </w:rPr>
        <w:t>“</w:t>
      </w:r>
      <w:r w:rsidR="00C15542" w:rsidRPr="00D21B34">
        <w:rPr>
          <w:rFonts w:eastAsiaTheme="minorEastAsia" w:cs="Georgia"/>
          <w:color w:val="434343"/>
          <w:szCs w:val="32"/>
          <w:lang w:val="en-US"/>
        </w:rPr>
        <w:t>…</w:t>
      </w:r>
      <w:r w:rsidRPr="00D21B34">
        <w:rPr>
          <w:rStyle w:val="dt6"/>
          <w:rFonts w:cstheme="minorHAnsi"/>
          <w:color w:val="3B3E41"/>
          <w:spacing w:val="10"/>
          <w:lang w:val="en"/>
          <w:specVanish w:val="0"/>
        </w:rPr>
        <w:t xml:space="preserve">morally condemning the woman whose nakedness you depicted for your own pleasure.” </w:t>
      </w:r>
      <w:r w:rsidRPr="00D21B34">
        <w:rPr>
          <w:rFonts w:eastAsiaTheme="minorEastAsia" w:cs="Georgia"/>
          <w:color w:val="434343"/>
          <w:szCs w:val="32"/>
          <w:lang w:val="en-US"/>
        </w:rPr>
        <w:t xml:space="preserve"> </w:t>
      </w:r>
      <w:r w:rsidR="00791334" w:rsidRPr="00D21B34">
        <w:rPr>
          <w:rFonts w:eastAsiaTheme="minorEastAsia" w:cs="Georgia"/>
          <w:color w:val="434343"/>
          <w:szCs w:val="32"/>
          <w:lang w:val="en-US"/>
        </w:rPr>
        <w:t xml:space="preserve">Berger wrote, on 1972, clearly and precisely who was truly to blame when “depicting” the “naked woman”. </w:t>
      </w:r>
      <w:r w:rsidR="00191FA5" w:rsidRPr="00D21B34">
        <w:rPr>
          <w:rFonts w:eastAsiaTheme="minorEastAsia" w:cs="Georgia"/>
          <w:color w:val="434343"/>
          <w:szCs w:val="32"/>
          <w:lang w:val="en-US"/>
        </w:rPr>
        <w:t xml:space="preserve"> </w:t>
      </w:r>
    </w:p>
    <w:p w:rsidR="00EB696F" w:rsidRPr="00D21B34" w:rsidRDefault="00191FA5" w:rsidP="00447F36">
      <w:pPr>
        <w:spacing w:line="480" w:lineRule="auto"/>
        <w:rPr>
          <w:rFonts w:eastAsiaTheme="minorEastAsia" w:cs="Georgia"/>
          <w:color w:val="434343"/>
          <w:szCs w:val="32"/>
          <w:lang w:val="en-US"/>
        </w:rPr>
      </w:pPr>
      <w:r w:rsidRPr="00D21B34">
        <w:rPr>
          <w:rFonts w:eastAsiaTheme="minorEastAsia" w:cs="Georgia"/>
          <w:color w:val="434343"/>
          <w:szCs w:val="32"/>
          <w:lang w:val="en-US"/>
        </w:rPr>
        <w:t xml:space="preserve">Throughout Ways of Seeing, Berger addresses the reader in a clear, concise manner, and although he states his opinion as the truth, </w:t>
      </w:r>
      <w:r w:rsidR="0046413D" w:rsidRPr="00D21B34">
        <w:rPr>
          <w:rFonts w:eastAsiaTheme="minorEastAsia" w:cs="Georgia"/>
          <w:color w:val="434343"/>
          <w:szCs w:val="32"/>
          <w:lang w:val="en-US"/>
        </w:rPr>
        <w:t>in “Note to the reader” he states that “Our principal aim has been to start a process of questioning.”</w:t>
      </w:r>
      <w:r w:rsidR="00F46FCF" w:rsidRPr="00D21B34">
        <w:rPr>
          <w:rStyle w:val="EndnoteReference"/>
          <w:rFonts w:eastAsiaTheme="minorEastAsia" w:cs="Georgia"/>
          <w:color w:val="434343"/>
          <w:szCs w:val="32"/>
          <w:lang w:val="en-US"/>
        </w:rPr>
        <w:endnoteReference w:id="24"/>
      </w:r>
      <w:r w:rsidR="0046413D" w:rsidRPr="00D21B34">
        <w:rPr>
          <w:rFonts w:eastAsiaTheme="minorEastAsia" w:cs="Georgia"/>
          <w:color w:val="434343"/>
          <w:szCs w:val="32"/>
          <w:lang w:val="en-US"/>
        </w:rPr>
        <w:t xml:space="preserve"> By prefacing the book this way, it encourages and informs the reader of their own individual thoughts and beliefs, and further prompts them to also come to their own conclusions. Mirroring this statement, is another note at the end of the text, following the List of Work Reproduced stating “To be continued by the reader…”. By stating that the reader will no doubt carry on their personal study through examination of their choice of artwork, he proves that his text </w:t>
      </w:r>
      <w:r w:rsidR="007F2F61" w:rsidRPr="00D21B34">
        <w:rPr>
          <w:rFonts w:eastAsiaTheme="minorEastAsia" w:cs="Georgia"/>
          <w:color w:val="434343"/>
          <w:szCs w:val="32"/>
          <w:lang w:val="en-US"/>
        </w:rPr>
        <w:t>is but another perspective on “seeing” the world as we know it.</w:t>
      </w:r>
    </w:p>
    <w:p w:rsidR="00447F36" w:rsidRPr="00D21B34" w:rsidRDefault="00275F3A" w:rsidP="00447F36">
      <w:pPr>
        <w:spacing w:line="480" w:lineRule="auto"/>
        <w:rPr>
          <w:rFonts w:eastAsiaTheme="minorEastAsia" w:cs="Georgia"/>
          <w:color w:val="434343"/>
          <w:szCs w:val="32"/>
          <w:lang w:val="en-US"/>
        </w:rPr>
      </w:pPr>
      <w:r w:rsidRPr="00D21B34">
        <w:rPr>
          <w:rFonts w:eastAsiaTheme="minorEastAsia" w:cs="Georgia"/>
          <w:color w:val="434343"/>
          <w:szCs w:val="32"/>
          <w:lang w:val="en-US"/>
        </w:rPr>
        <w:t xml:space="preserve">Using Berger’s “Ways of Seeing” to underpin the thoughts and structure of this text helped frame and </w:t>
      </w:r>
      <w:r w:rsidR="00561350" w:rsidRPr="00D21B34">
        <w:rPr>
          <w:rFonts w:eastAsiaTheme="minorEastAsia" w:cs="Georgia"/>
          <w:color w:val="434343"/>
          <w:szCs w:val="32"/>
          <w:lang w:val="en-US"/>
        </w:rPr>
        <w:t>support the arguments presented. B</w:t>
      </w:r>
      <w:r w:rsidRPr="00D21B34">
        <w:rPr>
          <w:rFonts w:eastAsiaTheme="minorEastAsia" w:cs="Georgia"/>
          <w:color w:val="434343"/>
          <w:szCs w:val="32"/>
          <w:lang w:val="en-US"/>
        </w:rPr>
        <w:t>eauty, the male gaze and the female nude are su</w:t>
      </w:r>
      <w:r w:rsidR="00561350" w:rsidRPr="00D21B34">
        <w:rPr>
          <w:rFonts w:eastAsiaTheme="minorEastAsia" w:cs="Georgia"/>
          <w:color w:val="434343"/>
          <w:szCs w:val="32"/>
          <w:lang w:val="en-US"/>
        </w:rPr>
        <w:t>ch large, wide concepts</w:t>
      </w:r>
      <w:r w:rsidRPr="00D21B34">
        <w:rPr>
          <w:rFonts w:eastAsiaTheme="minorEastAsia" w:cs="Georgia"/>
          <w:color w:val="434343"/>
          <w:szCs w:val="32"/>
          <w:lang w:val="en-US"/>
        </w:rPr>
        <w:t xml:space="preserve"> that focusing on very specific sections of text narrowed down both the argument and </w:t>
      </w:r>
      <w:r w:rsidR="00561350" w:rsidRPr="00D21B34">
        <w:rPr>
          <w:rFonts w:eastAsiaTheme="minorEastAsia" w:cs="Georgia"/>
          <w:color w:val="434343"/>
          <w:szCs w:val="32"/>
          <w:lang w:val="en-US"/>
        </w:rPr>
        <w:t>further investigation. Berger’s refreshing, down to earth writing style truly pushed forward both personal investigation and clear understanding of the theories and concepts presented. The very fact that his text written in 1972 is still relevant today only shows his undeniable perceptiveness to the world around him</w:t>
      </w:r>
      <w:r w:rsidR="007E4AE7" w:rsidRPr="00D21B34">
        <w:rPr>
          <w:rFonts w:eastAsiaTheme="minorEastAsia" w:cs="Georgia"/>
          <w:color w:val="434343"/>
          <w:szCs w:val="32"/>
          <w:lang w:val="en-US"/>
        </w:rPr>
        <w:t>, and thirst for questioning what he “sees”</w:t>
      </w:r>
      <w:r w:rsidR="00561350" w:rsidRPr="00D21B34">
        <w:rPr>
          <w:rFonts w:eastAsiaTheme="minorEastAsia" w:cs="Georgia"/>
          <w:color w:val="434343"/>
          <w:szCs w:val="32"/>
          <w:lang w:val="en-US"/>
        </w:rPr>
        <w:t>. And yet, as he also states, “The relation between what we see and what we know is never settled.”</w:t>
      </w:r>
      <w:r w:rsidR="00561350" w:rsidRPr="00D21B34">
        <w:rPr>
          <w:rStyle w:val="EndnoteReference"/>
          <w:rFonts w:eastAsiaTheme="minorEastAsia" w:cs="Georgia"/>
          <w:color w:val="434343"/>
          <w:szCs w:val="32"/>
          <w:lang w:val="en-US"/>
        </w:rPr>
        <w:endnoteReference w:id="25"/>
      </w:r>
      <w:r w:rsidR="00447F36" w:rsidRPr="00D21B34">
        <w:rPr>
          <w:rFonts w:eastAsiaTheme="minorEastAsia" w:cs="Georgia"/>
          <w:color w:val="434343"/>
          <w:szCs w:val="32"/>
          <w:lang w:val="en-US"/>
        </w:rPr>
        <w:t xml:space="preserve"> </w:t>
      </w:r>
    </w:p>
    <w:p w:rsidR="007F5E4C" w:rsidRPr="00D21B34" w:rsidRDefault="007F5E4C" w:rsidP="00447F36">
      <w:pPr>
        <w:spacing w:line="480" w:lineRule="auto"/>
        <w:rPr>
          <w:rFonts w:eastAsiaTheme="minorEastAsia" w:cs="Georgia"/>
          <w:color w:val="434343"/>
          <w:szCs w:val="32"/>
          <w:lang w:val="en-US"/>
        </w:rPr>
      </w:pPr>
    </w:p>
    <w:p w:rsidR="00EB696F" w:rsidRPr="00D21B34" w:rsidRDefault="00EB696F" w:rsidP="00447F36">
      <w:pPr>
        <w:spacing w:line="480" w:lineRule="auto"/>
        <w:rPr>
          <w:rFonts w:eastAsiaTheme="minorEastAsia" w:cs="Georgia"/>
          <w:color w:val="434343"/>
          <w:szCs w:val="32"/>
          <w:lang w:val="en-US"/>
        </w:rPr>
      </w:pPr>
      <w:r w:rsidRPr="00D21B34">
        <w:rPr>
          <w:rFonts w:eastAsiaTheme="minorEastAsia" w:cs="Georgia"/>
          <w:color w:val="434343"/>
          <w:szCs w:val="32"/>
          <w:lang w:val="en-US"/>
        </w:rPr>
        <w:t>Conclusion</w:t>
      </w:r>
    </w:p>
    <w:p w:rsidR="00752650" w:rsidRPr="00D21B34" w:rsidRDefault="00752650" w:rsidP="00447F36">
      <w:pPr>
        <w:spacing w:line="480" w:lineRule="auto"/>
        <w:rPr>
          <w:rFonts w:eastAsiaTheme="minorEastAsia" w:cs="Georgia"/>
          <w:color w:val="434343"/>
          <w:szCs w:val="32"/>
          <w:lang w:val="en-US"/>
        </w:rPr>
      </w:pPr>
      <w:r w:rsidRPr="00D21B34">
        <w:rPr>
          <w:rFonts w:eastAsiaTheme="minorEastAsia" w:cs="Georgia"/>
          <w:color w:val="434343"/>
          <w:szCs w:val="32"/>
          <w:lang w:val="en-US"/>
        </w:rPr>
        <w:t>Over the course of this essay, I aimed to examine and deconstruct the depiction of the female form and evaluate how it has been presented throughout art. By using John Berger’s “Ways of Seeing” as close reference through my own research and deconstruction, I have inspected how terms such as beauty and power have contributed to modern day (third and fourth wave) feminism. T</w:t>
      </w:r>
      <w:r w:rsidR="0012242B" w:rsidRPr="00D21B34">
        <w:rPr>
          <w:rFonts w:eastAsiaTheme="minorEastAsia" w:cs="Georgia"/>
          <w:color w:val="434343"/>
          <w:szCs w:val="32"/>
          <w:lang w:val="en-US"/>
        </w:rPr>
        <w:t>he</w:t>
      </w:r>
      <w:r w:rsidRPr="00D21B34">
        <w:rPr>
          <w:rFonts w:eastAsiaTheme="minorEastAsia" w:cs="Georgia"/>
          <w:color w:val="434343"/>
          <w:szCs w:val="32"/>
          <w:lang w:val="en-US"/>
        </w:rPr>
        <w:t xml:space="preserve"> close observation of the notion of the male gaze and the female nude both in classically and modern day </w:t>
      </w:r>
      <w:r w:rsidR="0012242B" w:rsidRPr="00D21B34">
        <w:rPr>
          <w:rFonts w:eastAsiaTheme="minorEastAsia" w:cs="Georgia"/>
          <w:color w:val="434343"/>
          <w:szCs w:val="32"/>
          <w:lang w:val="en-US"/>
        </w:rPr>
        <w:t xml:space="preserve">have developed my personal investigation. Through this, I have proved that </w:t>
      </w:r>
      <w:r w:rsidRPr="00D21B34">
        <w:rPr>
          <w:rFonts w:eastAsiaTheme="minorEastAsia" w:cs="Georgia"/>
          <w:color w:val="434343"/>
          <w:szCs w:val="32"/>
          <w:lang w:val="en-US"/>
        </w:rPr>
        <w:t>depictions</w:t>
      </w:r>
      <w:r w:rsidR="0012242B" w:rsidRPr="00D21B34">
        <w:rPr>
          <w:rFonts w:eastAsiaTheme="minorEastAsia" w:cs="Georgia"/>
          <w:color w:val="434343"/>
          <w:szCs w:val="32"/>
          <w:lang w:val="en-US"/>
        </w:rPr>
        <w:t xml:space="preserve"> of the female body</w:t>
      </w:r>
      <w:r w:rsidRPr="00D21B34">
        <w:rPr>
          <w:rFonts w:eastAsiaTheme="minorEastAsia" w:cs="Georgia"/>
          <w:color w:val="434343"/>
          <w:szCs w:val="32"/>
          <w:lang w:val="en-US"/>
        </w:rPr>
        <w:t xml:space="preserve"> have </w:t>
      </w:r>
      <w:r w:rsidR="0012242B" w:rsidRPr="00D21B34">
        <w:rPr>
          <w:rFonts w:eastAsiaTheme="minorEastAsia" w:cs="Georgia"/>
          <w:color w:val="434343"/>
          <w:szCs w:val="32"/>
          <w:lang w:val="en-US"/>
        </w:rPr>
        <w:t xml:space="preserve">exemplified the very phrase “double standard”, by both sexually exploiting the female body and condemning women for their controlled, independent use of their everyday existence. </w:t>
      </w:r>
    </w:p>
    <w:p w:rsidR="0012242B" w:rsidRPr="00D21B34" w:rsidRDefault="0012242B" w:rsidP="00447F36">
      <w:pPr>
        <w:spacing w:line="480" w:lineRule="auto"/>
        <w:rPr>
          <w:rFonts w:eastAsiaTheme="minorEastAsia" w:cs="Georgia"/>
          <w:color w:val="434343"/>
          <w:szCs w:val="32"/>
          <w:lang w:val="en-US"/>
        </w:rPr>
      </w:pPr>
      <w:r w:rsidRPr="00D21B34">
        <w:rPr>
          <w:rFonts w:eastAsiaTheme="minorEastAsia" w:cs="Georgia"/>
          <w:color w:val="434343"/>
          <w:szCs w:val="32"/>
          <w:lang w:val="en-US"/>
        </w:rPr>
        <w:t xml:space="preserve">Through investigation and perceiving notions of beauty and objectification, I have found that through control and power, archaic and sexist notions of gender and the female body have been used to condemn and morally denounce women. </w:t>
      </w:r>
      <w:r w:rsidR="00BA2A46" w:rsidRPr="00D21B34">
        <w:rPr>
          <w:rFonts w:eastAsiaTheme="minorEastAsia" w:cs="Georgia"/>
          <w:color w:val="434343"/>
          <w:szCs w:val="32"/>
          <w:lang w:val="en-US"/>
        </w:rPr>
        <w:t xml:space="preserve">The Marxist </w:t>
      </w:r>
      <w:r w:rsidR="00F53A64" w:rsidRPr="00D21B34">
        <w:rPr>
          <w:rFonts w:eastAsiaTheme="minorEastAsia" w:cs="Georgia"/>
          <w:color w:val="434343"/>
          <w:szCs w:val="32"/>
          <w:lang w:val="en-US"/>
        </w:rPr>
        <w:t>and S</w:t>
      </w:r>
      <w:r w:rsidR="00BA2A46" w:rsidRPr="00D21B34">
        <w:rPr>
          <w:rFonts w:eastAsiaTheme="minorEastAsia" w:cs="Georgia"/>
          <w:color w:val="434343"/>
          <w:szCs w:val="32"/>
          <w:lang w:val="en-US"/>
        </w:rPr>
        <w:t xml:space="preserve">ituationist perspectives have supported </w:t>
      </w:r>
      <w:r w:rsidR="00F53A64" w:rsidRPr="00D21B34">
        <w:rPr>
          <w:rFonts w:eastAsiaTheme="minorEastAsia" w:cs="Georgia"/>
          <w:color w:val="434343"/>
          <w:szCs w:val="32"/>
          <w:lang w:val="en-US"/>
        </w:rPr>
        <w:t>the systems which encourage notions of beauty and vanity, by encouraging damaging notions of beauty and identity with the media, TV and magazines. The clear correla</w:t>
      </w:r>
      <w:r w:rsidR="001E1068" w:rsidRPr="00D21B34">
        <w:rPr>
          <w:rFonts w:eastAsiaTheme="minorEastAsia" w:cs="Georgia"/>
          <w:color w:val="434343"/>
          <w:szCs w:val="32"/>
          <w:lang w:val="en-US"/>
        </w:rPr>
        <w:t xml:space="preserve">tion between </w:t>
      </w:r>
      <w:r w:rsidR="001E1068" w:rsidRPr="00D21B34">
        <w:rPr>
          <w:rFonts w:eastAsiaTheme="minorEastAsia" w:cs="Georgia"/>
          <w:color w:val="434343"/>
          <w:szCs w:val="32"/>
          <w:lang w:val="en-US"/>
        </w:rPr>
        <w:t>media</w:t>
      </w:r>
      <w:r w:rsidR="001E1068" w:rsidRPr="00D21B34">
        <w:rPr>
          <w:rFonts w:eastAsiaTheme="minorEastAsia" w:cs="Georgia"/>
          <w:color w:val="434343"/>
          <w:szCs w:val="32"/>
          <w:lang w:val="en-US"/>
        </w:rPr>
        <w:t xml:space="preserve"> and capitalism</w:t>
      </w:r>
      <w:r w:rsidR="00F53A64" w:rsidRPr="00D21B34">
        <w:rPr>
          <w:rFonts w:eastAsiaTheme="minorEastAsia" w:cs="Georgia"/>
          <w:color w:val="434343"/>
          <w:szCs w:val="32"/>
          <w:lang w:val="en-US"/>
        </w:rPr>
        <w:t>,</w:t>
      </w:r>
      <w:r w:rsidR="001E1068" w:rsidRPr="00D21B34">
        <w:rPr>
          <w:rFonts w:eastAsiaTheme="minorEastAsia" w:cs="Georgia"/>
          <w:color w:val="434343"/>
          <w:szCs w:val="32"/>
          <w:lang w:val="en-US"/>
        </w:rPr>
        <w:t xml:space="preserve"> </w:t>
      </w:r>
      <w:r w:rsidR="00F53A64" w:rsidRPr="00D21B34">
        <w:rPr>
          <w:rFonts w:eastAsiaTheme="minorEastAsia" w:cs="Georgia"/>
          <w:color w:val="434343"/>
          <w:szCs w:val="32"/>
          <w:lang w:val="en-US"/>
        </w:rPr>
        <w:t>and</w:t>
      </w:r>
      <w:r w:rsidR="001E1068" w:rsidRPr="00D21B34">
        <w:rPr>
          <w:rFonts w:eastAsiaTheme="minorEastAsia" w:cs="Georgia"/>
          <w:color w:val="434343"/>
          <w:szCs w:val="32"/>
          <w:lang w:val="en-US"/>
        </w:rPr>
        <w:t xml:space="preserve"> the detrimental effect on</w:t>
      </w:r>
      <w:r w:rsidR="00F53A64" w:rsidRPr="00D21B34">
        <w:rPr>
          <w:rFonts w:eastAsiaTheme="minorEastAsia" w:cs="Georgia"/>
          <w:color w:val="434343"/>
          <w:szCs w:val="32"/>
          <w:lang w:val="en-US"/>
        </w:rPr>
        <w:t xml:space="preserve"> mental health </w:t>
      </w:r>
      <w:r w:rsidR="001E1068" w:rsidRPr="00D21B34">
        <w:rPr>
          <w:rFonts w:eastAsiaTheme="minorEastAsia" w:cs="Georgia"/>
          <w:color w:val="434343"/>
          <w:szCs w:val="32"/>
          <w:lang w:val="en-US"/>
        </w:rPr>
        <w:t xml:space="preserve">must be further challenged and explored. </w:t>
      </w:r>
      <w:r w:rsidR="00F53A64" w:rsidRPr="00D21B34">
        <w:rPr>
          <w:rFonts w:eastAsiaTheme="minorEastAsia" w:cs="Georgia"/>
          <w:color w:val="434343"/>
          <w:szCs w:val="32"/>
          <w:lang w:val="en-US"/>
        </w:rPr>
        <w:t xml:space="preserve">As Joel Kovel writes, </w:t>
      </w:r>
      <w:r w:rsidR="001E1068" w:rsidRPr="00D21B34">
        <w:rPr>
          <w:rFonts w:eastAsiaTheme="minorEastAsia" w:cs="Georgia"/>
          <w:color w:val="434343"/>
          <w:szCs w:val="32"/>
          <w:lang w:val="en-US"/>
        </w:rPr>
        <w:t>“If, given all this rationalization, people … might also begin to draw the conclusion that something was seriously wrong with their social order”.</w:t>
      </w:r>
      <w:r w:rsidR="001E1068" w:rsidRPr="00D21B34">
        <w:rPr>
          <w:rStyle w:val="EndnoteReference"/>
          <w:rFonts w:eastAsiaTheme="minorEastAsia" w:cs="Georgia"/>
          <w:color w:val="434343"/>
          <w:szCs w:val="32"/>
          <w:lang w:val="en-US"/>
        </w:rPr>
        <w:endnoteReference w:id="26"/>
      </w:r>
      <w:r w:rsidR="00B4140B" w:rsidRPr="00D21B34">
        <w:rPr>
          <w:rFonts w:eastAsiaTheme="minorEastAsia" w:cs="Georgia"/>
          <w:color w:val="434343"/>
          <w:szCs w:val="32"/>
          <w:lang w:val="en-US"/>
        </w:rPr>
        <w:t xml:space="preserve"> </w:t>
      </w:r>
    </w:p>
    <w:p w:rsidR="00B4140B" w:rsidRPr="00D21B34" w:rsidRDefault="00B4140B" w:rsidP="00447F36">
      <w:pPr>
        <w:spacing w:line="480" w:lineRule="auto"/>
        <w:rPr>
          <w:rFonts w:eastAsiaTheme="minorEastAsia" w:cs="Georgia"/>
          <w:color w:val="434343"/>
          <w:szCs w:val="32"/>
          <w:lang w:val="en-US"/>
        </w:rPr>
      </w:pPr>
      <w:r w:rsidRPr="00D21B34">
        <w:rPr>
          <w:rFonts w:eastAsiaTheme="minorEastAsia" w:cs="Georgia"/>
          <w:color w:val="434343"/>
          <w:szCs w:val="32"/>
          <w:lang w:val="en-US"/>
        </w:rPr>
        <w:t xml:space="preserve">By examining notions of performativity and satire in the form of Cindy Sherman, notions of beauty and female stereotypes are reached through photography. Her </w:t>
      </w:r>
      <w:r w:rsidR="00E551F9" w:rsidRPr="00D21B34">
        <w:rPr>
          <w:rFonts w:eastAsiaTheme="minorEastAsia" w:cs="Georgia"/>
          <w:color w:val="434343"/>
          <w:szCs w:val="32"/>
          <w:lang w:val="en-US"/>
        </w:rPr>
        <w:t>self-</w:t>
      </w:r>
      <w:r w:rsidRPr="00D21B34">
        <w:rPr>
          <w:rFonts w:eastAsiaTheme="minorEastAsia" w:cs="Georgia"/>
          <w:color w:val="434343"/>
          <w:szCs w:val="32"/>
          <w:lang w:val="en-US"/>
        </w:rPr>
        <w:t xml:space="preserve">portraits reflect a certain pastiche of the female condition, and by literally donning makeup, wigs, costumes and props her artwork truly “reflect” the public’s perception of certain female stereotypes and tropes. The irony in this is of course, that she never intended for her own identity and personality to shine through, and have her photographs depict female </w:t>
      </w:r>
      <w:r w:rsidR="008E427F" w:rsidRPr="00D21B34">
        <w:rPr>
          <w:rFonts w:eastAsiaTheme="minorEastAsia" w:cs="Georgia"/>
          <w:color w:val="434343"/>
          <w:szCs w:val="32"/>
          <w:lang w:val="en-US"/>
        </w:rPr>
        <w:t>tropes themselves. Her vision for her to “disappear” and for her not to “see herself” in them, yet the public cannot help but see her self-portraits and her personal identity as intertwined.</w:t>
      </w:r>
      <w:r w:rsidRPr="00D21B34">
        <w:rPr>
          <w:rFonts w:eastAsiaTheme="minorEastAsia" w:cs="Georgia"/>
          <w:color w:val="434343"/>
          <w:szCs w:val="32"/>
          <w:lang w:val="en-US"/>
        </w:rPr>
        <w:t xml:space="preserve"> </w:t>
      </w:r>
    </w:p>
    <w:p w:rsidR="00E551F9" w:rsidRPr="00D21B34" w:rsidRDefault="00E551F9" w:rsidP="00447F36">
      <w:pPr>
        <w:spacing w:line="480" w:lineRule="auto"/>
        <w:rPr>
          <w:rFonts w:eastAsiaTheme="minorEastAsia" w:cs="Georgia"/>
          <w:color w:val="434343"/>
          <w:szCs w:val="32"/>
          <w:lang w:val="en-US"/>
        </w:rPr>
      </w:pPr>
      <w:r w:rsidRPr="00D21B34">
        <w:rPr>
          <w:rFonts w:eastAsiaTheme="minorEastAsia" w:cs="Georgia"/>
          <w:color w:val="434343"/>
          <w:szCs w:val="32"/>
          <w:lang w:val="en-US"/>
        </w:rPr>
        <w:t xml:space="preserve">By comparing two images of the female nude, from </w:t>
      </w:r>
      <w:r w:rsidR="00484478" w:rsidRPr="00D21B34">
        <w:rPr>
          <w:rFonts w:eastAsiaTheme="minorEastAsia" w:cs="Georgia"/>
          <w:color w:val="434343"/>
          <w:szCs w:val="32"/>
          <w:lang w:val="en-US"/>
        </w:rPr>
        <w:t xml:space="preserve">a </w:t>
      </w:r>
      <w:r w:rsidRPr="00D21B34">
        <w:rPr>
          <w:rFonts w:eastAsiaTheme="minorEastAsia" w:cs="Georgia"/>
          <w:color w:val="434343"/>
          <w:szCs w:val="32"/>
          <w:lang w:val="en-US"/>
        </w:rPr>
        <w:t>modern day</w:t>
      </w:r>
      <w:r w:rsidR="00484478" w:rsidRPr="00D21B34">
        <w:rPr>
          <w:rFonts w:eastAsiaTheme="minorEastAsia" w:cs="Georgia"/>
          <w:color w:val="434343"/>
          <w:szCs w:val="32"/>
          <w:lang w:val="en-US"/>
        </w:rPr>
        <w:t xml:space="preserve"> clothing brand</w:t>
      </w:r>
      <w:r w:rsidRPr="00D21B34">
        <w:rPr>
          <w:rFonts w:eastAsiaTheme="minorEastAsia" w:cs="Georgia"/>
          <w:color w:val="434343"/>
          <w:szCs w:val="32"/>
          <w:lang w:val="en-US"/>
        </w:rPr>
        <w:t xml:space="preserve"> and </w:t>
      </w:r>
      <w:r w:rsidR="00484478" w:rsidRPr="00D21B34">
        <w:rPr>
          <w:rFonts w:eastAsiaTheme="minorEastAsia" w:cs="Georgia"/>
          <w:color w:val="434343"/>
          <w:szCs w:val="32"/>
          <w:lang w:val="en-US"/>
        </w:rPr>
        <w:t xml:space="preserve">Goya’s </w:t>
      </w:r>
      <w:r w:rsidRPr="00D21B34">
        <w:rPr>
          <w:rFonts w:eastAsiaTheme="minorEastAsia" w:cs="Georgia"/>
          <w:color w:val="434343"/>
          <w:szCs w:val="32"/>
          <w:lang w:val="en-US"/>
        </w:rPr>
        <w:t xml:space="preserve">1808 </w:t>
      </w:r>
      <w:r w:rsidR="00484478" w:rsidRPr="00D21B34">
        <w:rPr>
          <w:rFonts w:eastAsiaTheme="minorEastAsia" w:cs="Georgia"/>
          <w:i/>
          <w:color w:val="434343"/>
          <w:szCs w:val="32"/>
          <w:lang w:val="en-US"/>
        </w:rPr>
        <w:t>The Nude Maja</w:t>
      </w:r>
      <w:r w:rsidRPr="00D21B34">
        <w:rPr>
          <w:rFonts w:eastAsiaTheme="minorEastAsia" w:cs="Georgia"/>
          <w:color w:val="434343"/>
          <w:szCs w:val="32"/>
          <w:lang w:val="en-US"/>
        </w:rPr>
        <w:t xml:space="preserve"> oil painting, </w:t>
      </w:r>
      <w:r w:rsidR="00484478" w:rsidRPr="00D21B34">
        <w:rPr>
          <w:rFonts w:eastAsiaTheme="minorEastAsia" w:cs="Georgia"/>
          <w:color w:val="434343"/>
          <w:szCs w:val="32"/>
          <w:lang w:val="en-US"/>
        </w:rPr>
        <w:t xml:space="preserve">clear similarities present themselves in terms of male gaze and the sexualisation of the female body. The conclusions drawn from this comparison draw that the male gaze in the female nude has been depicted, packaged and sold back to the consumerist market, while the current society still morally condemns the female figure in sexual and erotic context. </w:t>
      </w:r>
    </w:p>
    <w:p w:rsidR="007F5A43" w:rsidRPr="00D21B34" w:rsidRDefault="007F5A43" w:rsidP="00447F36">
      <w:pPr>
        <w:spacing w:line="480" w:lineRule="auto"/>
        <w:rPr>
          <w:rFonts w:eastAsiaTheme="minorEastAsia" w:cs="Georgia"/>
          <w:color w:val="434343"/>
          <w:szCs w:val="32"/>
          <w:lang w:val="en-US"/>
        </w:rPr>
      </w:pPr>
      <w:r w:rsidRPr="00D21B34">
        <w:rPr>
          <w:rFonts w:eastAsiaTheme="minorEastAsia" w:cs="Georgia"/>
          <w:color w:val="434343"/>
          <w:szCs w:val="32"/>
          <w:lang w:val="en-US"/>
        </w:rPr>
        <w:t xml:space="preserve">By examining the image and story of Susannah and the Elders, it is shown that notions of shame and double standards in women’s sexual autonomy existed in even more blatant and overt ways in </w:t>
      </w:r>
      <w:r w:rsidR="00F46FCF" w:rsidRPr="00D21B34">
        <w:rPr>
          <w:rFonts w:eastAsiaTheme="minorEastAsia" w:cs="Georgia"/>
          <w:color w:val="434343"/>
          <w:szCs w:val="32"/>
          <w:lang w:val="en-US"/>
        </w:rPr>
        <w:t>Biblical context</w:t>
      </w:r>
      <w:r w:rsidR="00CB787C" w:rsidRPr="00D21B34">
        <w:rPr>
          <w:rFonts w:eastAsiaTheme="minorEastAsia" w:cs="Georgia"/>
          <w:color w:val="434343"/>
          <w:szCs w:val="32"/>
          <w:lang w:val="en-US"/>
        </w:rPr>
        <w:t>, having been written in 323 B.C</w:t>
      </w:r>
      <w:r w:rsidR="00CB787C" w:rsidRPr="00D21B34">
        <w:rPr>
          <w:rStyle w:val="EndnoteReference"/>
          <w:rFonts w:eastAsiaTheme="minorEastAsia" w:cs="Georgia"/>
          <w:color w:val="434343"/>
          <w:szCs w:val="32"/>
          <w:lang w:val="en-US"/>
        </w:rPr>
        <w:endnoteReference w:id="27"/>
      </w:r>
      <w:r w:rsidR="00F46FCF" w:rsidRPr="00D21B34">
        <w:rPr>
          <w:rFonts w:eastAsiaTheme="minorEastAsia" w:cs="Georgia"/>
          <w:color w:val="434343"/>
          <w:szCs w:val="32"/>
          <w:lang w:val="en-US"/>
        </w:rPr>
        <w:t xml:space="preserve"> Glancy examines the text with a modern, feminist perspective, and states that although the tale is used as a </w:t>
      </w:r>
      <w:r w:rsidR="00CB787C" w:rsidRPr="00D21B34">
        <w:rPr>
          <w:rFonts w:eastAsiaTheme="minorEastAsia" w:cs="Georgia"/>
          <w:color w:val="434343"/>
          <w:szCs w:val="32"/>
          <w:lang w:val="en-US"/>
        </w:rPr>
        <w:t xml:space="preserve">“tale of seduction”, the reader is not prompted to see the events through her own eyes, to “see what Susannah sees”. The common theme amongst this body of text is that women’s bodies and sexual autonomy is condemned, and shamed by society and the powerful people who threaten women in the first place. We must place the blame firmly with the perpetrators of assault, or we are no better as a society than </w:t>
      </w:r>
      <w:r w:rsidR="00671D73" w:rsidRPr="00D21B34">
        <w:rPr>
          <w:rFonts w:eastAsiaTheme="minorEastAsia" w:cs="Georgia"/>
          <w:color w:val="434343"/>
          <w:szCs w:val="32"/>
          <w:lang w:val="en-US"/>
        </w:rPr>
        <w:t>those attackers. As Desmond Tutu once said when referring to the injustice of the Apartheid in 1970s, “</w:t>
      </w:r>
      <w:r w:rsidR="00671D73" w:rsidRPr="00D21B34">
        <w:rPr>
          <w:rFonts w:cstheme="minorHAnsi"/>
          <w:color w:val="333333"/>
          <w:szCs w:val="27"/>
          <w:shd w:val="clear" w:color="auto" w:fill="FFFFFF"/>
        </w:rPr>
        <w:t>If you are neutral in situations of injustice, you have c</w:t>
      </w:r>
      <w:r w:rsidR="00671D73" w:rsidRPr="00D21B34">
        <w:rPr>
          <w:rFonts w:cstheme="minorHAnsi"/>
          <w:color w:val="333333"/>
          <w:szCs w:val="27"/>
          <w:shd w:val="clear" w:color="auto" w:fill="FFFFFF"/>
        </w:rPr>
        <w:t>hosen the side of the oppressor</w:t>
      </w:r>
      <w:r w:rsidR="00671D73" w:rsidRPr="00D21B34">
        <w:rPr>
          <w:rFonts w:cstheme="minorHAnsi"/>
          <w:color w:val="333333"/>
          <w:szCs w:val="27"/>
          <w:shd w:val="clear" w:color="auto" w:fill="FFFFFF"/>
        </w:rPr>
        <w:t>"</w:t>
      </w:r>
      <w:r w:rsidR="00671D73" w:rsidRPr="00D21B34">
        <w:rPr>
          <w:rStyle w:val="EndnoteReference"/>
          <w:rFonts w:cstheme="minorHAnsi"/>
          <w:color w:val="333333"/>
          <w:szCs w:val="27"/>
          <w:shd w:val="clear" w:color="auto" w:fill="FFFFFF"/>
        </w:rPr>
        <w:endnoteReference w:id="28"/>
      </w:r>
      <w:r w:rsidR="00671D73" w:rsidRPr="00D21B34">
        <w:rPr>
          <w:rFonts w:cstheme="minorHAnsi"/>
          <w:color w:val="333333"/>
          <w:szCs w:val="27"/>
          <w:shd w:val="clear" w:color="auto" w:fill="FFFFFF"/>
        </w:rPr>
        <w:t>.</w:t>
      </w:r>
      <w:r w:rsidR="00671D73" w:rsidRPr="00D21B34">
        <w:rPr>
          <w:rFonts w:ascii="Georgia" w:hAnsi="Georgia"/>
          <w:color w:val="333333"/>
          <w:szCs w:val="27"/>
          <w:shd w:val="clear" w:color="auto" w:fill="FFFFFF"/>
        </w:rPr>
        <w:t xml:space="preserve"> </w:t>
      </w:r>
      <w:r w:rsidR="00671D73" w:rsidRPr="00D21B34">
        <w:rPr>
          <w:rFonts w:eastAsiaTheme="minorEastAsia" w:cs="Georgia"/>
          <w:color w:val="434343"/>
          <w:sz w:val="18"/>
          <w:szCs w:val="32"/>
          <w:lang w:val="en-US"/>
        </w:rPr>
        <w:t xml:space="preserve"> </w:t>
      </w:r>
    </w:p>
    <w:p w:rsidR="00E551F9" w:rsidRPr="00D21B34" w:rsidRDefault="00E551F9" w:rsidP="00447F36">
      <w:pPr>
        <w:spacing w:line="480" w:lineRule="auto"/>
        <w:rPr>
          <w:rFonts w:eastAsiaTheme="minorEastAsia" w:cs="Georgia"/>
          <w:color w:val="434343"/>
          <w:szCs w:val="32"/>
          <w:lang w:val="en-US"/>
        </w:rPr>
      </w:pPr>
    </w:p>
    <w:p w:rsidR="00A4537C" w:rsidRPr="00D21B34" w:rsidRDefault="00A4537C" w:rsidP="00447F36">
      <w:pPr>
        <w:spacing w:line="480" w:lineRule="auto"/>
        <w:rPr>
          <w:rFonts w:eastAsiaTheme="minorEastAsia" w:cs="Georgia"/>
          <w:color w:val="434343"/>
          <w:szCs w:val="32"/>
          <w:lang w:val="en-US"/>
        </w:rPr>
      </w:pPr>
    </w:p>
    <w:p w:rsidR="007E7A06" w:rsidRPr="00D21B34" w:rsidRDefault="007E7A06" w:rsidP="00EB1255">
      <w:pPr>
        <w:rPr>
          <w:rFonts w:eastAsiaTheme="minorEastAsia" w:cs="Georgia"/>
          <w:color w:val="434343"/>
          <w:szCs w:val="32"/>
          <w:lang w:val="en-US"/>
        </w:rPr>
      </w:pPr>
    </w:p>
    <w:p w:rsidR="0090534E" w:rsidRPr="00D21B34" w:rsidRDefault="0090534E" w:rsidP="0090534E">
      <w:pPr>
        <w:rPr>
          <w:rFonts w:eastAsiaTheme="minorEastAsia" w:cs="Georgia"/>
          <w:color w:val="434343"/>
          <w:szCs w:val="32"/>
          <w:lang w:val="en-US"/>
        </w:rPr>
      </w:pPr>
    </w:p>
    <w:p w:rsidR="0090534E" w:rsidRDefault="0090534E" w:rsidP="00EB1255">
      <w:pPr>
        <w:rPr>
          <w:rStyle w:val="dt6"/>
          <w:rFonts w:cstheme="minorHAnsi"/>
          <w:color w:val="3B3E41"/>
          <w:spacing w:val="10"/>
          <w:lang w:val="en"/>
        </w:rPr>
      </w:pPr>
      <w:r w:rsidRPr="00D21B34">
        <w:rPr>
          <w:rStyle w:val="Strong"/>
          <w:rFonts w:ascii="Arial" w:hAnsi="Arial" w:cs="Arial"/>
          <w:color w:val="666666"/>
          <w:sz w:val="20"/>
          <w:szCs w:val="20"/>
          <w:shd w:val="clear" w:color="auto" w:fill="FFFFFF"/>
        </w:rPr>
        <w:t> </w:t>
      </w:r>
      <w:r w:rsidRPr="00D21B34">
        <w:rPr>
          <w:rStyle w:val="selectable"/>
          <w:rFonts w:ascii="Arial" w:hAnsi="Arial" w:cs="Arial"/>
          <w:color w:val="666666"/>
          <w:sz w:val="20"/>
          <w:szCs w:val="20"/>
          <w:shd w:val="clear" w:color="auto" w:fill="FFFFFF"/>
        </w:rPr>
        <w:t>Collins, G. (1990). </w:t>
      </w:r>
      <w:r w:rsidRPr="00D21B34">
        <w:rPr>
          <w:rStyle w:val="selectable"/>
          <w:rFonts w:ascii="Arial" w:hAnsi="Arial" w:cs="Arial"/>
          <w:i/>
          <w:iCs/>
          <w:color w:val="666666"/>
          <w:sz w:val="20"/>
          <w:szCs w:val="20"/>
          <w:shd w:val="clear" w:color="auto" w:fill="FFFFFF"/>
        </w:rPr>
        <w:t>A Portraitist's Romp Through Art History</w:t>
      </w:r>
      <w:r w:rsidRPr="00D21B34">
        <w:rPr>
          <w:rStyle w:val="selectable"/>
          <w:rFonts w:ascii="Arial" w:hAnsi="Arial" w:cs="Arial"/>
          <w:color w:val="666666"/>
          <w:sz w:val="20"/>
          <w:szCs w:val="20"/>
          <w:shd w:val="clear" w:color="auto" w:fill="FFFFFF"/>
        </w:rPr>
        <w:t>. [online] www.nytimes.com. Available at: http://www.nytimes.com/1990/02/01/arts/a-portraitist-s-romp-through-art-history.html?pagewanted=all [Accessed 5 Dec. 2017].</w:t>
      </w:r>
      <w:r>
        <w:rPr>
          <w:rStyle w:val="selectable"/>
          <w:rFonts w:ascii="Arial" w:hAnsi="Arial" w:cs="Arial"/>
          <w:color w:val="666666"/>
          <w:sz w:val="20"/>
          <w:szCs w:val="20"/>
          <w:shd w:val="clear" w:color="auto" w:fill="FFFFFF"/>
        </w:rPr>
        <w:t xml:space="preserve"> </w:t>
      </w:r>
    </w:p>
    <w:p w:rsidR="00EB1255" w:rsidRDefault="00EB1255">
      <w:r>
        <w:t xml:space="preserve"> </w:t>
      </w:r>
    </w:p>
    <w:sectPr w:rsidR="00EB1255">
      <w:footerReference w:type="default" r:id="rId9"/>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1255" w:rsidRDefault="00EB1255" w:rsidP="00EB1255">
      <w:pPr>
        <w:spacing w:after="0" w:line="240" w:lineRule="auto"/>
      </w:pPr>
      <w:r>
        <w:separator/>
      </w:r>
    </w:p>
  </w:endnote>
  <w:endnote w:type="continuationSeparator" w:id="0">
    <w:p w:rsidR="00EB1255" w:rsidRDefault="00EB1255" w:rsidP="00EB1255">
      <w:pPr>
        <w:spacing w:after="0" w:line="240" w:lineRule="auto"/>
      </w:pPr>
      <w:r>
        <w:continuationSeparator/>
      </w:r>
    </w:p>
  </w:endnote>
  <w:endnote w:id="1">
    <w:p w:rsidR="00EB1255" w:rsidRDefault="00EB1255" w:rsidP="00EB1255"/>
    <w:p w:rsidR="00EB1255" w:rsidRDefault="00EB1255" w:rsidP="00EB1255">
      <w:pPr>
        <w:pStyle w:val="EndnoteText"/>
      </w:pPr>
    </w:p>
  </w:endnote>
  <w:endnote w:id="2">
    <w:sdt>
      <w:sdtPr>
        <w:rPr>
          <w:rFonts w:asciiTheme="minorHAnsi" w:eastAsiaTheme="minorHAnsi" w:hAnsiTheme="minorHAnsi" w:cstheme="minorBidi"/>
          <w:color w:val="auto"/>
          <w:sz w:val="22"/>
          <w:szCs w:val="22"/>
          <w:lang w:val="en-GB"/>
        </w:rPr>
        <w:id w:val="641161910"/>
        <w:docPartObj>
          <w:docPartGallery w:val="Bibliographies"/>
          <w:docPartUnique/>
        </w:docPartObj>
      </w:sdtPr>
      <w:sdtEndPr/>
      <w:sdtContent>
        <w:p w:rsidR="00EB1255" w:rsidRPr="0095033F" w:rsidRDefault="00EB1255" w:rsidP="00EB1255">
          <w:pPr>
            <w:pStyle w:val="Heading1"/>
          </w:pPr>
          <w:r w:rsidRPr="0095033F">
            <w:t>Bibliography</w:t>
          </w:r>
        </w:p>
        <w:p w:rsidR="00EB1255" w:rsidRPr="00CB787C" w:rsidRDefault="00EB1255" w:rsidP="00EB1255">
          <w:pPr>
            <w:pStyle w:val="EndnoteText"/>
            <w:rPr>
              <w:rFonts w:ascii="Arial" w:hAnsi="Arial" w:cs="Arial"/>
              <w:shd w:val="clear" w:color="auto" w:fill="FFFFFF"/>
            </w:rPr>
          </w:pPr>
          <w:r w:rsidRPr="00CB787C">
            <w:t xml:space="preserve">I </w:t>
          </w:r>
          <w:r w:rsidRPr="00CB787C">
            <w:rPr>
              <w:rFonts w:ascii="Arial" w:hAnsi="Arial" w:cs="Arial"/>
              <w:shd w:val="clear" w:color="auto" w:fill="FFFFFF"/>
            </w:rPr>
            <w:t>Rousseau, J. and Cole, G. (2012). </w:t>
          </w:r>
          <w:r w:rsidRPr="00CB787C">
            <w:rPr>
              <w:rFonts w:ascii="Arial" w:hAnsi="Arial" w:cs="Arial"/>
              <w:i/>
              <w:iCs/>
              <w:shd w:val="clear" w:color="auto" w:fill="FFFFFF"/>
            </w:rPr>
            <w:t>The social contract, and, Discourses</w:t>
          </w:r>
          <w:r w:rsidRPr="00CB787C">
            <w:rPr>
              <w:rFonts w:ascii="Arial" w:hAnsi="Arial" w:cs="Arial"/>
              <w:shd w:val="clear" w:color="auto" w:fill="FFFFFF"/>
            </w:rPr>
            <w:t xml:space="preserve">. 1st ed. Miami, Florida: Hardpress Publishing, p.1. </w:t>
          </w:r>
        </w:p>
        <w:p w:rsidR="00EB1255" w:rsidRPr="00CB787C" w:rsidRDefault="00EB1255" w:rsidP="00EB1255">
          <w:pPr>
            <w:pStyle w:val="EndnoteText"/>
            <w:rPr>
              <w:rFonts w:ascii="Arial" w:hAnsi="Arial" w:cs="Arial"/>
              <w:shd w:val="clear" w:color="auto" w:fill="FFFFFF"/>
            </w:rPr>
          </w:pPr>
        </w:p>
        <w:p w:rsidR="00EB1255" w:rsidRPr="00CB787C" w:rsidRDefault="00EB1255" w:rsidP="00EB1255">
          <w:pPr>
            <w:pStyle w:val="EndnoteText"/>
          </w:pPr>
        </w:p>
        <w:p w:rsidR="00EB1255" w:rsidRPr="00CB787C" w:rsidRDefault="00EB1255" w:rsidP="00EB1255">
          <w:pPr>
            <w:rPr>
              <w:rFonts w:ascii="Times New Roman" w:eastAsia="Times New Roman" w:hAnsi="Times New Roman" w:cs="Times New Roman"/>
              <w:sz w:val="24"/>
              <w:szCs w:val="24"/>
            </w:rPr>
          </w:pPr>
          <w:r w:rsidRPr="00CB787C">
            <w:rPr>
              <w:rStyle w:val="EndnoteReference"/>
            </w:rPr>
            <w:endnoteRef/>
          </w:r>
          <w:r w:rsidRPr="00CB787C">
            <w:t xml:space="preserve"> </w:t>
          </w:r>
          <w:r w:rsidRPr="00CB787C">
            <w:rPr>
              <w:rFonts w:ascii="Arial" w:eastAsia="Times New Roman" w:hAnsi="Arial" w:cs="Arial"/>
              <w:sz w:val="20"/>
              <w:szCs w:val="20"/>
              <w:shd w:val="clear" w:color="auto" w:fill="FFFFFF"/>
            </w:rPr>
            <w:t>"Kenneth Clark: Arrogant Snob Or Saviour Of Art?." </w:t>
          </w:r>
          <w:r w:rsidRPr="00CB787C">
            <w:rPr>
              <w:rFonts w:ascii="Arial" w:eastAsia="Times New Roman" w:hAnsi="Arial" w:cs="Arial"/>
              <w:i/>
              <w:iCs/>
              <w:sz w:val="20"/>
              <w:szCs w:val="20"/>
            </w:rPr>
            <w:t>the Guardian</w:t>
          </w:r>
          <w:r w:rsidR="00C359E9">
            <w:rPr>
              <w:rFonts w:ascii="Arial" w:eastAsia="Times New Roman" w:hAnsi="Arial" w:cs="Arial"/>
              <w:sz w:val="20"/>
              <w:szCs w:val="20"/>
              <w:shd w:val="clear" w:color="auto" w:fill="FFFFFF"/>
            </w:rPr>
            <w:t>. N.p., 2014</w:t>
          </w:r>
          <w:r w:rsidRPr="00CB787C">
            <w:rPr>
              <w:rFonts w:ascii="Arial" w:eastAsia="Times New Roman" w:hAnsi="Arial" w:cs="Arial"/>
              <w:sz w:val="20"/>
              <w:szCs w:val="20"/>
              <w:shd w:val="clear" w:color="auto" w:fill="FFFFFF"/>
            </w:rPr>
            <w:t>. Web. 4 Dec. 2017.</w:t>
          </w:r>
        </w:p>
        <w:p w:rsidR="00EB1255" w:rsidRPr="00CB787C" w:rsidRDefault="00EB1255" w:rsidP="00EB1255">
          <w:pPr>
            <w:pStyle w:val="EndnoteText"/>
          </w:pPr>
        </w:p>
        <w:p w:rsidR="00EB1255" w:rsidRPr="00CB787C" w:rsidRDefault="00EB1255" w:rsidP="00EB1255">
          <w:pPr>
            <w:pStyle w:val="EndnoteText"/>
            <w:rPr>
              <w:rFonts w:ascii="Arial" w:hAnsi="Arial" w:cs="Arial"/>
              <w:shd w:val="clear" w:color="auto" w:fill="FFFFFF"/>
            </w:rPr>
          </w:pPr>
          <w:r w:rsidRPr="00CB787C">
            <w:rPr>
              <w:rStyle w:val="EndnoteReference"/>
            </w:rPr>
            <w:endnoteRef/>
          </w:r>
          <w:r w:rsidRPr="00CB787C">
            <w:t xml:space="preserve"> </w:t>
          </w:r>
          <w:r w:rsidRPr="00CB787C">
            <w:rPr>
              <w:rFonts w:ascii="Arial" w:hAnsi="Arial" w:cs="Arial"/>
              <w:shd w:val="clear" w:color="auto" w:fill="FFFFFF"/>
            </w:rPr>
            <w:t>Berger, J. (2008). </w:t>
          </w:r>
          <w:r w:rsidRPr="00CB787C">
            <w:rPr>
              <w:rFonts w:ascii="Arial" w:hAnsi="Arial" w:cs="Arial"/>
              <w:i/>
              <w:iCs/>
              <w:shd w:val="clear" w:color="auto" w:fill="FFFFFF"/>
            </w:rPr>
            <w:t>Ways of seeing</w:t>
          </w:r>
          <w:r w:rsidRPr="00CB787C">
            <w:rPr>
              <w:rFonts w:ascii="Arial" w:hAnsi="Arial" w:cs="Arial"/>
              <w:shd w:val="clear" w:color="auto" w:fill="FFFFFF"/>
            </w:rPr>
            <w:t xml:space="preserve">. 2nd ed. London: British Broadcasting Corporation and Penguin Books, p.51.    </w:t>
          </w:r>
        </w:p>
        <w:p w:rsidR="00EB1255" w:rsidRPr="00CB787C" w:rsidRDefault="00EB1255" w:rsidP="00EB1255">
          <w:pPr>
            <w:pStyle w:val="EndnoteText"/>
            <w:rPr>
              <w:rFonts w:ascii="Arial" w:hAnsi="Arial" w:cs="Arial"/>
              <w:shd w:val="clear" w:color="auto" w:fill="FFFFFF"/>
            </w:rPr>
          </w:pPr>
        </w:p>
        <w:p w:rsidR="00EB1255" w:rsidRPr="00CB787C" w:rsidRDefault="00EB1255" w:rsidP="00EB1255">
          <w:pPr>
            <w:pStyle w:val="EndnoteText"/>
            <w:rPr>
              <w:rFonts w:ascii="Arial" w:hAnsi="Arial" w:cs="Arial"/>
            </w:rPr>
          </w:pPr>
          <w:r w:rsidRPr="00CB787C">
            <w:rPr>
              <w:rFonts w:ascii="Arial" w:hAnsi="Arial" w:cs="Arial"/>
              <w:shd w:val="clear" w:color="auto" w:fill="FFFFFF"/>
            </w:rPr>
            <w:t xml:space="preserve">Ii </w:t>
          </w:r>
          <w:r w:rsidRPr="00CB787C">
            <w:rPr>
              <w:rFonts w:ascii="Arial" w:hAnsi="Arial" w:cs="Arial"/>
            </w:rPr>
            <w:t>Wolff, Jonathan, "Karl Marx", </w:t>
          </w:r>
          <w:r w:rsidRPr="00CB787C">
            <w:rPr>
              <w:rStyle w:val="Emphasis"/>
              <w:rFonts w:ascii="Arial" w:hAnsi="Arial" w:cs="Arial"/>
            </w:rPr>
            <w:t>The Stanford Encyclopedia of Philosophy</w:t>
          </w:r>
          <w:r w:rsidRPr="00CB787C">
            <w:rPr>
              <w:rFonts w:ascii="Arial" w:hAnsi="Arial" w:cs="Arial"/>
            </w:rPr>
            <w:t xml:space="preserve"> (Winter 2017 Edition), Edward N. Zalta (ed.), forthcoming URL = &lt;https://plato.stanford.edu/archives/win2017/entries/marx/&gt;. </w:t>
          </w:r>
        </w:p>
        <w:p w:rsidR="00EB1255" w:rsidRPr="00CB787C" w:rsidRDefault="00EB1255" w:rsidP="00EB1255">
          <w:pPr>
            <w:pStyle w:val="EndnoteText"/>
            <w:rPr>
              <w:rFonts w:ascii="Arial" w:hAnsi="Arial" w:cs="Arial"/>
            </w:rPr>
          </w:pPr>
        </w:p>
        <w:p w:rsidR="00EB1255" w:rsidRPr="00CB787C" w:rsidRDefault="00EB1255" w:rsidP="00EB1255">
          <w:pPr>
            <w:rPr>
              <w:rFonts w:ascii="Times New Roman" w:eastAsia="Times New Roman" w:hAnsi="Times New Roman" w:cs="Times New Roman"/>
              <w:sz w:val="24"/>
              <w:szCs w:val="24"/>
            </w:rPr>
          </w:pPr>
          <w:r w:rsidRPr="00CB787C">
            <w:rPr>
              <w:rFonts w:ascii="Arial" w:hAnsi="Arial" w:cs="Arial"/>
              <w:shd w:val="clear" w:color="auto" w:fill="FFFFFF"/>
            </w:rPr>
            <w:t xml:space="preserve">Iii </w:t>
          </w:r>
          <w:r w:rsidRPr="00CB787C">
            <w:rPr>
              <w:rFonts w:ascii="Arial" w:eastAsia="Times New Roman" w:hAnsi="Arial" w:cs="Arial"/>
              <w:sz w:val="20"/>
              <w:szCs w:val="20"/>
              <w:shd w:val="clear" w:color="auto" w:fill="FFFFFF"/>
            </w:rPr>
            <w:t>Morgan, Catharine et al. "Incidence, Clinical Management, And Mortality Risk Following Self Harm Among Children And Adolescents: Cohort Study In Primary Care." </w:t>
          </w:r>
          <w:r w:rsidRPr="00CB787C">
            <w:rPr>
              <w:rFonts w:ascii="Arial" w:eastAsia="Times New Roman" w:hAnsi="Arial" w:cs="Arial"/>
              <w:i/>
              <w:iCs/>
              <w:sz w:val="20"/>
              <w:szCs w:val="20"/>
            </w:rPr>
            <w:t>bmj.com</w:t>
          </w:r>
          <w:r w:rsidRPr="00CB787C">
            <w:rPr>
              <w:rFonts w:ascii="Arial" w:eastAsia="Times New Roman" w:hAnsi="Arial" w:cs="Arial"/>
              <w:sz w:val="20"/>
              <w:szCs w:val="20"/>
              <w:shd w:val="clear" w:color="auto" w:fill="FFFFFF"/>
            </w:rPr>
            <w:t>. N.p., 2017. Web. 4 Dec. 2017.</w:t>
          </w:r>
        </w:p>
        <w:p w:rsidR="00EB1255" w:rsidRPr="00CB787C" w:rsidRDefault="00EB1255" w:rsidP="00EB1255">
          <w:pPr>
            <w:pStyle w:val="EndnoteText"/>
            <w:rPr>
              <w:rFonts w:ascii="Arial" w:hAnsi="Arial" w:cs="Arial"/>
              <w:shd w:val="clear" w:color="auto" w:fill="FFFFFF"/>
            </w:rPr>
          </w:pPr>
          <w:r w:rsidRPr="00CB787C">
            <w:rPr>
              <w:rFonts w:ascii="Arial" w:hAnsi="Arial" w:cs="Arial"/>
              <w:shd w:val="clear" w:color="auto" w:fill="FFFFFF"/>
            </w:rPr>
            <w:t xml:space="preserve"> </w:t>
          </w:r>
        </w:p>
        <w:p w:rsidR="00EB1255" w:rsidRPr="00CB787C" w:rsidRDefault="00D21B34" w:rsidP="00EB1255">
          <w:pPr>
            <w:rPr>
              <w:lang w:val="en-US"/>
            </w:rPr>
          </w:pPr>
        </w:p>
      </w:sdtContent>
    </w:sdt>
    <w:p w:rsidR="00EB1255" w:rsidRPr="00CB787C" w:rsidRDefault="00EB1255" w:rsidP="00EB1255">
      <w:pPr>
        <w:pStyle w:val="EndnoteText"/>
      </w:pPr>
    </w:p>
  </w:endnote>
  <w:endnote w:id="3">
    <w:p w:rsidR="00EB1255" w:rsidRPr="00CB787C" w:rsidRDefault="00EB1255" w:rsidP="00EB1255">
      <w:pPr>
        <w:rPr>
          <w:rFonts w:ascii="Times New Roman" w:eastAsia="Times New Roman" w:hAnsi="Times New Roman" w:cs="Times New Roman"/>
          <w:sz w:val="24"/>
          <w:szCs w:val="24"/>
        </w:rPr>
      </w:pPr>
      <w:r w:rsidRPr="00CB787C">
        <w:rPr>
          <w:rStyle w:val="EndnoteReference"/>
        </w:rPr>
        <w:endnoteRef/>
      </w:r>
      <w:r w:rsidRPr="00CB787C">
        <w:t xml:space="preserve"> </w:t>
      </w:r>
      <w:r w:rsidRPr="00CB787C">
        <w:rPr>
          <w:rFonts w:ascii="Arial" w:eastAsia="Times New Roman" w:hAnsi="Arial" w:cs="Arial"/>
          <w:sz w:val="20"/>
          <w:szCs w:val="20"/>
          <w:shd w:val="clear" w:color="auto" w:fill="FFF5AA"/>
        </w:rPr>
        <w:t>"Harassment In Hollywood: Who's Been Accused?." </w:t>
      </w:r>
      <w:r w:rsidRPr="00CB787C">
        <w:rPr>
          <w:rFonts w:ascii="Arial" w:eastAsia="Times New Roman" w:hAnsi="Arial" w:cs="Arial"/>
          <w:i/>
          <w:iCs/>
          <w:sz w:val="20"/>
          <w:szCs w:val="20"/>
        </w:rPr>
        <w:t>BBC News</w:t>
      </w:r>
      <w:r w:rsidRPr="00CB787C">
        <w:rPr>
          <w:rFonts w:ascii="Arial" w:eastAsia="Times New Roman" w:hAnsi="Arial" w:cs="Arial"/>
          <w:sz w:val="20"/>
          <w:szCs w:val="20"/>
          <w:shd w:val="clear" w:color="auto" w:fill="FFF5AA"/>
        </w:rPr>
        <w:t>. N.p., 2017. Web. 4 Dec. 2017.</w:t>
      </w:r>
    </w:p>
    <w:p w:rsidR="00EB1255" w:rsidRPr="00CB787C" w:rsidRDefault="00EB1255" w:rsidP="00EB1255">
      <w:pPr>
        <w:pStyle w:val="EndnoteText"/>
      </w:pPr>
      <w:r w:rsidRPr="00CB787C">
        <w:t xml:space="preserve"> </w:t>
      </w:r>
    </w:p>
  </w:endnote>
  <w:endnote w:id="4">
    <w:p w:rsidR="00EB1255" w:rsidRPr="00CB787C" w:rsidRDefault="00EB1255" w:rsidP="00EB1255">
      <w:pPr>
        <w:rPr>
          <w:rFonts w:ascii="Times New Roman" w:eastAsia="Times New Roman" w:hAnsi="Times New Roman" w:cs="Times New Roman"/>
          <w:sz w:val="24"/>
          <w:szCs w:val="24"/>
        </w:rPr>
      </w:pPr>
      <w:r w:rsidRPr="00CB787C">
        <w:rPr>
          <w:rStyle w:val="EndnoteReference"/>
        </w:rPr>
        <w:endnoteRef/>
      </w:r>
      <w:r w:rsidRPr="00CB787C">
        <w:t xml:space="preserve"> </w:t>
      </w:r>
      <w:r w:rsidRPr="00CB787C">
        <w:rPr>
          <w:rFonts w:ascii="Arial" w:eastAsia="Times New Roman" w:hAnsi="Arial" w:cs="Arial"/>
          <w:sz w:val="20"/>
          <w:szCs w:val="20"/>
          <w:shd w:val="clear" w:color="auto" w:fill="FFF5AA"/>
        </w:rPr>
        <w:t>Fahrenthold, David, A. "Trump Recorded Having Extremely Lewd Conversation About Women In 2005." </w:t>
      </w:r>
      <w:r w:rsidRPr="00CB787C">
        <w:rPr>
          <w:rFonts w:ascii="Arial" w:eastAsia="Times New Roman" w:hAnsi="Arial" w:cs="Arial"/>
          <w:i/>
          <w:iCs/>
          <w:sz w:val="20"/>
          <w:szCs w:val="20"/>
        </w:rPr>
        <w:t>Washington Post</w:t>
      </w:r>
      <w:r w:rsidRPr="00CB787C">
        <w:rPr>
          <w:rFonts w:ascii="Arial" w:eastAsia="Times New Roman" w:hAnsi="Arial" w:cs="Arial"/>
          <w:sz w:val="20"/>
          <w:szCs w:val="20"/>
          <w:shd w:val="clear" w:color="auto" w:fill="FFF5AA"/>
        </w:rPr>
        <w:t xml:space="preserve">. N.p., 2017. Web. 4 Dec. 2017. </w:t>
      </w:r>
    </w:p>
    <w:p w:rsidR="00EB1255" w:rsidRPr="00CB787C" w:rsidRDefault="00EB1255" w:rsidP="00EB1255">
      <w:pPr>
        <w:pStyle w:val="EndnoteText"/>
      </w:pPr>
      <w:r w:rsidRPr="00CB787C">
        <w:rPr>
          <w:rFonts w:ascii="Arial" w:hAnsi="Arial" w:cs="Arial"/>
          <w:shd w:val="clear" w:color="auto" w:fill="FFF5AA"/>
        </w:rPr>
        <w:t>Sirc.org. (1997). </w:t>
      </w:r>
      <w:r w:rsidRPr="00CB787C">
        <w:rPr>
          <w:rFonts w:ascii="Arial" w:hAnsi="Arial" w:cs="Arial"/>
          <w:i/>
          <w:iCs/>
          <w:shd w:val="clear" w:color="auto" w:fill="FFF5AA"/>
        </w:rPr>
        <w:t>Mirror, mirror - A summary of research findings on body image</w:t>
      </w:r>
      <w:r w:rsidRPr="00CB787C">
        <w:rPr>
          <w:rFonts w:ascii="Arial" w:hAnsi="Arial" w:cs="Arial"/>
          <w:shd w:val="clear" w:color="auto" w:fill="FFF5AA"/>
        </w:rPr>
        <w:t xml:space="preserve">. [online] Available at: http://www.sirc.org/publik/mirror.html [Accessed 3 Dec. 2017]. </w:t>
      </w:r>
    </w:p>
  </w:endnote>
  <w:endnote w:id="5">
    <w:p w:rsidR="00C359E9" w:rsidRDefault="00C359E9">
      <w:pPr>
        <w:pStyle w:val="EndnoteText"/>
      </w:pPr>
      <w:r>
        <w:rPr>
          <w:rStyle w:val="EndnoteReference"/>
        </w:rPr>
        <w:endnoteRef/>
      </w:r>
      <w:r w:rsidRPr="00CB787C">
        <w:rPr>
          <w:rFonts w:ascii="Arial" w:eastAsia="Times New Roman" w:hAnsi="Arial" w:cs="Arial"/>
          <w:lang w:eastAsia="en-GB"/>
        </w:rPr>
        <w:t>Berger, J. (1972). </w:t>
      </w:r>
      <w:r w:rsidRPr="00CB787C">
        <w:rPr>
          <w:rFonts w:ascii="Arial" w:eastAsia="Times New Roman" w:hAnsi="Arial" w:cs="Arial"/>
          <w:i/>
          <w:iCs/>
          <w:lang w:eastAsia="en-GB"/>
        </w:rPr>
        <w:t>Ways of seeing</w:t>
      </w:r>
      <w:r w:rsidRPr="00CB787C">
        <w:rPr>
          <w:rFonts w:ascii="Arial" w:eastAsia="Times New Roman" w:hAnsi="Arial" w:cs="Arial"/>
          <w:lang w:eastAsia="en-GB"/>
        </w:rPr>
        <w:t>. 1st ed. London: British Broadcasting Cor</w:t>
      </w:r>
      <w:r>
        <w:rPr>
          <w:rFonts w:ascii="Arial" w:eastAsia="Times New Roman" w:hAnsi="Arial" w:cs="Arial"/>
          <w:lang w:eastAsia="en-GB"/>
        </w:rPr>
        <w:t>poration and Penguin Books, p.47</w:t>
      </w:r>
      <w:r w:rsidRPr="00CB787C">
        <w:rPr>
          <w:rFonts w:ascii="Arial" w:eastAsia="Times New Roman" w:hAnsi="Arial" w:cs="Arial"/>
          <w:lang w:eastAsia="en-GB"/>
        </w:rPr>
        <w:t xml:space="preserve">. </w:t>
      </w:r>
      <w:r>
        <w:rPr>
          <w:rFonts w:ascii="Arial" w:eastAsia="Times New Roman" w:hAnsi="Arial" w:cs="Arial"/>
          <w:lang w:eastAsia="en-GB"/>
        </w:rPr>
        <w:t xml:space="preserve"> </w:t>
      </w:r>
      <w:r>
        <w:t xml:space="preserve"> </w:t>
      </w:r>
    </w:p>
  </w:endnote>
  <w:endnote w:id="6">
    <w:p w:rsidR="00EB1255" w:rsidRPr="00CB787C" w:rsidRDefault="00EB1255" w:rsidP="00EB1255">
      <w:pPr>
        <w:pStyle w:val="EndnoteText"/>
      </w:pPr>
      <w:r w:rsidRPr="00CB787C">
        <w:rPr>
          <w:rStyle w:val="EndnoteReference"/>
        </w:rPr>
        <w:endnoteRef/>
      </w:r>
      <w:r w:rsidRPr="00CB787C">
        <w:t xml:space="preserve"> </w:t>
      </w:r>
    </w:p>
  </w:endnote>
  <w:endnote w:id="7">
    <w:p w:rsidR="00EB1255" w:rsidRPr="00CB787C" w:rsidRDefault="00EB1255" w:rsidP="00EB1255">
      <w:pPr>
        <w:rPr>
          <w:rFonts w:ascii="Times New Roman" w:eastAsia="Times New Roman" w:hAnsi="Times New Roman" w:cs="Times New Roman"/>
          <w:sz w:val="24"/>
          <w:szCs w:val="24"/>
        </w:rPr>
      </w:pPr>
      <w:r w:rsidRPr="00CB787C">
        <w:rPr>
          <w:rStyle w:val="EndnoteReference"/>
        </w:rPr>
        <w:endnoteRef/>
      </w:r>
      <w:r w:rsidRPr="00CB787C">
        <w:t xml:space="preserve"> </w:t>
      </w:r>
      <w:r w:rsidRPr="00CB787C">
        <w:rPr>
          <w:rFonts w:ascii="Arial" w:eastAsia="Times New Roman" w:hAnsi="Arial" w:cs="Arial"/>
          <w:sz w:val="20"/>
          <w:szCs w:val="20"/>
          <w:shd w:val="clear" w:color="auto" w:fill="FFFFFF"/>
        </w:rPr>
        <w:t>Morgan, Catharine et al. "Incidence, Clinical Management, And Mortality Risk Following Self Harm Among Children And Adolescents: Cohort Study In Primary Care." </w:t>
      </w:r>
      <w:r w:rsidRPr="00CB787C">
        <w:rPr>
          <w:rFonts w:ascii="Arial" w:eastAsia="Times New Roman" w:hAnsi="Arial" w:cs="Arial"/>
          <w:i/>
          <w:iCs/>
          <w:sz w:val="20"/>
          <w:szCs w:val="20"/>
        </w:rPr>
        <w:t>bmj.com</w:t>
      </w:r>
      <w:r w:rsidRPr="00CB787C">
        <w:rPr>
          <w:rFonts w:ascii="Arial" w:eastAsia="Times New Roman" w:hAnsi="Arial" w:cs="Arial"/>
          <w:sz w:val="20"/>
          <w:szCs w:val="20"/>
          <w:shd w:val="clear" w:color="auto" w:fill="FFFFFF"/>
        </w:rPr>
        <w:t>. N.p., 2017. Web. 4 Dec. 2017.</w:t>
      </w:r>
    </w:p>
    <w:p w:rsidR="00EB1255" w:rsidRPr="00CB787C" w:rsidRDefault="00EB1255" w:rsidP="00EB1255">
      <w:pPr>
        <w:pStyle w:val="EndnoteText"/>
      </w:pPr>
      <w:r w:rsidRPr="00CB787C">
        <w:t xml:space="preserve"> </w:t>
      </w:r>
    </w:p>
  </w:endnote>
  <w:endnote w:id="8">
    <w:p w:rsidR="00EB1255" w:rsidRPr="00CB787C" w:rsidRDefault="00EB1255" w:rsidP="00EB1255">
      <w:pPr>
        <w:pStyle w:val="EndnoteText"/>
      </w:pPr>
    </w:p>
  </w:endnote>
  <w:endnote w:id="9">
    <w:p w:rsidR="009F64B1" w:rsidRPr="00CB787C" w:rsidRDefault="009F64B1">
      <w:pPr>
        <w:pStyle w:val="EndnoteText"/>
        <w:rPr>
          <w:rFonts w:ascii="Arial" w:hAnsi="Arial" w:cs="Arial"/>
          <w:shd w:val="clear" w:color="auto" w:fill="FFFFFF"/>
        </w:rPr>
      </w:pPr>
      <w:r w:rsidRPr="00CB787C">
        <w:rPr>
          <w:rStyle w:val="EndnoteReference"/>
        </w:rPr>
        <w:endnoteRef/>
      </w:r>
      <w:r w:rsidRPr="00CB787C">
        <w:t xml:space="preserve"> </w:t>
      </w:r>
      <w:r w:rsidRPr="00CB787C">
        <w:rPr>
          <w:rFonts w:ascii="Arial" w:hAnsi="Arial" w:cs="Arial"/>
          <w:shd w:val="clear" w:color="auto" w:fill="FFFFFF"/>
        </w:rPr>
        <w:t>Gauntlett, D. (1998). </w:t>
      </w:r>
      <w:r w:rsidRPr="00CB787C">
        <w:rPr>
          <w:rFonts w:ascii="Arial" w:hAnsi="Arial" w:cs="Arial"/>
          <w:i/>
          <w:iCs/>
          <w:shd w:val="clear" w:color="auto" w:fill="FFFFFF"/>
        </w:rPr>
        <w:t>www.theory.org.uk Resources: Judith Butler</w:t>
      </w:r>
      <w:r w:rsidRPr="00CB787C">
        <w:rPr>
          <w:rFonts w:ascii="Arial" w:hAnsi="Arial" w:cs="Arial"/>
          <w:shd w:val="clear" w:color="auto" w:fill="FFFFFF"/>
        </w:rPr>
        <w:t>. [online] Theory.org.uk. Available at: http://www.theory.org.uk/ctr-butl.htm [Accessed 4 Dec. 2017].</w:t>
      </w:r>
      <w:r w:rsidRPr="00CB787C">
        <w:rPr>
          <w:rFonts w:ascii="Arial" w:hAnsi="Arial" w:cs="Arial"/>
          <w:shd w:val="clear" w:color="auto" w:fill="FFFFFF"/>
        </w:rPr>
        <w:t xml:space="preserve"> </w:t>
      </w:r>
    </w:p>
    <w:p w:rsidR="009F64B1" w:rsidRPr="00CB787C" w:rsidRDefault="009F64B1">
      <w:pPr>
        <w:pStyle w:val="EndnoteText"/>
      </w:pPr>
    </w:p>
  </w:endnote>
  <w:endnote w:id="10">
    <w:p w:rsidR="009266D2" w:rsidRPr="00CB787C" w:rsidRDefault="009266D2">
      <w:pPr>
        <w:pStyle w:val="EndnoteText"/>
      </w:pPr>
      <w:r w:rsidRPr="00CB787C">
        <w:rPr>
          <w:rStyle w:val="EndnoteReference"/>
        </w:rPr>
        <w:endnoteRef/>
      </w:r>
      <w:r w:rsidRPr="00CB787C">
        <w:t xml:space="preserve"> </w:t>
      </w:r>
      <w:r w:rsidR="0090534E" w:rsidRPr="00CB787C">
        <w:rPr>
          <w:rStyle w:val="Strong"/>
          <w:rFonts w:ascii="Arial" w:hAnsi="Arial" w:cs="Arial"/>
          <w:shd w:val="clear" w:color="auto" w:fill="FFFFFF"/>
        </w:rPr>
        <w:t> </w:t>
      </w:r>
      <w:r w:rsidR="0090534E" w:rsidRPr="00CB787C">
        <w:rPr>
          <w:rStyle w:val="selectable"/>
          <w:rFonts w:ascii="Arial" w:hAnsi="Arial" w:cs="Arial"/>
          <w:shd w:val="clear" w:color="auto" w:fill="FFFFFF"/>
        </w:rPr>
        <w:t>Collins, G. (1990). </w:t>
      </w:r>
      <w:r w:rsidR="0090534E" w:rsidRPr="00CB787C">
        <w:rPr>
          <w:rStyle w:val="selectable"/>
          <w:rFonts w:ascii="Arial" w:hAnsi="Arial" w:cs="Arial"/>
          <w:i/>
          <w:iCs/>
          <w:shd w:val="clear" w:color="auto" w:fill="FFFFFF"/>
        </w:rPr>
        <w:t>A Portraitist's Romp Through Art History</w:t>
      </w:r>
      <w:r w:rsidR="0090534E" w:rsidRPr="00CB787C">
        <w:rPr>
          <w:rStyle w:val="selectable"/>
          <w:rFonts w:ascii="Arial" w:hAnsi="Arial" w:cs="Arial"/>
          <w:shd w:val="clear" w:color="auto" w:fill="FFFFFF"/>
        </w:rPr>
        <w:t>. [online] www.nytimes.com. Available at: http://www.nytimes.com/1990/02/01/arts/a-portraitist-s-romp-through-art-history.html?pagewanted=all [Accessed 5 Dec. 2017].</w:t>
      </w:r>
      <w:r w:rsidR="0090534E" w:rsidRPr="00CB787C">
        <w:rPr>
          <w:rStyle w:val="selectable"/>
          <w:rFonts w:ascii="Arial" w:hAnsi="Arial" w:cs="Arial"/>
          <w:shd w:val="clear" w:color="auto" w:fill="FFFFFF"/>
        </w:rPr>
        <w:t xml:space="preserve"> </w:t>
      </w:r>
    </w:p>
  </w:endnote>
  <w:endnote w:id="11">
    <w:p w:rsidR="00EB1255" w:rsidRPr="00CB787C" w:rsidRDefault="00EB1255" w:rsidP="00EB1255">
      <w:pPr>
        <w:rPr>
          <w:rFonts w:ascii="Times New Roman" w:eastAsia="Times New Roman" w:hAnsi="Times New Roman" w:cs="Times New Roman"/>
          <w:sz w:val="24"/>
          <w:szCs w:val="24"/>
        </w:rPr>
      </w:pPr>
      <w:r w:rsidRPr="00CB787C">
        <w:rPr>
          <w:rStyle w:val="EndnoteReference"/>
        </w:rPr>
        <w:endnoteRef/>
      </w:r>
      <w:r w:rsidRPr="00CB787C">
        <w:t xml:space="preserve"> </w:t>
      </w:r>
      <w:r w:rsidRPr="00CB787C">
        <w:rPr>
          <w:rFonts w:ascii="Arial" w:eastAsia="Times New Roman" w:hAnsi="Arial" w:cs="Arial"/>
          <w:b/>
          <w:bCs/>
          <w:sz w:val="20"/>
          <w:szCs w:val="20"/>
        </w:rPr>
        <w:t> </w:t>
      </w:r>
      <w:r w:rsidRPr="00CB787C">
        <w:rPr>
          <w:rFonts w:ascii="Arial" w:eastAsia="Times New Roman" w:hAnsi="Arial" w:cs="Arial"/>
          <w:sz w:val="20"/>
          <w:szCs w:val="20"/>
        </w:rPr>
        <w:t>"Consumerism | Definition Of Consumerism In English By Oxford Dictionaries." </w:t>
      </w:r>
      <w:r w:rsidRPr="00CB787C">
        <w:rPr>
          <w:rFonts w:ascii="Arial" w:eastAsia="Times New Roman" w:hAnsi="Arial" w:cs="Arial"/>
          <w:i/>
          <w:iCs/>
          <w:sz w:val="20"/>
          <w:szCs w:val="20"/>
        </w:rPr>
        <w:t>Oxford Dictionaries | English</w:t>
      </w:r>
      <w:r w:rsidRPr="00CB787C">
        <w:rPr>
          <w:rFonts w:ascii="Arial" w:eastAsia="Times New Roman" w:hAnsi="Arial" w:cs="Arial"/>
          <w:sz w:val="20"/>
          <w:szCs w:val="20"/>
        </w:rPr>
        <w:t>. N.p., 2017. Web. 4 Dec. 2017.</w:t>
      </w:r>
    </w:p>
    <w:p w:rsidR="00EB1255" w:rsidRPr="00CB787C" w:rsidRDefault="00EB1255" w:rsidP="00EB1255">
      <w:pPr>
        <w:pStyle w:val="EndnoteText"/>
      </w:pPr>
    </w:p>
  </w:endnote>
  <w:endnote w:id="12">
    <w:p w:rsidR="007F5E4C" w:rsidRDefault="007F5E4C" w:rsidP="00EB1255">
      <w:pPr>
        <w:pStyle w:val="EndnoteText"/>
        <w:rPr>
          <w:rFonts w:cstheme="minorHAnsi"/>
        </w:rPr>
      </w:pPr>
    </w:p>
    <w:p w:rsidR="007F5E4C" w:rsidRDefault="007F5E4C" w:rsidP="00EB1255">
      <w:pPr>
        <w:pStyle w:val="EndnoteText"/>
        <w:rPr>
          <w:rFonts w:cstheme="minorHAnsi"/>
        </w:rPr>
      </w:pPr>
    </w:p>
    <w:p w:rsidR="00EB1255" w:rsidRPr="00CB787C" w:rsidRDefault="00EB1255" w:rsidP="00EB1255">
      <w:pPr>
        <w:pStyle w:val="EndnoteText"/>
        <w:rPr>
          <w:rFonts w:cstheme="minorHAnsi"/>
        </w:rPr>
      </w:pPr>
      <w:r w:rsidRPr="00CB787C">
        <w:rPr>
          <w:rStyle w:val="EndnoteReference"/>
          <w:rFonts w:cstheme="minorHAnsi"/>
        </w:rPr>
        <w:endnoteRef/>
      </w:r>
      <w:r w:rsidRPr="00CB787C">
        <w:rPr>
          <w:rFonts w:cstheme="minorHAnsi"/>
        </w:rPr>
        <w:t xml:space="preserve"> </w:t>
      </w:r>
      <w:r w:rsidRPr="00CB787C">
        <w:rPr>
          <w:rFonts w:eastAsiaTheme="minorEastAsia" w:cstheme="minorHAnsi"/>
          <w:lang w:val="en-US"/>
        </w:rPr>
        <w:t xml:space="preserve">Dino, Felluga. "Introduction To Julia Kristeva, Module On The Abject." </w:t>
      </w:r>
      <w:r w:rsidRPr="00CB787C">
        <w:rPr>
          <w:rFonts w:eastAsiaTheme="minorEastAsia" w:cstheme="minorHAnsi"/>
          <w:i/>
          <w:iCs/>
          <w:lang w:val="en-US"/>
        </w:rPr>
        <w:t>Cla.purdue.edu</w:t>
      </w:r>
      <w:r w:rsidRPr="00CB787C">
        <w:rPr>
          <w:rFonts w:eastAsiaTheme="minorEastAsia" w:cstheme="minorHAnsi"/>
          <w:lang w:val="en-US"/>
        </w:rPr>
        <w:t xml:space="preserve">. N.p., 2017. Web. 6 Dec. 2017. </w:t>
      </w:r>
    </w:p>
  </w:endnote>
  <w:endnote w:id="13">
    <w:p w:rsidR="00EB1255" w:rsidRPr="00CB787C" w:rsidRDefault="00EB1255" w:rsidP="00EB1255">
      <w:pPr>
        <w:pStyle w:val="EndnoteText"/>
        <w:rPr>
          <w:rFonts w:ascii="Arial" w:hAnsi="Arial" w:cs="Arial"/>
          <w:shd w:val="clear" w:color="auto" w:fill="FFFFFF"/>
        </w:rPr>
      </w:pPr>
      <w:r w:rsidRPr="00CB787C">
        <w:rPr>
          <w:rStyle w:val="EndnoteReference"/>
        </w:rPr>
        <w:endnoteRef/>
      </w:r>
      <w:r w:rsidRPr="00CB787C">
        <w:t xml:space="preserve"> </w:t>
      </w:r>
      <w:r w:rsidRPr="00CB787C">
        <w:rPr>
          <w:rFonts w:ascii="Arial" w:hAnsi="Arial" w:cs="Arial"/>
          <w:shd w:val="clear" w:color="auto" w:fill="FFFFFF"/>
        </w:rPr>
        <w:t>Goya y Lucientes, F. (1808). </w:t>
      </w:r>
      <w:r w:rsidRPr="00CB787C">
        <w:rPr>
          <w:rFonts w:ascii="Arial" w:hAnsi="Arial" w:cs="Arial"/>
          <w:i/>
          <w:iCs/>
          <w:shd w:val="clear" w:color="auto" w:fill="FFFFFF"/>
        </w:rPr>
        <w:t>The Naked Maja</w:t>
      </w:r>
      <w:r w:rsidRPr="00CB787C">
        <w:rPr>
          <w:rFonts w:ascii="Arial" w:hAnsi="Arial" w:cs="Arial"/>
          <w:shd w:val="clear" w:color="auto" w:fill="FFFFFF"/>
        </w:rPr>
        <w:t>. [Oil on canvas] Madrid: Museo Del Prado.</w:t>
      </w:r>
    </w:p>
    <w:p w:rsidR="00EB1255" w:rsidRPr="00CB787C" w:rsidRDefault="00EB1255" w:rsidP="00EB1255">
      <w:pPr>
        <w:pStyle w:val="EndnoteText"/>
      </w:pPr>
    </w:p>
  </w:endnote>
  <w:endnote w:id="14">
    <w:p w:rsidR="00EB1255" w:rsidRPr="00CB787C" w:rsidRDefault="00EB1255" w:rsidP="00EB1255">
      <w:pPr>
        <w:pStyle w:val="EndnoteText"/>
        <w:rPr>
          <w:rFonts w:ascii="Arial" w:hAnsi="Arial" w:cs="Arial"/>
          <w:shd w:val="clear" w:color="auto" w:fill="FFFFFF"/>
        </w:rPr>
      </w:pPr>
      <w:r w:rsidRPr="00CB787C">
        <w:rPr>
          <w:rStyle w:val="EndnoteReference"/>
        </w:rPr>
        <w:endnoteRef/>
      </w:r>
      <w:r w:rsidRPr="00CB787C">
        <w:t xml:space="preserve"> </w:t>
      </w:r>
      <w:r w:rsidRPr="00CB787C">
        <w:rPr>
          <w:rFonts w:ascii="Arial" w:hAnsi="Arial" w:cs="Arial"/>
          <w:shd w:val="clear" w:color="auto" w:fill="FFFFFF"/>
        </w:rPr>
        <w:t>American Apparel (2017). </w:t>
      </w:r>
      <w:r w:rsidRPr="00CB787C">
        <w:rPr>
          <w:rFonts w:ascii="Arial" w:hAnsi="Arial" w:cs="Arial"/>
          <w:i/>
          <w:iCs/>
          <w:shd w:val="clear" w:color="auto" w:fill="FFFFFF"/>
        </w:rPr>
        <w:t>Woman in bikini</w:t>
      </w:r>
      <w:r w:rsidRPr="00CB787C">
        <w:rPr>
          <w:rFonts w:ascii="Arial" w:hAnsi="Arial" w:cs="Arial"/>
          <w:shd w:val="clear" w:color="auto" w:fill="FFFFFF"/>
        </w:rPr>
        <w:t xml:space="preserve">. [image] Available at: http://www.esquire.com/style/mens-fashion/g2442/american-apparel-ads/ [Accessed 11 Dec. 2017]. </w:t>
      </w:r>
    </w:p>
    <w:p w:rsidR="00EB1255" w:rsidRPr="00CB787C" w:rsidRDefault="00EB1255" w:rsidP="00EB1255">
      <w:pPr>
        <w:pStyle w:val="EndnoteText"/>
        <w:rPr>
          <w:rFonts w:ascii="Arial" w:hAnsi="Arial" w:cs="Arial"/>
          <w:shd w:val="clear" w:color="auto" w:fill="FFFFFF"/>
        </w:rPr>
      </w:pPr>
    </w:p>
    <w:p w:rsidR="00EB1255" w:rsidRPr="00CB787C" w:rsidRDefault="00EB1255" w:rsidP="00EB1255">
      <w:pPr>
        <w:pStyle w:val="EndnoteText"/>
      </w:pPr>
    </w:p>
  </w:endnote>
  <w:endnote w:id="15">
    <w:p w:rsidR="00EB1255" w:rsidRPr="00CB787C" w:rsidRDefault="00EB1255" w:rsidP="00EB1255">
      <w:pPr>
        <w:pStyle w:val="EndnoteText"/>
      </w:pPr>
      <w:r w:rsidRPr="00CB787C">
        <w:rPr>
          <w:rStyle w:val="EndnoteReference"/>
        </w:rPr>
        <w:endnoteRef/>
      </w:r>
      <w:r w:rsidRPr="00CB787C">
        <w:t xml:space="preserve"> </w:t>
      </w:r>
      <w:r w:rsidRPr="00CB787C">
        <w:rPr>
          <w:rFonts w:ascii="Arial" w:hAnsi="Arial" w:cs="Arial"/>
          <w:shd w:val="clear" w:color="auto" w:fill="FFFFFF"/>
        </w:rPr>
        <w:t>Goya y Lucientes, F. (1804). </w:t>
      </w:r>
      <w:r w:rsidRPr="00CB787C">
        <w:rPr>
          <w:rFonts w:ascii="Arial" w:hAnsi="Arial" w:cs="Arial"/>
          <w:i/>
          <w:iCs/>
          <w:shd w:val="clear" w:color="auto" w:fill="FFFFFF"/>
        </w:rPr>
        <w:t>The Naked Maja</w:t>
      </w:r>
      <w:r w:rsidRPr="00CB787C">
        <w:rPr>
          <w:rFonts w:ascii="Arial" w:hAnsi="Arial" w:cs="Arial"/>
          <w:shd w:val="clear" w:color="auto" w:fill="FFFFFF"/>
        </w:rPr>
        <w:t xml:space="preserve">. [Oil on canvas] Madrid: Museo del Prado. </w:t>
      </w:r>
    </w:p>
  </w:endnote>
  <w:endnote w:id="16">
    <w:p w:rsidR="007F5E4C" w:rsidRDefault="007F5E4C">
      <w:pPr>
        <w:pStyle w:val="EndnoteText"/>
      </w:pPr>
    </w:p>
    <w:p w:rsidR="006921CD" w:rsidRDefault="006921CD">
      <w:pPr>
        <w:pStyle w:val="EndnoteText"/>
      </w:pPr>
      <w:r>
        <w:rPr>
          <w:rStyle w:val="EndnoteReference"/>
        </w:rPr>
        <w:endnoteRef/>
      </w:r>
      <w:r>
        <w:t xml:space="preserve"> </w:t>
      </w:r>
      <w:r w:rsidRPr="00CB787C">
        <w:rPr>
          <w:rFonts w:ascii="Arial" w:hAnsi="Arial" w:cs="Arial"/>
          <w:shd w:val="clear" w:color="auto" w:fill="FFFFFF"/>
        </w:rPr>
        <w:t>Goya y Lucientes, F. (1804). </w:t>
      </w:r>
      <w:r w:rsidRPr="00CB787C">
        <w:rPr>
          <w:rFonts w:ascii="Arial" w:hAnsi="Arial" w:cs="Arial"/>
          <w:i/>
          <w:iCs/>
          <w:shd w:val="clear" w:color="auto" w:fill="FFFFFF"/>
        </w:rPr>
        <w:t>The Naked Maja</w:t>
      </w:r>
      <w:r w:rsidRPr="00CB787C">
        <w:rPr>
          <w:rFonts w:ascii="Arial" w:hAnsi="Arial" w:cs="Arial"/>
          <w:shd w:val="clear" w:color="auto" w:fill="FFFFFF"/>
        </w:rPr>
        <w:t>. [Oil on canvas] Madrid: Museo del Prado.</w:t>
      </w:r>
      <w:r>
        <w:rPr>
          <w:rFonts w:ascii="Arial" w:hAnsi="Arial" w:cs="Arial"/>
          <w:shd w:val="clear" w:color="auto" w:fill="FFFFFF"/>
        </w:rPr>
        <w:t xml:space="preserve"> </w:t>
      </w:r>
    </w:p>
  </w:endnote>
  <w:endnote w:id="17">
    <w:p w:rsidR="00EB1255" w:rsidRPr="00CB787C" w:rsidRDefault="00EB1255" w:rsidP="00EB1255">
      <w:pPr>
        <w:pStyle w:val="NormalWeb"/>
        <w:spacing w:before="0" w:beforeAutospacing="0" w:after="0" w:afterAutospacing="0" w:line="360" w:lineRule="atLeast"/>
        <w:ind w:hanging="120"/>
        <w:rPr>
          <w:rFonts w:ascii="Arial" w:eastAsia="Times New Roman" w:hAnsi="Arial" w:cs="Arial"/>
          <w:sz w:val="20"/>
          <w:szCs w:val="20"/>
          <w:lang w:eastAsia="en-GB"/>
        </w:rPr>
      </w:pPr>
      <w:r w:rsidRPr="00CB787C">
        <w:rPr>
          <w:rStyle w:val="EndnoteReference"/>
        </w:rPr>
        <w:endnoteRef/>
      </w:r>
      <w:r w:rsidRPr="00CB787C">
        <w:t xml:space="preserve"> </w:t>
      </w:r>
      <w:r w:rsidRPr="00CB787C">
        <w:rPr>
          <w:rFonts w:ascii="Arial" w:eastAsia="Times New Roman" w:hAnsi="Arial" w:cs="Arial"/>
          <w:sz w:val="20"/>
          <w:szCs w:val="20"/>
          <w:lang w:eastAsia="en-GB"/>
        </w:rPr>
        <w:t>Berger, J. (1972). </w:t>
      </w:r>
      <w:r w:rsidRPr="00CB787C">
        <w:rPr>
          <w:rFonts w:ascii="Arial" w:eastAsia="Times New Roman" w:hAnsi="Arial" w:cs="Arial"/>
          <w:i/>
          <w:iCs/>
          <w:sz w:val="20"/>
          <w:szCs w:val="20"/>
          <w:lang w:eastAsia="en-GB"/>
        </w:rPr>
        <w:t>Ways of seeing</w:t>
      </w:r>
      <w:r w:rsidRPr="00CB787C">
        <w:rPr>
          <w:rFonts w:ascii="Arial" w:eastAsia="Times New Roman" w:hAnsi="Arial" w:cs="Arial"/>
          <w:sz w:val="20"/>
          <w:szCs w:val="20"/>
          <w:lang w:eastAsia="en-GB"/>
        </w:rPr>
        <w:t xml:space="preserve">. 1st ed. London: British Broadcasting Corporation and Penguin Books, p.55. </w:t>
      </w:r>
    </w:p>
    <w:p w:rsidR="00EB1255" w:rsidRPr="00CB787C" w:rsidRDefault="00EB1255" w:rsidP="00EB1255">
      <w:pPr>
        <w:pStyle w:val="EndnoteText"/>
      </w:pPr>
    </w:p>
  </w:endnote>
  <w:endnote w:id="18">
    <w:p w:rsidR="00EB1255" w:rsidRPr="00CB787C" w:rsidRDefault="00EB1255" w:rsidP="00EB1255">
      <w:pPr>
        <w:pStyle w:val="EndnoteText"/>
      </w:pPr>
      <w:r w:rsidRPr="00CB787C">
        <w:rPr>
          <w:rStyle w:val="EndnoteReference"/>
        </w:rPr>
        <w:endnoteRef/>
      </w:r>
      <w:r w:rsidRPr="00CB787C">
        <w:t xml:space="preserve"> </w:t>
      </w:r>
      <w:r w:rsidRPr="00CB787C">
        <w:rPr>
          <w:rFonts w:ascii="Arial" w:eastAsia="Times New Roman" w:hAnsi="Arial" w:cs="Arial"/>
          <w:lang w:eastAsia="en-GB"/>
        </w:rPr>
        <w:t>Berger, J. (1972). </w:t>
      </w:r>
      <w:r w:rsidRPr="00CB787C">
        <w:rPr>
          <w:rFonts w:ascii="Arial" w:eastAsia="Times New Roman" w:hAnsi="Arial" w:cs="Arial"/>
          <w:i/>
          <w:iCs/>
          <w:lang w:eastAsia="en-GB"/>
        </w:rPr>
        <w:t>Ways of seeing</w:t>
      </w:r>
      <w:r w:rsidRPr="00CB787C">
        <w:rPr>
          <w:rFonts w:ascii="Arial" w:eastAsia="Times New Roman" w:hAnsi="Arial" w:cs="Arial"/>
          <w:lang w:eastAsia="en-GB"/>
        </w:rPr>
        <w:t xml:space="preserve">. 1st ed. London: British Broadcasting Corporation and Penguin Books, p.51. </w:t>
      </w:r>
    </w:p>
  </w:endnote>
  <w:endnote w:id="19">
    <w:p w:rsidR="006921CD" w:rsidRDefault="006921CD">
      <w:pPr>
        <w:pStyle w:val="EndnoteText"/>
      </w:pPr>
    </w:p>
    <w:p w:rsidR="006921CD" w:rsidRDefault="006921CD">
      <w:pPr>
        <w:pStyle w:val="EndnoteText"/>
      </w:pPr>
      <w:r>
        <w:rPr>
          <w:rStyle w:val="EndnoteReference"/>
        </w:rPr>
        <w:endnoteRef/>
      </w:r>
      <w:r>
        <w:t xml:space="preserve"> </w:t>
      </w:r>
      <w:r w:rsidRPr="00CB787C">
        <w:rPr>
          <w:rFonts w:ascii="Arial" w:eastAsia="Times New Roman" w:hAnsi="Arial" w:cs="Arial"/>
          <w:lang w:eastAsia="en-GB"/>
        </w:rPr>
        <w:t>Berger, J. (1972). </w:t>
      </w:r>
      <w:r w:rsidRPr="00CB787C">
        <w:rPr>
          <w:rFonts w:ascii="Arial" w:eastAsia="Times New Roman" w:hAnsi="Arial" w:cs="Arial"/>
          <w:i/>
          <w:iCs/>
          <w:lang w:eastAsia="en-GB"/>
        </w:rPr>
        <w:t>Ways of seeing</w:t>
      </w:r>
      <w:r w:rsidRPr="00CB787C">
        <w:rPr>
          <w:rFonts w:ascii="Arial" w:eastAsia="Times New Roman" w:hAnsi="Arial" w:cs="Arial"/>
          <w:lang w:eastAsia="en-GB"/>
        </w:rPr>
        <w:t>. 1st ed. London: British Broadcasting Cor</w:t>
      </w:r>
      <w:r>
        <w:rPr>
          <w:rFonts w:ascii="Arial" w:eastAsia="Times New Roman" w:hAnsi="Arial" w:cs="Arial"/>
          <w:lang w:eastAsia="en-GB"/>
        </w:rPr>
        <w:t>poration and Penguin Books, p.51</w:t>
      </w:r>
      <w:r w:rsidRPr="00CB787C">
        <w:rPr>
          <w:rFonts w:ascii="Arial" w:eastAsia="Times New Roman" w:hAnsi="Arial" w:cs="Arial"/>
          <w:lang w:eastAsia="en-GB"/>
        </w:rPr>
        <w:t>.</w:t>
      </w:r>
      <w:r>
        <w:rPr>
          <w:rFonts w:ascii="Arial" w:eastAsia="Times New Roman" w:hAnsi="Arial" w:cs="Arial"/>
          <w:lang w:eastAsia="en-GB"/>
        </w:rPr>
        <w:t xml:space="preserve"> </w:t>
      </w:r>
    </w:p>
  </w:endnote>
  <w:endnote w:id="20">
    <w:p w:rsidR="006921CD" w:rsidRDefault="006921CD">
      <w:pPr>
        <w:pStyle w:val="EndnoteText"/>
      </w:pPr>
      <w:r>
        <w:rPr>
          <w:rStyle w:val="EndnoteReference"/>
        </w:rPr>
        <w:endnoteRef/>
      </w:r>
      <w:r>
        <w:t xml:space="preserve"> </w:t>
      </w:r>
      <w:r w:rsidRPr="00CB787C">
        <w:rPr>
          <w:rFonts w:ascii="Arial" w:eastAsia="Times New Roman" w:hAnsi="Arial" w:cs="Arial"/>
          <w:lang w:eastAsia="en-GB"/>
        </w:rPr>
        <w:t>Berger, J. (1972). </w:t>
      </w:r>
      <w:r w:rsidRPr="00CB787C">
        <w:rPr>
          <w:rFonts w:ascii="Arial" w:eastAsia="Times New Roman" w:hAnsi="Arial" w:cs="Arial"/>
          <w:i/>
          <w:iCs/>
          <w:lang w:eastAsia="en-GB"/>
        </w:rPr>
        <w:t>Ways of seeing</w:t>
      </w:r>
      <w:r w:rsidRPr="00CB787C">
        <w:rPr>
          <w:rFonts w:ascii="Arial" w:eastAsia="Times New Roman" w:hAnsi="Arial" w:cs="Arial"/>
          <w:lang w:eastAsia="en-GB"/>
        </w:rPr>
        <w:t>. 1st ed. London: British Broadcasting Cor</w:t>
      </w:r>
      <w:r>
        <w:rPr>
          <w:rFonts w:ascii="Arial" w:eastAsia="Times New Roman" w:hAnsi="Arial" w:cs="Arial"/>
          <w:lang w:eastAsia="en-GB"/>
        </w:rPr>
        <w:t>poration and Penguin Books, p.51</w:t>
      </w:r>
      <w:r w:rsidRPr="00CB787C">
        <w:rPr>
          <w:rFonts w:ascii="Arial" w:eastAsia="Times New Roman" w:hAnsi="Arial" w:cs="Arial"/>
          <w:lang w:eastAsia="en-GB"/>
        </w:rPr>
        <w:t>.</w:t>
      </w:r>
      <w:r>
        <w:rPr>
          <w:rFonts w:ascii="Arial" w:eastAsia="Times New Roman" w:hAnsi="Arial" w:cs="Arial"/>
          <w:lang w:eastAsia="en-GB"/>
        </w:rPr>
        <w:t xml:space="preserve"> </w:t>
      </w:r>
    </w:p>
  </w:endnote>
  <w:endnote w:id="21">
    <w:p w:rsidR="006921CD" w:rsidRDefault="006921CD">
      <w:pPr>
        <w:pStyle w:val="EndnoteText"/>
      </w:pPr>
      <w:r>
        <w:rPr>
          <w:rStyle w:val="EndnoteReference"/>
        </w:rPr>
        <w:endnoteRef/>
      </w:r>
      <w:r>
        <w:t xml:space="preserve"> </w:t>
      </w:r>
    </w:p>
  </w:endnote>
  <w:endnote w:id="22">
    <w:p w:rsidR="00EB1255" w:rsidRPr="00CB787C" w:rsidRDefault="00EB1255" w:rsidP="00EB1255">
      <w:pPr>
        <w:pStyle w:val="EndnoteText"/>
      </w:pPr>
      <w:r w:rsidRPr="00CB787C">
        <w:rPr>
          <w:rStyle w:val="EndnoteReference"/>
        </w:rPr>
        <w:endnoteRef/>
      </w:r>
      <w:r w:rsidRPr="00CB787C">
        <w:t xml:space="preserve"> </w:t>
      </w:r>
      <w:r w:rsidRPr="00CB787C">
        <w:rPr>
          <w:rFonts w:eastAsiaTheme="minorEastAsia" w:cstheme="minorHAnsi"/>
          <w:sz w:val="22"/>
          <w:szCs w:val="24"/>
          <w:lang w:val="en-US"/>
        </w:rPr>
        <w:t xml:space="preserve">Glancy, Jennifer A.. "Susanna: Apocrypha." </w:t>
      </w:r>
      <w:r w:rsidRPr="00CB787C">
        <w:rPr>
          <w:rFonts w:eastAsiaTheme="minorEastAsia" w:cstheme="minorHAnsi"/>
          <w:i/>
          <w:iCs/>
          <w:sz w:val="22"/>
          <w:szCs w:val="24"/>
          <w:lang w:val="en-US"/>
        </w:rPr>
        <w:t>Jewish Women: A Comprehensive Historical Encyclopedia</w:t>
      </w:r>
      <w:r w:rsidRPr="00CB787C">
        <w:rPr>
          <w:rFonts w:eastAsiaTheme="minorEastAsia" w:cstheme="minorHAnsi"/>
          <w:sz w:val="22"/>
          <w:szCs w:val="24"/>
          <w:lang w:val="en-US"/>
        </w:rPr>
        <w:t>. 1 March 2009. Jewish Women's Archive. (Viewed on December 11, 2017) &lt;https://jwa.org/encyclopedia/article/susanna-apocrypha&gt;.</w:t>
      </w:r>
      <w:r w:rsidRPr="00CB787C">
        <w:rPr>
          <w:rFonts w:ascii="Arial" w:eastAsiaTheme="minorEastAsia" w:hAnsi="Arial" w:cs="Arial"/>
          <w:sz w:val="22"/>
          <w:szCs w:val="24"/>
          <w:lang w:val="en-US"/>
        </w:rPr>
        <w:t xml:space="preserve"> </w:t>
      </w:r>
    </w:p>
  </w:endnote>
  <w:endnote w:id="23">
    <w:p w:rsidR="006921CD" w:rsidRDefault="006921CD">
      <w:pPr>
        <w:pStyle w:val="EndnoteText"/>
        <w:rPr>
          <w:rFonts w:ascii="Arial" w:hAnsi="Arial" w:cs="Arial"/>
          <w:shd w:val="clear" w:color="auto" w:fill="FFFFFF"/>
        </w:rPr>
      </w:pPr>
    </w:p>
    <w:p w:rsidR="0095033F" w:rsidRPr="00CB787C" w:rsidRDefault="0062614E">
      <w:pPr>
        <w:pStyle w:val="EndnoteText"/>
        <w:rPr>
          <w:rFonts w:ascii="Arial" w:hAnsi="Arial" w:cs="Arial"/>
          <w:shd w:val="clear" w:color="auto" w:fill="FFF5AA"/>
        </w:rPr>
      </w:pPr>
      <w:r w:rsidRPr="00CB787C">
        <w:rPr>
          <w:rStyle w:val="EndnoteReference"/>
        </w:rPr>
        <w:endnoteRef/>
      </w:r>
      <w:r w:rsidR="0095033F" w:rsidRPr="00CB787C">
        <w:rPr>
          <w:rFonts w:ascii="Arial" w:hAnsi="Arial" w:cs="Arial"/>
          <w:shd w:val="clear" w:color="auto" w:fill="FFFFFF"/>
        </w:rPr>
        <w:t>Watts, J. (2017). </w:t>
      </w:r>
      <w:r w:rsidR="0095033F" w:rsidRPr="00CB787C">
        <w:rPr>
          <w:rFonts w:ascii="Arial" w:hAnsi="Arial" w:cs="Arial"/>
          <w:i/>
          <w:iCs/>
          <w:shd w:val="clear" w:color="auto" w:fill="FFFFFF"/>
        </w:rPr>
        <w:t>Senior Tory calls to 'clean out the stables' after first resignation over sexual harassment scandal</w:t>
      </w:r>
      <w:r w:rsidR="0095033F" w:rsidRPr="00CB787C">
        <w:rPr>
          <w:rFonts w:ascii="Arial" w:hAnsi="Arial" w:cs="Arial"/>
          <w:shd w:val="clear" w:color="auto" w:fill="FFFFFF"/>
        </w:rPr>
        <w:t xml:space="preserve">. [online] The Independent. Available at: http://www.independent.co.uk/news/uk/politics/harassment-scandal-deepens-ruth-davidson-westminster-sexual-harassment-sir-michael-fallon-resign-a8032846.html [Accessed 4 Dec. 2017]. </w:t>
      </w:r>
    </w:p>
    <w:p w:rsidR="0095033F" w:rsidRPr="00CB787C" w:rsidRDefault="0095033F">
      <w:pPr>
        <w:pStyle w:val="EndnoteText"/>
      </w:pPr>
    </w:p>
  </w:endnote>
  <w:endnote w:id="24">
    <w:p w:rsidR="00F46FCF" w:rsidRPr="00CB787C" w:rsidRDefault="00F46FCF">
      <w:pPr>
        <w:pStyle w:val="EndnoteText"/>
      </w:pPr>
      <w:r w:rsidRPr="00CB787C">
        <w:rPr>
          <w:rStyle w:val="EndnoteReference"/>
        </w:rPr>
        <w:endnoteRef/>
      </w:r>
      <w:r w:rsidRPr="00CB787C">
        <w:t xml:space="preserve"> </w:t>
      </w:r>
      <w:r w:rsidRPr="00CB787C">
        <w:rPr>
          <w:rFonts w:ascii="Arial" w:eastAsia="Times New Roman" w:hAnsi="Arial" w:cs="Arial"/>
          <w:lang w:eastAsia="en-GB"/>
        </w:rPr>
        <w:t>Berger, J. (1972). </w:t>
      </w:r>
      <w:r w:rsidRPr="00CB787C">
        <w:rPr>
          <w:rFonts w:ascii="Arial" w:eastAsia="Times New Roman" w:hAnsi="Arial" w:cs="Arial"/>
          <w:i/>
          <w:iCs/>
          <w:lang w:eastAsia="en-GB"/>
        </w:rPr>
        <w:t>Ways of seeing</w:t>
      </w:r>
      <w:r w:rsidRPr="00CB787C">
        <w:rPr>
          <w:rFonts w:ascii="Arial" w:eastAsia="Times New Roman" w:hAnsi="Arial" w:cs="Arial"/>
          <w:lang w:eastAsia="en-GB"/>
        </w:rPr>
        <w:t>. 1st ed. London: British Broadcasting Cor</w:t>
      </w:r>
      <w:r w:rsidRPr="00CB787C">
        <w:rPr>
          <w:rFonts w:ascii="Arial" w:eastAsia="Times New Roman" w:hAnsi="Arial" w:cs="Arial"/>
          <w:lang w:eastAsia="en-GB"/>
        </w:rPr>
        <w:t>poration and Penguin Books, p.5</w:t>
      </w:r>
      <w:r w:rsidRPr="00CB787C">
        <w:rPr>
          <w:rFonts w:ascii="Arial" w:eastAsia="Times New Roman" w:hAnsi="Arial" w:cs="Arial"/>
          <w:lang w:eastAsia="en-GB"/>
        </w:rPr>
        <w:t>.</w:t>
      </w:r>
      <w:r w:rsidRPr="00CB787C">
        <w:rPr>
          <w:rFonts w:ascii="Arial" w:eastAsia="Times New Roman" w:hAnsi="Arial" w:cs="Arial"/>
          <w:lang w:eastAsia="en-GB"/>
        </w:rPr>
        <w:t xml:space="preserve"> </w:t>
      </w:r>
    </w:p>
  </w:endnote>
  <w:endnote w:id="25">
    <w:p w:rsidR="006921CD" w:rsidRDefault="006921CD">
      <w:pPr>
        <w:pStyle w:val="EndnoteText"/>
      </w:pPr>
    </w:p>
    <w:p w:rsidR="00561350" w:rsidRPr="00CB787C" w:rsidRDefault="00561350">
      <w:pPr>
        <w:pStyle w:val="EndnoteText"/>
      </w:pPr>
      <w:r w:rsidRPr="00CB787C">
        <w:rPr>
          <w:rStyle w:val="EndnoteReference"/>
        </w:rPr>
        <w:endnoteRef/>
      </w:r>
      <w:r w:rsidRPr="00CB787C">
        <w:t xml:space="preserve"> </w:t>
      </w:r>
      <w:r w:rsidR="007E4AE7" w:rsidRPr="00CB787C">
        <w:rPr>
          <w:rFonts w:ascii="Arial" w:eastAsia="Times New Roman" w:hAnsi="Arial" w:cs="Arial"/>
          <w:lang w:eastAsia="en-GB"/>
        </w:rPr>
        <w:t>Berger, J. (1972). </w:t>
      </w:r>
      <w:r w:rsidR="007E4AE7" w:rsidRPr="00CB787C">
        <w:rPr>
          <w:rFonts w:ascii="Arial" w:eastAsia="Times New Roman" w:hAnsi="Arial" w:cs="Arial"/>
          <w:i/>
          <w:iCs/>
          <w:lang w:eastAsia="en-GB"/>
        </w:rPr>
        <w:t>Ways of seeing</w:t>
      </w:r>
      <w:r w:rsidR="007E4AE7" w:rsidRPr="00CB787C">
        <w:rPr>
          <w:rFonts w:ascii="Arial" w:eastAsia="Times New Roman" w:hAnsi="Arial" w:cs="Arial"/>
          <w:lang w:eastAsia="en-GB"/>
        </w:rPr>
        <w:t>. 1st ed. London: British Broadcasting Cor</w:t>
      </w:r>
      <w:r w:rsidR="007E4AE7" w:rsidRPr="00CB787C">
        <w:rPr>
          <w:rFonts w:ascii="Arial" w:eastAsia="Times New Roman" w:hAnsi="Arial" w:cs="Arial"/>
          <w:lang w:eastAsia="en-GB"/>
        </w:rPr>
        <w:t>poration and Penguin Books, p.7</w:t>
      </w:r>
      <w:r w:rsidR="007E4AE7" w:rsidRPr="00CB787C">
        <w:rPr>
          <w:rFonts w:ascii="Arial" w:eastAsia="Times New Roman" w:hAnsi="Arial" w:cs="Arial"/>
          <w:lang w:eastAsia="en-GB"/>
        </w:rPr>
        <w:t>.</w:t>
      </w:r>
      <w:r w:rsidR="007E4AE7" w:rsidRPr="00CB787C">
        <w:rPr>
          <w:rFonts w:ascii="Arial" w:eastAsia="Times New Roman" w:hAnsi="Arial" w:cs="Arial"/>
          <w:lang w:eastAsia="en-GB"/>
        </w:rPr>
        <w:t xml:space="preserve"> </w:t>
      </w:r>
    </w:p>
  </w:endnote>
  <w:endnote w:id="26">
    <w:p w:rsidR="006921CD" w:rsidRDefault="006921CD">
      <w:pPr>
        <w:pStyle w:val="EndnoteText"/>
      </w:pPr>
    </w:p>
    <w:p w:rsidR="001E1068" w:rsidRDefault="001E1068">
      <w:pPr>
        <w:pStyle w:val="EndnoteText"/>
        <w:rPr>
          <w:rFonts w:ascii="Arial" w:hAnsi="Arial" w:cs="Arial"/>
          <w:color w:val="666666"/>
          <w:shd w:val="clear" w:color="auto" w:fill="FFFFFF"/>
        </w:rPr>
      </w:pPr>
      <w:r w:rsidRPr="00CB787C">
        <w:rPr>
          <w:rStyle w:val="EndnoteReference"/>
        </w:rPr>
        <w:endnoteRef/>
      </w:r>
      <w:r w:rsidRPr="00CB787C">
        <w:t xml:space="preserve"> </w:t>
      </w:r>
      <w:r w:rsidR="006921CD">
        <w:rPr>
          <w:rFonts w:ascii="Arial" w:hAnsi="Arial" w:cs="Arial"/>
          <w:color w:val="666666"/>
          <w:shd w:val="clear" w:color="auto" w:fill="FFFFFF"/>
        </w:rPr>
        <w:t>Fox, K. (1997). </w:t>
      </w:r>
      <w:r w:rsidR="006921CD">
        <w:rPr>
          <w:rFonts w:ascii="Arial" w:hAnsi="Arial" w:cs="Arial"/>
          <w:i/>
          <w:iCs/>
          <w:color w:val="666666"/>
          <w:shd w:val="clear" w:color="auto" w:fill="FFFFFF"/>
        </w:rPr>
        <w:t>Mirror, mirror - A summary of research findings on body image</w:t>
      </w:r>
      <w:r w:rsidR="006921CD">
        <w:rPr>
          <w:rFonts w:ascii="Arial" w:hAnsi="Arial" w:cs="Arial"/>
          <w:color w:val="666666"/>
          <w:shd w:val="clear" w:color="auto" w:fill="FFFFFF"/>
        </w:rPr>
        <w:t>. [online] Sirc.org. Available at: http://www.sirc.org/publik/mirror.html [Accessed 13 Dec. 2017].</w:t>
      </w:r>
      <w:r w:rsidR="006921CD">
        <w:rPr>
          <w:rFonts w:ascii="Arial" w:hAnsi="Arial" w:cs="Arial"/>
          <w:color w:val="666666"/>
          <w:shd w:val="clear" w:color="auto" w:fill="FFFFFF"/>
        </w:rPr>
        <w:t xml:space="preserve"> </w:t>
      </w:r>
    </w:p>
    <w:p w:rsidR="006921CD" w:rsidRPr="00CB787C" w:rsidRDefault="006921CD">
      <w:pPr>
        <w:pStyle w:val="EndnoteText"/>
      </w:pPr>
    </w:p>
  </w:endnote>
  <w:endnote w:id="27">
    <w:p w:rsidR="00CB787C" w:rsidRPr="00CB787C" w:rsidRDefault="00CB787C" w:rsidP="00CB787C">
      <w:pPr>
        <w:pStyle w:val="EndnoteText"/>
      </w:pPr>
      <w:r w:rsidRPr="00CB787C">
        <w:rPr>
          <w:rStyle w:val="EndnoteReference"/>
        </w:rPr>
        <w:endnoteRef/>
      </w:r>
      <w:r w:rsidRPr="00CB787C">
        <w:t xml:space="preserve"> </w:t>
      </w:r>
      <w:r w:rsidRPr="00CB787C">
        <w:rPr>
          <w:rFonts w:eastAsiaTheme="minorEastAsia" w:cstheme="minorHAnsi"/>
          <w:sz w:val="22"/>
          <w:szCs w:val="24"/>
          <w:lang w:val="en-US"/>
        </w:rPr>
        <w:t xml:space="preserve">Glancy, Jennifer A.. "Susanna: Apocrypha." </w:t>
      </w:r>
      <w:r w:rsidRPr="00CB787C">
        <w:rPr>
          <w:rFonts w:eastAsiaTheme="minorEastAsia" w:cstheme="minorHAnsi"/>
          <w:i/>
          <w:iCs/>
          <w:sz w:val="22"/>
          <w:szCs w:val="24"/>
          <w:lang w:val="en-US"/>
        </w:rPr>
        <w:t>Jewish Women: A Comprehensive Historical Encyclopedia</w:t>
      </w:r>
      <w:r w:rsidRPr="00CB787C">
        <w:rPr>
          <w:rFonts w:eastAsiaTheme="minorEastAsia" w:cstheme="minorHAnsi"/>
          <w:sz w:val="22"/>
          <w:szCs w:val="24"/>
          <w:lang w:val="en-US"/>
        </w:rPr>
        <w:t>. 1 March 2009. Jewish Women's Archive. (</w:t>
      </w:r>
      <w:bookmarkStart w:id="0" w:name="_GoBack"/>
      <w:bookmarkEnd w:id="0"/>
      <w:r w:rsidRPr="00CB787C">
        <w:rPr>
          <w:rFonts w:eastAsiaTheme="minorEastAsia" w:cstheme="minorHAnsi"/>
          <w:sz w:val="22"/>
          <w:szCs w:val="24"/>
          <w:lang w:val="en-US"/>
        </w:rPr>
        <w:t>Viewed on December 11, 2017) &lt;https://jwa.org/encyclopedia/article/susanna-apocrypha&gt;.</w:t>
      </w:r>
      <w:r w:rsidRPr="00CB787C">
        <w:rPr>
          <w:rFonts w:ascii="Arial" w:eastAsiaTheme="minorEastAsia" w:hAnsi="Arial" w:cs="Arial"/>
          <w:sz w:val="22"/>
          <w:szCs w:val="24"/>
          <w:lang w:val="en-US"/>
        </w:rPr>
        <w:t xml:space="preserve"> </w:t>
      </w:r>
      <w:r w:rsidRPr="00CB787C">
        <w:rPr>
          <w:rFonts w:ascii="Arial" w:eastAsiaTheme="minorEastAsia" w:hAnsi="Arial" w:cs="Arial"/>
          <w:sz w:val="22"/>
          <w:szCs w:val="24"/>
          <w:lang w:val="en-US"/>
        </w:rPr>
        <w:t xml:space="preserve"> </w:t>
      </w:r>
    </w:p>
    <w:p w:rsidR="00CB787C" w:rsidRDefault="00CB787C">
      <w:pPr>
        <w:pStyle w:val="EndnoteText"/>
      </w:pPr>
    </w:p>
  </w:endnote>
  <w:endnote w:id="28">
    <w:p w:rsidR="009C2D12" w:rsidRDefault="00671D73" w:rsidP="009C2D12">
      <w:pPr>
        <w:pStyle w:val="EndnoteText"/>
        <w:rPr>
          <w:rFonts w:ascii="Arial" w:hAnsi="Arial" w:cs="Arial"/>
          <w:color w:val="666666"/>
          <w:shd w:val="clear" w:color="auto" w:fill="FFFFFF"/>
        </w:rPr>
      </w:pPr>
      <w:r>
        <w:rPr>
          <w:rStyle w:val="EndnoteReference"/>
        </w:rPr>
        <w:endnoteRef/>
      </w:r>
      <w:r>
        <w:t xml:space="preserve"> </w:t>
      </w:r>
      <w:r w:rsidR="009C2D12">
        <w:rPr>
          <w:rFonts w:ascii="Arial" w:hAnsi="Arial" w:cs="Arial"/>
          <w:color w:val="666666"/>
          <w:shd w:val="clear" w:color="auto" w:fill="FFFFFF"/>
        </w:rPr>
        <w:t>Younge, G. (2009). </w:t>
      </w:r>
      <w:r w:rsidR="009C2D12">
        <w:rPr>
          <w:rFonts w:ascii="Arial" w:hAnsi="Arial" w:cs="Arial"/>
          <w:i/>
          <w:iCs/>
          <w:color w:val="666666"/>
          <w:shd w:val="clear" w:color="auto" w:fill="FFFFFF"/>
        </w:rPr>
        <w:t>Interview: Desmond Tutu</w:t>
      </w:r>
      <w:r w:rsidR="009C2D12">
        <w:rPr>
          <w:rFonts w:ascii="Arial" w:hAnsi="Arial" w:cs="Arial"/>
          <w:color w:val="666666"/>
          <w:shd w:val="clear" w:color="auto" w:fill="FFFFFF"/>
        </w:rPr>
        <w:t>. [online] the Guardian. Available at: https://www.theguardian.com/books/2009/may/23/interview-desmond-tutu [Accessed 2 Dec. 2017].</w:t>
      </w:r>
      <w:r w:rsidR="009C2D12">
        <w:rPr>
          <w:rFonts w:ascii="Arial" w:hAnsi="Arial" w:cs="Arial"/>
          <w:color w:val="666666"/>
          <w:shd w:val="clear" w:color="auto" w:fill="FFFFFF"/>
        </w:rPr>
        <w:t xml:space="preserve"> </w:t>
      </w:r>
    </w:p>
    <w:p w:rsidR="009C2D12" w:rsidRDefault="009C2D12" w:rsidP="009C2D12">
      <w:pPr>
        <w:pStyle w:val="EndnoteText"/>
      </w:pPr>
    </w:p>
    <w:p w:rsidR="009C2D12" w:rsidRDefault="009C2D12">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76751421"/>
      <w:docPartObj>
        <w:docPartGallery w:val="Page Numbers (Bottom of Page)"/>
        <w:docPartUnique/>
      </w:docPartObj>
    </w:sdtPr>
    <w:sdtEndPr>
      <w:rPr>
        <w:noProof/>
      </w:rPr>
    </w:sdtEndPr>
    <w:sdtContent>
      <w:p w:rsidR="00447F36" w:rsidRDefault="00447F36">
        <w:pPr>
          <w:pStyle w:val="Footer"/>
          <w:jc w:val="center"/>
        </w:pPr>
        <w:r>
          <w:fldChar w:fldCharType="begin"/>
        </w:r>
        <w:r>
          <w:instrText xml:space="preserve"> PAGE   \* MERGEFORMAT </w:instrText>
        </w:r>
        <w:r>
          <w:fldChar w:fldCharType="separate"/>
        </w:r>
        <w:r w:rsidR="00D21B34">
          <w:rPr>
            <w:noProof/>
          </w:rPr>
          <w:t>1</w:t>
        </w:r>
        <w:r>
          <w:rPr>
            <w:noProof/>
          </w:rPr>
          <w:fldChar w:fldCharType="end"/>
        </w:r>
      </w:p>
    </w:sdtContent>
  </w:sdt>
  <w:p w:rsidR="00447F36" w:rsidRDefault="00447F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1255" w:rsidRDefault="00EB1255" w:rsidP="00EB1255">
      <w:pPr>
        <w:spacing w:after="0" w:line="240" w:lineRule="auto"/>
      </w:pPr>
      <w:r>
        <w:separator/>
      </w:r>
    </w:p>
  </w:footnote>
  <w:footnote w:type="continuationSeparator" w:id="0">
    <w:p w:rsidR="00EB1255" w:rsidRDefault="00EB1255" w:rsidP="00EB1255">
      <w:pPr>
        <w:spacing w:after="0" w:line="240" w:lineRule="auto"/>
      </w:pPr>
      <w:r>
        <w:continuationSeparator/>
      </w:r>
    </w:p>
  </w:footnote>
  <w:footnote w:id="1">
    <w:p w:rsidR="00EB1255" w:rsidRPr="00BD0A08" w:rsidRDefault="00EB1255" w:rsidP="00EB1255">
      <w:pPr>
        <w:pStyle w:val="FootnoteText"/>
        <w:rPr>
          <w:i/>
        </w:rPr>
      </w:pPr>
      <w:r>
        <w:rPr>
          <w:rStyle w:val="FootnoteReference"/>
        </w:rPr>
        <w:footnoteRef/>
      </w:r>
      <w:r>
        <w:t xml:space="preserve"> Mirror, mirror, </w:t>
      </w:r>
      <w:r>
        <w:rPr>
          <w:i/>
        </w:rPr>
        <w:t xml:space="preserve"> a summary of research findings on body image, Kate Fox, 1997, </w:t>
      </w:r>
      <w:r w:rsidRPr="00BD0A08">
        <w:rPr>
          <w:i/>
        </w:rPr>
        <w:t>http://www.sirc.org/publik/mirror.html</w:t>
      </w:r>
      <w:r>
        <w:rPr>
          <w:i/>
        </w:rPr>
        <w:t xml:space="preserve"> </w:t>
      </w:r>
      <w:r>
        <w:t xml:space="preserve"> </w:t>
      </w:r>
      <w:r>
        <w:rPr>
          <w:i/>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22A5"/>
    <w:rsid w:val="0012242B"/>
    <w:rsid w:val="0018284B"/>
    <w:rsid w:val="00191FA5"/>
    <w:rsid w:val="001C50D1"/>
    <w:rsid w:val="001E1068"/>
    <w:rsid w:val="00275F3A"/>
    <w:rsid w:val="002D4B83"/>
    <w:rsid w:val="002F60E4"/>
    <w:rsid w:val="00344DCB"/>
    <w:rsid w:val="00397FED"/>
    <w:rsid w:val="003D45F9"/>
    <w:rsid w:val="00417C32"/>
    <w:rsid w:val="00423125"/>
    <w:rsid w:val="00447F36"/>
    <w:rsid w:val="0046413D"/>
    <w:rsid w:val="00482283"/>
    <w:rsid w:val="00484478"/>
    <w:rsid w:val="00561350"/>
    <w:rsid w:val="00596412"/>
    <w:rsid w:val="005D7D9D"/>
    <w:rsid w:val="00616D46"/>
    <w:rsid w:val="0062614E"/>
    <w:rsid w:val="006439E4"/>
    <w:rsid w:val="00645BAE"/>
    <w:rsid w:val="00656E8F"/>
    <w:rsid w:val="00671D73"/>
    <w:rsid w:val="00673DAE"/>
    <w:rsid w:val="006745ED"/>
    <w:rsid w:val="006901D5"/>
    <w:rsid w:val="006921CD"/>
    <w:rsid w:val="006B2B80"/>
    <w:rsid w:val="006C53E8"/>
    <w:rsid w:val="006E4681"/>
    <w:rsid w:val="00752650"/>
    <w:rsid w:val="00757F8B"/>
    <w:rsid w:val="00791334"/>
    <w:rsid w:val="007A3509"/>
    <w:rsid w:val="007E4AE7"/>
    <w:rsid w:val="007E7A06"/>
    <w:rsid w:val="007F2F61"/>
    <w:rsid w:val="007F5A43"/>
    <w:rsid w:val="007F5E4C"/>
    <w:rsid w:val="0080038E"/>
    <w:rsid w:val="008266FF"/>
    <w:rsid w:val="008446D7"/>
    <w:rsid w:val="008D32B7"/>
    <w:rsid w:val="008E427F"/>
    <w:rsid w:val="0090534E"/>
    <w:rsid w:val="00920093"/>
    <w:rsid w:val="009266D2"/>
    <w:rsid w:val="00943EC8"/>
    <w:rsid w:val="0095033F"/>
    <w:rsid w:val="00993EFF"/>
    <w:rsid w:val="009B5276"/>
    <w:rsid w:val="009C2D12"/>
    <w:rsid w:val="009F4521"/>
    <w:rsid w:val="009F64B1"/>
    <w:rsid w:val="00A450A5"/>
    <w:rsid w:val="00A4537C"/>
    <w:rsid w:val="00AB1C27"/>
    <w:rsid w:val="00AD3A63"/>
    <w:rsid w:val="00B2403F"/>
    <w:rsid w:val="00B4140B"/>
    <w:rsid w:val="00B55478"/>
    <w:rsid w:val="00B77EDD"/>
    <w:rsid w:val="00BA2A46"/>
    <w:rsid w:val="00BA6FCB"/>
    <w:rsid w:val="00BB043B"/>
    <w:rsid w:val="00BB588B"/>
    <w:rsid w:val="00BC6446"/>
    <w:rsid w:val="00C11625"/>
    <w:rsid w:val="00C15542"/>
    <w:rsid w:val="00C359E9"/>
    <w:rsid w:val="00C655D5"/>
    <w:rsid w:val="00CA2DBF"/>
    <w:rsid w:val="00CB787C"/>
    <w:rsid w:val="00CE5394"/>
    <w:rsid w:val="00D004D1"/>
    <w:rsid w:val="00D21B34"/>
    <w:rsid w:val="00D55C24"/>
    <w:rsid w:val="00E551F9"/>
    <w:rsid w:val="00E83459"/>
    <w:rsid w:val="00EA22A5"/>
    <w:rsid w:val="00EB0015"/>
    <w:rsid w:val="00EB1255"/>
    <w:rsid w:val="00EB696F"/>
    <w:rsid w:val="00F46FCF"/>
    <w:rsid w:val="00F53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2DD68E-40E4-4118-8320-DF2737391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B125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22A5"/>
    <w:pPr>
      <w:spacing w:after="0" w:line="240" w:lineRule="auto"/>
    </w:pPr>
  </w:style>
  <w:style w:type="character" w:customStyle="1" w:styleId="Heading1Char">
    <w:name w:val="Heading 1 Char"/>
    <w:basedOn w:val="DefaultParagraphFont"/>
    <w:link w:val="Heading1"/>
    <w:uiPriority w:val="9"/>
    <w:rsid w:val="00EB1255"/>
    <w:rPr>
      <w:rFonts w:asciiTheme="majorHAnsi" w:eastAsiaTheme="majorEastAsia" w:hAnsiTheme="majorHAnsi" w:cstheme="majorBidi"/>
      <w:color w:val="2E74B5" w:themeColor="accent1" w:themeShade="BF"/>
      <w:sz w:val="32"/>
      <w:szCs w:val="32"/>
      <w:lang w:val="en-US"/>
    </w:rPr>
  </w:style>
  <w:style w:type="character" w:customStyle="1" w:styleId="dt6">
    <w:name w:val="dt6"/>
    <w:basedOn w:val="DefaultParagraphFont"/>
    <w:rsid w:val="00EB1255"/>
    <w:rPr>
      <w:vanish w:val="0"/>
      <w:webHidden w:val="0"/>
      <w:specVanish w:val="0"/>
    </w:rPr>
  </w:style>
  <w:style w:type="paragraph" w:styleId="FootnoteText">
    <w:name w:val="footnote text"/>
    <w:basedOn w:val="Normal"/>
    <w:link w:val="FootnoteTextChar"/>
    <w:uiPriority w:val="99"/>
    <w:unhideWhenUsed/>
    <w:rsid w:val="00EB1255"/>
    <w:pPr>
      <w:spacing w:after="0" w:line="240" w:lineRule="auto"/>
    </w:pPr>
    <w:rPr>
      <w:sz w:val="20"/>
      <w:szCs w:val="20"/>
    </w:rPr>
  </w:style>
  <w:style w:type="character" w:customStyle="1" w:styleId="FootnoteTextChar">
    <w:name w:val="Footnote Text Char"/>
    <w:basedOn w:val="DefaultParagraphFont"/>
    <w:link w:val="FootnoteText"/>
    <w:uiPriority w:val="99"/>
    <w:rsid w:val="00EB1255"/>
    <w:rPr>
      <w:sz w:val="20"/>
      <w:szCs w:val="20"/>
    </w:rPr>
  </w:style>
  <w:style w:type="character" w:styleId="FootnoteReference">
    <w:name w:val="footnote reference"/>
    <w:basedOn w:val="DefaultParagraphFont"/>
    <w:uiPriority w:val="99"/>
    <w:unhideWhenUsed/>
    <w:rsid w:val="00EB1255"/>
    <w:rPr>
      <w:vertAlign w:val="superscript"/>
    </w:rPr>
  </w:style>
  <w:style w:type="paragraph" w:styleId="EndnoteText">
    <w:name w:val="endnote text"/>
    <w:basedOn w:val="Normal"/>
    <w:link w:val="EndnoteTextChar"/>
    <w:uiPriority w:val="99"/>
    <w:unhideWhenUsed/>
    <w:rsid w:val="00EB1255"/>
    <w:pPr>
      <w:spacing w:after="0" w:line="240" w:lineRule="auto"/>
    </w:pPr>
    <w:rPr>
      <w:sz w:val="20"/>
      <w:szCs w:val="20"/>
    </w:rPr>
  </w:style>
  <w:style w:type="character" w:customStyle="1" w:styleId="EndnoteTextChar">
    <w:name w:val="Endnote Text Char"/>
    <w:basedOn w:val="DefaultParagraphFont"/>
    <w:link w:val="EndnoteText"/>
    <w:uiPriority w:val="99"/>
    <w:rsid w:val="00EB1255"/>
    <w:rPr>
      <w:sz w:val="20"/>
      <w:szCs w:val="20"/>
    </w:rPr>
  </w:style>
  <w:style w:type="character" w:styleId="EndnoteReference">
    <w:name w:val="endnote reference"/>
    <w:basedOn w:val="DefaultParagraphFont"/>
    <w:uiPriority w:val="99"/>
    <w:unhideWhenUsed/>
    <w:rsid w:val="00EB1255"/>
    <w:rPr>
      <w:vertAlign w:val="superscript"/>
    </w:rPr>
  </w:style>
  <w:style w:type="character" w:styleId="Emphasis">
    <w:name w:val="Emphasis"/>
    <w:basedOn w:val="DefaultParagraphFont"/>
    <w:uiPriority w:val="20"/>
    <w:qFormat/>
    <w:rsid w:val="00EB1255"/>
    <w:rPr>
      <w:i/>
      <w:iCs/>
    </w:rPr>
  </w:style>
  <w:style w:type="paragraph" w:styleId="NormalWeb">
    <w:name w:val="Normal (Web)"/>
    <w:basedOn w:val="Normal"/>
    <w:uiPriority w:val="99"/>
    <w:semiHidden/>
    <w:unhideWhenUsed/>
    <w:rsid w:val="00EB1255"/>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757F8B"/>
    <w:rPr>
      <w:color w:val="0563C1" w:themeColor="hyperlink"/>
      <w:u w:val="single"/>
    </w:rPr>
  </w:style>
  <w:style w:type="character" w:styleId="FollowedHyperlink">
    <w:name w:val="FollowedHyperlink"/>
    <w:basedOn w:val="DefaultParagraphFont"/>
    <w:uiPriority w:val="99"/>
    <w:semiHidden/>
    <w:unhideWhenUsed/>
    <w:rsid w:val="00BA6FCB"/>
    <w:rPr>
      <w:color w:val="954F72" w:themeColor="followedHyperlink"/>
      <w:u w:val="single"/>
    </w:rPr>
  </w:style>
  <w:style w:type="paragraph" w:styleId="Header">
    <w:name w:val="header"/>
    <w:basedOn w:val="Normal"/>
    <w:link w:val="HeaderChar"/>
    <w:uiPriority w:val="99"/>
    <w:unhideWhenUsed/>
    <w:rsid w:val="009053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34E"/>
  </w:style>
  <w:style w:type="paragraph" w:styleId="Footer">
    <w:name w:val="footer"/>
    <w:basedOn w:val="Normal"/>
    <w:link w:val="FooterChar"/>
    <w:uiPriority w:val="99"/>
    <w:unhideWhenUsed/>
    <w:rsid w:val="009053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34E"/>
  </w:style>
  <w:style w:type="character" w:styleId="Strong">
    <w:name w:val="Strong"/>
    <w:basedOn w:val="DefaultParagraphFont"/>
    <w:uiPriority w:val="22"/>
    <w:qFormat/>
    <w:rsid w:val="0090534E"/>
    <w:rPr>
      <w:b/>
      <w:bCs/>
    </w:rPr>
  </w:style>
  <w:style w:type="character" w:customStyle="1" w:styleId="selectable">
    <w:name w:val="selectable"/>
    <w:basedOn w:val="DefaultParagraphFont"/>
    <w:rsid w:val="009053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0382815">
      <w:bodyDiv w:val="1"/>
      <w:marLeft w:val="0"/>
      <w:marRight w:val="0"/>
      <w:marTop w:val="0"/>
      <w:marBottom w:val="0"/>
      <w:divBdr>
        <w:top w:val="none" w:sz="0" w:space="0" w:color="auto"/>
        <w:left w:val="none" w:sz="0" w:space="0" w:color="auto"/>
        <w:bottom w:val="none" w:sz="0" w:space="0" w:color="auto"/>
        <w:right w:val="none" w:sz="0" w:space="0" w:color="auto"/>
      </w:divBdr>
    </w:div>
    <w:div w:id="1326664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Wolon</b:Tag>
    <b:SourceType>Book</b:SourceType>
    <b:Guid>{9625D243-B835-4084-9EFE-B8893BED9F30}</b:Guid>
    <b:Author>
      <b:Author>
        <b:NameList>
          <b:Person>
            <b:Last>Wolff</b:Last>
            <b:First>Jonathan</b:First>
          </b:Person>
        </b:NameList>
      </b:Author>
    </b:Author>
    <b:Title>The Stanford Encyclopedia of Philosophy </b:Title>
    <b:Year>Winter 2017 Edition</b:Year>
    <b:City>Standford</b:City>
    <b:Publisher>Stanford University </b:Publisher>
    <b:RefOrder>1</b:RefOrder>
  </b:Source>
</b:Sources>
</file>

<file path=customXml/itemProps1.xml><?xml version="1.0" encoding="utf-8"?>
<ds:datastoreItem xmlns:ds="http://schemas.openxmlformats.org/officeDocument/2006/customXml" ds:itemID="{04BF07CC-696E-4C13-A84B-F9AA99144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19</Pages>
  <Words>4372</Words>
  <Characters>24926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Murdoch (P145568)</dc:creator>
  <cp:keywords/>
  <dc:description/>
  <cp:lastModifiedBy>Charlotte Murdoch</cp:lastModifiedBy>
  <cp:revision>13</cp:revision>
  <dcterms:created xsi:type="dcterms:W3CDTF">2017-12-13T05:41:00Z</dcterms:created>
  <dcterms:modified xsi:type="dcterms:W3CDTF">2017-12-13T16:04:00Z</dcterms:modified>
</cp:coreProperties>
</file>