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5EF6E0" w14:textId="7DEC6324" w:rsidR="00F60413" w:rsidRPr="00263C37" w:rsidRDefault="00BE383E" w:rsidP="00F60413">
      <w:pPr>
        <w:jc w:val="center"/>
        <w:rPr>
          <w:b/>
          <w:bCs/>
          <w:sz w:val="32"/>
          <w:szCs w:val="32"/>
        </w:rPr>
      </w:pPr>
      <w:r w:rsidRPr="00263C37">
        <w:rPr>
          <w:b/>
          <w:bCs/>
          <w:sz w:val="32"/>
          <w:szCs w:val="32"/>
        </w:rPr>
        <w:t>Title:</w:t>
      </w:r>
    </w:p>
    <w:p w14:paraId="70A44D11" w14:textId="77777777" w:rsidR="0022279D" w:rsidRPr="00263C37" w:rsidRDefault="0022279D" w:rsidP="00F60413">
      <w:pPr>
        <w:jc w:val="center"/>
        <w:rPr>
          <w:b/>
          <w:bCs/>
          <w:sz w:val="32"/>
          <w:szCs w:val="32"/>
        </w:rPr>
      </w:pPr>
    </w:p>
    <w:p w14:paraId="539F09B3" w14:textId="7A4912B1" w:rsidR="00BE383E" w:rsidRPr="00263C37" w:rsidRDefault="00BE383E" w:rsidP="00F60413">
      <w:pPr>
        <w:jc w:val="center"/>
        <w:rPr>
          <w:b/>
          <w:bCs/>
          <w:sz w:val="32"/>
          <w:szCs w:val="32"/>
        </w:rPr>
      </w:pPr>
      <w:r w:rsidRPr="00263C37">
        <w:rPr>
          <w:b/>
          <w:bCs/>
          <w:sz w:val="32"/>
          <w:szCs w:val="32"/>
        </w:rPr>
        <w:t xml:space="preserve"> Assessment </w:t>
      </w:r>
      <w:proofErr w:type="gramStart"/>
      <w:r w:rsidRPr="00263C37">
        <w:rPr>
          <w:b/>
          <w:bCs/>
          <w:sz w:val="32"/>
          <w:szCs w:val="32"/>
        </w:rPr>
        <w:t>1</w:t>
      </w:r>
      <w:proofErr w:type="gramEnd"/>
    </w:p>
    <w:p w14:paraId="5D6A7E19" w14:textId="77777777" w:rsidR="00F60413" w:rsidRPr="00263C37" w:rsidRDefault="00F60413" w:rsidP="00F60413">
      <w:pPr>
        <w:jc w:val="center"/>
        <w:rPr>
          <w:b/>
          <w:bCs/>
          <w:sz w:val="32"/>
          <w:szCs w:val="32"/>
        </w:rPr>
      </w:pPr>
    </w:p>
    <w:p w14:paraId="42BE57C5" w14:textId="597478EC" w:rsidR="00E82C9B" w:rsidRPr="00263C37" w:rsidRDefault="00BE383E" w:rsidP="00F60413">
      <w:pPr>
        <w:jc w:val="center"/>
        <w:rPr>
          <w:b/>
          <w:bCs/>
          <w:sz w:val="32"/>
          <w:szCs w:val="32"/>
        </w:rPr>
      </w:pPr>
      <w:r w:rsidRPr="00263C37">
        <w:rPr>
          <w:b/>
          <w:bCs/>
          <w:sz w:val="32"/>
          <w:szCs w:val="32"/>
        </w:rPr>
        <w:t>Modul name:</w:t>
      </w:r>
      <w:r w:rsidR="00095D4D" w:rsidRPr="00263C37">
        <w:rPr>
          <w:b/>
          <w:bCs/>
          <w:sz w:val="32"/>
          <w:szCs w:val="32"/>
        </w:rPr>
        <w:t xml:space="preserve"> </w:t>
      </w:r>
      <w:r w:rsidR="00A81A64" w:rsidRPr="00263C37">
        <w:rPr>
          <w:b/>
          <w:bCs/>
          <w:sz w:val="32"/>
          <w:szCs w:val="32"/>
        </w:rPr>
        <w:t>International Financial</w:t>
      </w:r>
      <w:r w:rsidR="00456B5D" w:rsidRPr="00263C37">
        <w:rPr>
          <w:b/>
          <w:bCs/>
          <w:sz w:val="32"/>
          <w:szCs w:val="32"/>
        </w:rPr>
        <w:t xml:space="preserve"> Management</w:t>
      </w:r>
    </w:p>
    <w:p w14:paraId="644FC887" w14:textId="77777777" w:rsidR="00F60413" w:rsidRPr="00263C37" w:rsidRDefault="00F60413" w:rsidP="00F60413">
      <w:pPr>
        <w:jc w:val="center"/>
        <w:rPr>
          <w:b/>
          <w:bCs/>
          <w:sz w:val="32"/>
          <w:szCs w:val="32"/>
        </w:rPr>
      </w:pPr>
    </w:p>
    <w:p w14:paraId="60F1EA27" w14:textId="63CCD83B" w:rsidR="00BE383E" w:rsidRPr="00263C37" w:rsidRDefault="00BE383E" w:rsidP="00F60413">
      <w:pPr>
        <w:jc w:val="center"/>
        <w:rPr>
          <w:b/>
          <w:bCs/>
          <w:sz w:val="32"/>
          <w:szCs w:val="32"/>
        </w:rPr>
      </w:pPr>
      <w:r w:rsidRPr="00263C37">
        <w:rPr>
          <w:b/>
          <w:bCs/>
          <w:sz w:val="32"/>
          <w:szCs w:val="32"/>
        </w:rPr>
        <w:t>Modul lecturer: Zainab Adeyemi</w:t>
      </w:r>
    </w:p>
    <w:p w14:paraId="44902C92" w14:textId="77777777" w:rsidR="00F60413" w:rsidRPr="00263C37" w:rsidRDefault="00F60413" w:rsidP="00F60413">
      <w:pPr>
        <w:jc w:val="center"/>
        <w:rPr>
          <w:b/>
          <w:bCs/>
          <w:sz w:val="32"/>
          <w:szCs w:val="32"/>
        </w:rPr>
      </w:pPr>
    </w:p>
    <w:p w14:paraId="0692971D" w14:textId="6A0AAE69" w:rsidR="00BE383E" w:rsidRPr="00263C37" w:rsidRDefault="00BE383E" w:rsidP="00F60413">
      <w:pPr>
        <w:jc w:val="center"/>
        <w:rPr>
          <w:b/>
          <w:bCs/>
          <w:sz w:val="32"/>
          <w:szCs w:val="32"/>
        </w:rPr>
      </w:pPr>
      <w:r w:rsidRPr="00263C37">
        <w:rPr>
          <w:b/>
          <w:bCs/>
          <w:sz w:val="32"/>
          <w:szCs w:val="32"/>
        </w:rPr>
        <w:t>Module code: LCBB6002</w:t>
      </w:r>
    </w:p>
    <w:p w14:paraId="36D1D606" w14:textId="77777777" w:rsidR="00F60413" w:rsidRPr="00263C37" w:rsidRDefault="00F60413" w:rsidP="00F60413">
      <w:pPr>
        <w:jc w:val="center"/>
        <w:rPr>
          <w:b/>
          <w:bCs/>
          <w:sz w:val="32"/>
          <w:szCs w:val="32"/>
        </w:rPr>
      </w:pPr>
    </w:p>
    <w:p w14:paraId="3F049587" w14:textId="2B0C82E4" w:rsidR="00BE383E" w:rsidRPr="00263C37" w:rsidRDefault="00BE383E" w:rsidP="00F60413">
      <w:pPr>
        <w:jc w:val="center"/>
        <w:rPr>
          <w:b/>
          <w:bCs/>
          <w:sz w:val="32"/>
          <w:szCs w:val="32"/>
        </w:rPr>
      </w:pPr>
      <w:r w:rsidRPr="00263C37">
        <w:rPr>
          <w:b/>
          <w:bCs/>
          <w:sz w:val="32"/>
          <w:szCs w:val="32"/>
        </w:rPr>
        <w:t>Student name: Onisor Opris</w:t>
      </w:r>
    </w:p>
    <w:p w14:paraId="1A062F16" w14:textId="77777777" w:rsidR="00F60413" w:rsidRPr="00263C37" w:rsidRDefault="00F60413" w:rsidP="00F60413">
      <w:pPr>
        <w:jc w:val="center"/>
        <w:rPr>
          <w:b/>
          <w:bCs/>
          <w:sz w:val="32"/>
          <w:szCs w:val="32"/>
        </w:rPr>
      </w:pPr>
    </w:p>
    <w:p w14:paraId="1A5383C1" w14:textId="665F7A30" w:rsidR="00BE383E" w:rsidRPr="00263C37" w:rsidRDefault="00BE383E" w:rsidP="00F60413">
      <w:pPr>
        <w:jc w:val="center"/>
        <w:rPr>
          <w:b/>
          <w:bCs/>
          <w:sz w:val="32"/>
          <w:szCs w:val="32"/>
        </w:rPr>
      </w:pPr>
      <w:r w:rsidRPr="00263C37">
        <w:rPr>
          <w:b/>
          <w:bCs/>
          <w:sz w:val="32"/>
          <w:szCs w:val="32"/>
        </w:rPr>
        <w:t>Student ID: 2022780</w:t>
      </w:r>
    </w:p>
    <w:p w14:paraId="25C6D891" w14:textId="77777777" w:rsidR="00BE383E" w:rsidRPr="0011580A" w:rsidRDefault="00BE383E" w:rsidP="00144DFA">
      <w:pPr>
        <w:rPr>
          <w:b/>
          <w:bCs/>
        </w:rPr>
      </w:pPr>
    </w:p>
    <w:p w14:paraId="75D4C331" w14:textId="77777777" w:rsidR="009C1660" w:rsidRPr="0011580A" w:rsidRDefault="009C1660" w:rsidP="00144DFA">
      <w:pPr>
        <w:rPr>
          <w:b/>
          <w:bCs/>
        </w:rPr>
      </w:pPr>
    </w:p>
    <w:p w14:paraId="03F3C322" w14:textId="7E51294E" w:rsidR="009C1660" w:rsidRPr="0011580A" w:rsidRDefault="009C1660">
      <w:pPr>
        <w:spacing w:before="0" w:after="160" w:line="259" w:lineRule="auto"/>
        <w:jc w:val="left"/>
        <w:rPr>
          <w:b/>
          <w:bCs/>
        </w:rPr>
      </w:pPr>
      <w:r w:rsidRPr="0011580A">
        <w:rPr>
          <w:b/>
          <w:bCs/>
        </w:rPr>
        <w:br w:type="page"/>
      </w:r>
    </w:p>
    <w:p w14:paraId="043BD1E9" w14:textId="77777777" w:rsidR="009C1660" w:rsidRPr="0011580A" w:rsidRDefault="009C1660" w:rsidP="00144DFA">
      <w:pPr>
        <w:sectPr w:rsidR="009C1660" w:rsidRPr="0011580A" w:rsidSect="00DE07D6">
          <w:footerReference w:type="default" r:id="rId8"/>
          <w:pgSz w:w="12240" w:h="15840"/>
          <w:pgMar w:top="1440" w:right="1440" w:bottom="1440" w:left="1440" w:header="720" w:footer="720" w:gutter="0"/>
          <w:cols w:space="720"/>
          <w:titlePg/>
          <w:docGrid w:linePitch="360"/>
        </w:sectPr>
      </w:pPr>
    </w:p>
    <w:sdt>
      <w:sdtPr>
        <w:rPr>
          <w:rFonts w:ascii="Arial" w:eastAsiaTheme="minorHAnsi" w:hAnsi="Arial" w:cstheme="minorBidi"/>
          <w:color w:val="auto"/>
          <w:sz w:val="24"/>
          <w:szCs w:val="22"/>
        </w:rPr>
        <w:id w:val="-1186437845"/>
        <w:docPartObj>
          <w:docPartGallery w:val="Table of Contents"/>
          <w:docPartUnique/>
        </w:docPartObj>
      </w:sdtPr>
      <w:sdtEndPr>
        <w:rPr>
          <w:b/>
          <w:bCs/>
          <w:noProof/>
        </w:rPr>
      </w:sdtEndPr>
      <w:sdtContent>
        <w:p w14:paraId="3991987D" w14:textId="77777777" w:rsidR="00E82C9B" w:rsidRPr="0011580A" w:rsidRDefault="00E82C9B" w:rsidP="00EE2A54">
          <w:pPr>
            <w:pStyle w:val="TOCHeading"/>
            <w:jc w:val="center"/>
            <w:rPr>
              <w:rFonts w:ascii="Times New Roman" w:hAnsi="Times New Roman" w:cs="Times New Roman"/>
              <w:b/>
            </w:rPr>
          </w:pPr>
          <w:r w:rsidRPr="0011580A">
            <w:rPr>
              <w:rFonts w:ascii="Times New Roman" w:hAnsi="Times New Roman" w:cs="Times New Roman"/>
              <w:b/>
            </w:rPr>
            <w:t>Table of Contents</w:t>
          </w:r>
        </w:p>
        <w:p w14:paraId="5EDF39DF" w14:textId="6DFD3410" w:rsidR="0009475C" w:rsidRDefault="00E82C9B">
          <w:pPr>
            <w:pStyle w:val="TOC1"/>
            <w:tabs>
              <w:tab w:val="right" w:leader="dot" w:pos="9350"/>
            </w:tabs>
            <w:rPr>
              <w:rFonts w:asciiTheme="minorHAnsi" w:eastAsiaTheme="minorEastAsia" w:hAnsiTheme="minorHAnsi"/>
              <w:noProof/>
              <w:sz w:val="22"/>
              <w:lang w:val="en-US"/>
            </w:rPr>
          </w:pPr>
          <w:r w:rsidRPr="0011580A">
            <w:fldChar w:fldCharType="begin"/>
          </w:r>
          <w:r w:rsidRPr="0011580A">
            <w:instrText xml:space="preserve"> TOC \o "1-3" \h \z \u </w:instrText>
          </w:r>
          <w:r w:rsidRPr="0011580A">
            <w:fldChar w:fldCharType="separate"/>
          </w:r>
          <w:hyperlink w:anchor="_Toc128778986" w:history="1">
            <w:r w:rsidR="0009475C" w:rsidRPr="007F1ACA">
              <w:rPr>
                <w:rStyle w:val="Hyperlink"/>
                <w:noProof/>
              </w:rPr>
              <w:t>Introduction</w:t>
            </w:r>
            <w:r w:rsidR="0009475C">
              <w:rPr>
                <w:noProof/>
                <w:webHidden/>
              </w:rPr>
              <w:tab/>
            </w:r>
            <w:r w:rsidR="0009475C">
              <w:rPr>
                <w:noProof/>
                <w:webHidden/>
              </w:rPr>
              <w:fldChar w:fldCharType="begin"/>
            </w:r>
            <w:r w:rsidR="0009475C">
              <w:rPr>
                <w:noProof/>
                <w:webHidden/>
              </w:rPr>
              <w:instrText xml:space="preserve"> PAGEREF _Toc128778986 \h </w:instrText>
            </w:r>
            <w:r w:rsidR="0009475C">
              <w:rPr>
                <w:noProof/>
                <w:webHidden/>
              </w:rPr>
            </w:r>
            <w:r w:rsidR="0009475C">
              <w:rPr>
                <w:noProof/>
                <w:webHidden/>
              </w:rPr>
              <w:fldChar w:fldCharType="separate"/>
            </w:r>
            <w:r w:rsidR="0009475C">
              <w:rPr>
                <w:noProof/>
                <w:webHidden/>
              </w:rPr>
              <w:t>3</w:t>
            </w:r>
            <w:r w:rsidR="0009475C">
              <w:rPr>
                <w:noProof/>
                <w:webHidden/>
              </w:rPr>
              <w:fldChar w:fldCharType="end"/>
            </w:r>
          </w:hyperlink>
        </w:p>
        <w:p w14:paraId="34BC10EE" w14:textId="423C4D17" w:rsidR="0009475C" w:rsidRDefault="00000000">
          <w:pPr>
            <w:pStyle w:val="TOC1"/>
            <w:tabs>
              <w:tab w:val="right" w:leader="dot" w:pos="9350"/>
            </w:tabs>
            <w:rPr>
              <w:rFonts w:asciiTheme="minorHAnsi" w:eastAsiaTheme="minorEastAsia" w:hAnsiTheme="minorHAnsi"/>
              <w:noProof/>
              <w:sz w:val="22"/>
              <w:lang w:val="en-US"/>
            </w:rPr>
          </w:pPr>
          <w:hyperlink w:anchor="_Toc128778987" w:history="1">
            <w:r w:rsidR="0009475C" w:rsidRPr="007F1ACA">
              <w:rPr>
                <w:rStyle w:val="Hyperlink"/>
                <w:noProof/>
                <w:lang w:val="en-US"/>
              </w:rPr>
              <w:t>Importance of IFM to Unilever UK</w:t>
            </w:r>
            <w:r w:rsidR="0009475C">
              <w:rPr>
                <w:noProof/>
                <w:webHidden/>
              </w:rPr>
              <w:tab/>
            </w:r>
            <w:r w:rsidR="0009475C">
              <w:rPr>
                <w:noProof/>
                <w:webHidden/>
              </w:rPr>
              <w:fldChar w:fldCharType="begin"/>
            </w:r>
            <w:r w:rsidR="0009475C">
              <w:rPr>
                <w:noProof/>
                <w:webHidden/>
              </w:rPr>
              <w:instrText xml:space="preserve"> PAGEREF _Toc128778987 \h </w:instrText>
            </w:r>
            <w:r w:rsidR="0009475C">
              <w:rPr>
                <w:noProof/>
                <w:webHidden/>
              </w:rPr>
            </w:r>
            <w:r w:rsidR="0009475C">
              <w:rPr>
                <w:noProof/>
                <w:webHidden/>
              </w:rPr>
              <w:fldChar w:fldCharType="separate"/>
            </w:r>
            <w:r w:rsidR="0009475C">
              <w:rPr>
                <w:noProof/>
                <w:webHidden/>
              </w:rPr>
              <w:t>4</w:t>
            </w:r>
            <w:r w:rsidR="0009475C">
              <w:rPr>
                <w:noProof/>
                <w:webHidden/>
              </w:rPr>
              <w:fldChar w:fldCharType="end"/>
            </w:r>
          </w:hyperlink>
        </w:p>
        <w:p w14:paraId="2DE24A09" w14:textId="063B1A35" w:rsidR="0009475C" w:rsidRDefault="00000000">
          <w:pPr>
            <w:pStyle w:val="TOC1"/>
            <w:tabs>
              <w:tab w:val="right" w:leader="dot" w:pos="9350"/>
            </w:tabs>
            <w:rPr>
              <w:rFonts w:asciiTheme="minorHAnsi" w:eastAsiaTheme="minorEastAsia" w:hAnsiTheme="minorHAnsi"/>
              <w:noProof/>
              <w:sz w:val="22"/>
              <w:lang w:val="en-US"/>
            </w:rPr>
          </w:pPr>
          <w:hyperlink w:anchor="_Toc128778988" w:history="1">
            <w:r w:rsidR="0009475C" w:rsidRPr="007F1ACA">
              <w:rPr>
                <w:rStyle w:val="Hyperlink"/>
                <w:noProof/>
                <w:lang w:val="en-US"/>
              </w:rPr>
              <w:t>Challenges of IFM to Unilever UK</w:t>
            </w:r>
            <w:r w:rsidR="0009475C">
              <w:rPr>
                <w:noProof/>
                <w:webHidden/>
              </w:rPr>
              <w:tab/>
            </w:r>
            <w:r w:rsidR="0009475C">
              <w:rPr>
                <w:noProof/>
                <w:webHidden/>
              </w:rPr>
              <w:fldChar w:fldCharType="begin"/>
            </w:r>
            <w:r w:rsidR="0009475C">
              <w:rPr>
                <w:noProof/>
                <w:webHidden/>
              </w:rPr>
              <w:instrText xml:space="preserve"> PAGEREF _Toc128778988 \h </w:instrText>
            </w:r>
            <w:r w:rsidR="0009475C">
              <w:rPr>
                <w:noProof/>
                <w:webHidden/>
              </w:rPr>
            </w:r>
            <w:r w:rsidR="0009475C">
              <w:rPr>
                <w:noProof/>
                <w:webHidden/>
              </w:rPr>
              <w:fldChar w:fldCharType="separate"/>
            </w:r>
            <w:r w:rsidR="0009475C">
              <w:rPr>
                <w:noProof/>
                <w:webHidden/>
              </w:rPr>
              <w:t>5</w:t>
            </w:r>
            <w:r w:rsidR="0009475C">
              <w:rPr>
                <w:noProof/>
                <w:webHidden/>
              </w:rPr>
              <w:fldChar w:fldCharType="end"/>
            </w:r>
          </w:hyperlink>
        </w:p>
        <w:p w14:paraId="5D3F115C" w14:textId="51EA52F6" w:rsidR="0009475C" w:rsidRDefault="00000000">
          <w:pPr>
            <w:pStyle w:val="TOC1"/>
            <w:tabs>
              <w:tab w:val="right" w:leader="dot" w:pos="9350"/>
            </w:tabs>
            <w:rPr>
              <w:rFonts w:asciiTheme="minorHAnsi" w:eastAsiaTheme="minorEastAsia" w:hAnsiTheme="minorHAnsi"/>
              <w:noProof/>
              <w:sz w:val="22"/>
              <w:lang w:val="en-US"/>
            </w:rPr>
          </w:pPr>
          <w:hyperlink w:anchor="_Toc128778989" w:history="1">
            <w:r w:rsidR="0009475C" w:rsidRPr="007F1ACA">
              <w:rPr>
                <w:rStyle w:val="Hyperlink"/>
                <w:noProof/>
                <w:lang w:val="en-US"/>
              </w:rPr>
              <w:t>Theoretical Implications of IFM to Unilever UK</w:t>
            </w:r>
            <w:r w:rsidR="0009475C">
              <w:rPr>
                <w:noProof/>
                <w:webHidden/>
              </w:rPr>
              <w:tab/>
            </w:r>
            <w:r w:rsidR="0009475C">
              <w:rPr>
                <w:noProof/>
                <w:webHidden/>
              </w:rPr>
              <w:fldChar w:fldCharType="begin"/>
            </w:r>
            <w:r w:rsidR="0009475C">
              <w:rPr>
                <w:noProof/>
                <w:webHidden/>
              </w:rPr>
              <w:instrText xml:space="preserve"> PAGEREF _Toc128778989 \h </w:instrText>
            </w:r>
            <w:r w:rsidR="0009475C">
              <w:rPr>
                <w:noProof/>
                <w:webHidden/>
              </w:rPr>
            </w:r>
            <w:r w:rsidR="0009475C">
              <w:rPr>
                <w:noProof/>
                <w:webHidden/>
              </w:rPr>
              <w:fldChar w:fldCharType="separate"/>
            </w:r>
            <w:r w:rsidR="0009475C">
              <w:rPr>
                <w:noProof/>
                <w:webHidden/>
              </w:rPr>
              <w:t>5</w:t>
            </w:r>
            <w:r w:rsidR="0009475C">
              <w:rPr>
                <w:noProof/>
                <w:webHidden/>
              </w:rPr>
              <w:fldChar w:fldCharType="end"/>
            </w:r>
          </w:hyperlink>
        </w:p>
        <w:p w14:paraId="5789EB4F" w14:textId="0269F68F" w:rsidR="0009475C" w:rsidRDefault="00000000">
          <w:pPr>
            <w:pStyle w:val="TOC2"/>
            <w:tabs>
              <w:tab w:val="right" w:leader="dot" w:pos="9350"/>
            </w:tabs>
            <w:rPr>
              <w:rFonts w:asciiTheme="minorHAnsi" w:eastAsiaTheme="minorEastAsia" w:hAnsiTheme="minorHAnsi"/>
              <w:noProof/>
              <w:sz w:val="22"/>
              <w:lang w:val="en-US"/>
            </w:rPr>
          </w:pPr>
          <w:hyperlink w:anchor="_Toc128778990" w:history="1">
            <w:r w:rsidR="0009475C" w:rsidRPr="007F1ACA">
              <w:rPr>
                <w:rStyle w:val="Hyperlink"/>
                <w:noProof/>
                <w:lang w:val="en-US"/>
              </w:rPr>
              <w:t>Dividend Distribution Policy</w:t>
            </w:r>
            <w:r w:rsidR="0009475C">
              <w:rPr>
                <w:noProof/>
                <w:webHidden/>
              </w:rPr>
              <w:tab/>
            </w:r>
            <w:r w:rsidR="0009475C">
              <w:rPr>
                <w:noProof/>
                <w:webHidden/>
              </w:rPr>
              <w:fldChar w:fldCharType="begin"/>
            </w:r>
            <w:r w:rsidR="0009475C">
              <w:rPr>
                <w:noProof/>
                <w:webHidden/>
              </w:rPr>
              <w:instrText xml:space="preserve"> PAGEREF _Toc128778990 \h </w:instrText>
            </w:r>
            <w:r w:rsidR="0009475C">
              <w:rPr>
                <w:noProof/>
                <w:webHidden/>
              </w:rPr>
            </w:r>
            <w:r w:rsidR="0009475C">
              <w:rPr>
                <w:noProof/>
                <w:webHidden/>
              </w:rPr>
              <w:fldChar w:fldCharType="separate"/>
            </w:r>
            <w:r w:rsidR="0009475C">
              <w:rPr>
                <w:noProof/>
                <w:webHidden/>
              </w:rPr>
              <w:t>5</w:t>
            </w:r>
            <w:r w:rsidR="0009475C">
              <w:rPr>
                <w:noProof/>
                <w:webHidden/>
              </w:rPr>
              <w:fldChar w:fldCharType="end"/>
            </w:r>
          </w:hyperlink>
        </w:p>
        <w:p w14:paraId="61151D53" w14:textId="65F872BA" w:rsidR="0009475C" w:rsidRDefault="00000000">
          <w:pPr>
            <w:pStyle w:val="TOC2"/>
            <w:tabs>
              <w:tab w:val="right" w:leader="dot" w:pos="9350"/>
            </w:tabs>
            <w:rPr>
              <w:rFonts w:asciiTheme="minorHAnsi" w:eastAsiaTheme="minorEastAsia" w:hAnsiTheme="minorHAnsi"/>
              <w:noProof/>
              <w:sz w:val="22"/>
              <w:lang w:val="en-US"/>
            </w:rPr>
          </w:pPr>
          <w:hyperlink w:anchor="_Toc128778991" w:history="1">
            <w:r w:rsidR="0009475C" w:rsidRPr="007F1ACA">
              <w:rPr>
                <w:rStyle w:val="Hyperlink"/>
                <w:noProof/>
                <w:lang w:val="en-US"/>
              </w:rPr>
              <w:t>Efficient market Hypothesis</w:t>
            </w:r>
            <w:r w:rsidR="0009475C">
              <w:rPr>
                <w:noProof/>
                <w:webHidden/>
              </w:rPr>
              <w:tab/>
            </w:r>
            <w:r w:rsidR="0009475C">
              <w:rPr>
                <w:noProof/>
                <w:webHidden/>
              </w:rPr>
              <w:fldChar w:fldCharType="begin"/>
            </w:r>
            <w:r w:rsidR="0009475C">
              <w:rPr>
                <w:noProof/>
                <w:webHidden/>
              </w:rPr>
              <w:instrText xml:space="preserve"> PAGEREF _Toc128778991 \h </w:instrText>
            </w:r>
            <w:r w:rsidR="0009475C">
              <w:rPr>
                <w:noProof/>
                <w:webHidden/>
              </w:rPr>
            </w:r>
            <w:r w:rsidR="0009475C">
              <w:rPr>
                <w:noProof/>
                <w:webHidden/>
              </w:rPr>
              <w:fldChar w:fldCharType="separate"/>
            </w:r>
            <w:r w:rsidR="0009475C">
              <w:rPr>
                <w:noProof/>
                <w:webHidden/>
              </w:rPr>
              <w:t>6</w:t>
            </w:r>
            <w:r w:rsidR="0009475C">
              <w:rPr>
                <w:noProof/>
                <w:webHidden/>
              </w:rPr>
              <w:fldChar w:fldCharType="end"/>
            </w:r>
          </w:hyperlink>
        </w:p>
        <w:p w14:paraId="0212DB03" w14:textId="4D7223D9" w:rsidR="0009475C" w:rsidRDefault="00000000">
          <w:pPr>
            <w:pStyle w:val="TOC2"/>
            <w:tabs>
              <w:tab w:val="right" w:leader="dot" w:pos="9350"/>
            </w:tabs>
            <w:rPr>
              <w:rFonts w:asciiTheme="minorHAnsi" w:eastAsiaTheme="minorEastAsia" w:hAnsiTheme="minorHAnsi"/>
              <w:noProof/>
              <w:sz w:val="22"/>
              <w:lang w:val="en-US"/>
            </w:rPr>
          </w:pPr>
          <w:hyperlink w:anchor="_Toc128778992" w:history="1">
            <w:r w:rsidR="0009475C" w:rsidRPr="007F1ACA">
              <w:rPr>
                <w:rStyle w:val="Hyperlink"/>
                <w:noProof/>
                <w:lang w:val="en-US"/>
              </w:rPr>
              <w:t>Project Appraisals Technique</w:t>
            </w:r>
            <w:r w:rsidR="0009475C">
              <w:rPr>
                <w:noProof/>
                <w:webHidden/>
              </w:rPr>
              <w:tab/>
            </w:r>
            <w:r w:rsidR="0009475C">
              <w:rPr>
                <w:noProof/>
                <w:webHidden/>
              </w:rPr>
              <w:fldChar w:fldCharType="begin"/>
            </w:r>
            <w:r w:rsidR="0009475C">
              <w:rPr>
                <w:noProof/>
                <w:webHidden/>
              </w:rPr>
              <w:instrText xml:space="preserve"> PAGEREF _Toc128778992 \h </w:instrText>
            </w:r>
            <w:r w:rsidR="0009475C">
              <w:rPr>
                <w:noProof/>
                <w:webHidden/>
              </w:rPr>
            </w:r>
            <w:r w:rsidR="0009475C">
              <w:rPr>
                <w:noProof/>
                <w:webHidden/>
              </w:rPr>
              <w:fldChar w:fldCharType="separate"/>
            </w:r>
            <w:r w:rsidR="0009475C">
              <w:rPr>
                <w:noProof/>
                <w:webHidden/>
              </w:rPr>
              <w:t>7</w:t>
            </w:r>
            <w:r w:rsidR="0009475C">
              <w:rPr>
                <w:noProof/>
                <w:webHidden/>
              </w:rPr>
              <w:fldChar w:fldCharType="end"/>
            </w:r>
          </w:hyperlink>
        </w:p>
        <w:p w14:paraId="2868BE1C" w14:textId="6FCFA675" w:rsidR="0009475C" w:rsidRDefault="00000000">
          <w:pPr>
            <w:pStyle w:val="TOC1"/>
            <w:tabs>
              <w:tab w:val="right" w:leader="dot" w:pos="9350"/>
            </w:tabs>
            <w:rPr>
              <w:rFonts w:asciiTheme="minorHAnsi" w:eastAsiaTheme="minorEastAsia" w:hAnsiTheme="minorHAnsi"/>
              <w:noProof/>
              <w:sz w:val="22"/>
              <w:lang w:val="en-US"/>
            </w:rPr>
          </w:pPr>
          <w:hyperlink w:anchor="_Toc128778993" w:history="1">
            <w:r w:rsidR="0009475C" w:rsidRPr="007F1ACA">
              <w:rPr>
                <w:rStyle w:val="Hyperlink"/>
                <w:noProof/>
                <w:lang w:val="en-US"/>
              </w:rPr>
              <w:t>Conclusion</w:t>
            </w:r>
            <w:r w:rsidR="0009475C">
              <w:rPr>
                <w:noProof/>
                <w:webHidden/>
              </w:rPr>
              <w:tab/>
            </w:r>
            <w:r w:rsidR="0009475C">
              <w:rPr>
                <w:noProof/>
                <w:webHidden/>
              </w:rPr>
              <w:fldChar w:fldCharType="begin"/>
            </w:r>
            <w:r w:rsidR="0009475C">
              <w:rPr>
                <w:noProof/>
                <w:webHidden/>
              </w:rPr>
              <w:instrText xml:space="preserve"> PAGEREF _Toc128778993 \h </w:instrText>
            </w:r>
            <w:r w:rsidR="0009475C">
              <w:rPr>
                <w:noProof/>
                <w:webHidden/>
              </w:rPr>
            </w:r>
            <w:r w:rsidR="0009475C">
              <w:rPr>
                <w:noProof/>
                <w:webHidden/>
              </w:rPr>
              <w:fldChar w:fldCharType="separate"/>
            </w:r>
            <w:r w:rsidR="0009475C">
              <w:rPr>
                <w:noProof/>
                <w:webHidden/>
              </w:rPr>
              <w:t>8</w:t>
            </w:r>
            <w:r w:rsidR="0009475C">
              <w:rPr>
                <w:noProof/>
                <w:webHidden/>
              </w:rPr>
              <w:fldChar w:fldCharType="end"/>
            </w:r>
          </w:hyperlink>
        </w:p>
        <w:p w14:paraId="5551FE9B" w14:textId="49115457" w:rsidR="0009475C" w:rsidRDefault="00000000">
          <w:pPr>
            <w:pStyle w:val="TOC1"/>
            <w:tabs>
              <w:tab w:val="right" w:leader="dot" w:pos="9350"/>
            </w:tabs>
            <w:rPr>
              <w:rFonts w:asciiTheme="minorHAnsi" w:eastAsiaTheme="minorEastAsia" w:hAnsiTheme="minorHAnsi"/>
              <w:noProof/>
              <w:sz w:val="22"/>
              <w:lang w:val="en-US"/>
            </w:rPr>
          </w:pPr>
          <w:hyperlink w:anchor="_Toc128778994" w:history="1">
            <w:r w:rsidR="0009475C" w:rsidRPr="007F1ACA">
              <w:rPr>
                <w:rStyle w:val="Hyperlink"/>
                <w:noProof/>
                <w:lang w:val="en-US"/>
              </w:rPr>
              <w:t>References</w:t>
            </w:r>
            <w:r w:rsidR="0009475C">
              <w:rPr>
                <w:noProof/>
                <w:webHidden/>
              </w:rPr>
              <w:tab/>
            </w:r>
            <w:r w:rsidR="0009475C">
              <w:rPr>
                <w:noProof/>
                <w:webHidden/>
              </w:rPr>
              <w:fldChar w:fldCharType="begin"/>
            </w:r>
            <w:r w:rsidR="0009475C">
              <w:rPr>
                <w:noProof/>
                <w:webHidden/>
              </w:rPr>
              <w:instrText xml:space="preserve"> PAGEREF _Toc128778994 \h </w:instrText>
            </w:r>
            <w:r w:rsidR="0009475C">
              <w:rPr>
                <w:noProof/>
                <w:webHidden/>
              </w:rPr>
            </w:r>
            <w:r w:rsidR="0009475C">
              <w:rPr>
                <w:noProof/>
                <w:webHidden/>
              </w:rPr>
              <w:fldChar w:fldCharType="separate"/>
            </w:r>
            <w:r w:rsidR="0009475C">
              <w:rPr>
                <w:noProof/>
                <w:webHidden/>
              </w:rPr>
              <w:t>9</w:t>
            </w:r>
            <w:r w:rsidR="0009475C">
              <w:rPr>
                <w:noProof/>
                <w:webHidden/>
              </w:rPr>
              <w:fldChar w:fldCharType="end"/>
            </w:r>
          </w:hyperlink>
        </w:p>
        <w:p w14:paraId="14ADEC1A" w14:textId="45A16743" w:rsidR="00E82C9B" w:rsidRPr="0011580A" w:rsidRDefault="00E82C9B" w:rsidP="00C42C25">
          <w:pPr>
            <w:sectPr w:rsidR="00E82C9B" w:rsidRPr="0011580A" w:rsidSect="00DE07D6">
              <w:footerReference w:type="first" r:id="rId9"/>
              <w:pgSz w:w="12240" w:h="15840"/>
              <w:pgMar w:top="1440" w:right="1440" w:bottom="1440" w:left="1440" w:header="720" w:footer="720" w:gutter="0"/>
              <w:cols w:space="720"/>
              <w:titlePg/>
              <w:docGrid w:linePitch="360"/>
            </w:sectPr>
          </w:pPr>
          <w:r w:rsidRPr="0011580A">
            <w:rPr>
              <w:b/>
              <w:bCs/>
              <w:noProof/>
            </w:rPr>
            <w:fldChar w:fldCharType="end"/>
          </w:r>
        </w:p>
      </w:sdtContent>
    </w:sdt>
    <w:p w14:paraId="2747C113" w14:textId="6098FEB3" w:rsidR="00456B5D" w:rsidRPr="00456B5D" w:rsidRDefault="00456B5D" w:rsidP="00277139">
      <w:pPr>
        <w:pStyle w:val="Heading1"/>
      </w:pPr>
      <w:bookmarkStart w:id="0" w:name="_Toc128778986"/>
      <w:r>
        <w:lastRenderedPageBreak/>
        <w:t>Introduction</w:t>
      </w:r>
      <w:bookmarkEnd w:id="0"/>
    </w:p>
    <w:p w14:paraId="551007EB" w14:textId="7F9C1B8F" w:rsidR="00D47044" w:rsidRPr="00D47044" w:rsidRDefault="002B158B" w:rsidP="002B158B">
      <w:r w:rsidRPr="002B158B">
        <w:rPr>
          <w:lang w:val="en-US"/>
        </w:rPr>
        <w:t>This report is aimed to provide different particulars regarding international financial management practices of Unilever UK PLC</w:t>
      </w:r>
      <w:r>
        <w:rPr>
          <w:lang w:val="en-US"/>
        </w:rPr>
        <w:t xml:space="preserve">. </w:t>
      </w:r>
      <w:r w:rsidR="004B5C35" w:rsidRPr="002B158B">
        <w:rPr>
          <w:lang w:val="en-US"/>
        </w:rPr>
        <w:t>F</w:t>
      </w:r>
      <w:r w:rsidRPr="002B158B">
        <w:rPr>
          <w:lang w:val="en-US"/>
        </w:rPr>
        <w:t>irst</w:t>
      </w:r>
      <w:r w:rsidR="004B5C35">
        <w:rPr>
          <w:lang w:val="en-US"/>
        </w:rPr>
        <w:t xml:space="preserve"> </w:t>
      </w:r>
      <w:r w:rsidRPr="002B158B">
        <w:rPr>
          <w:lang w:val="en-US"/>
        </w:rPr>
        <w:t>of all there will be discussions regarding the importance of international financial management to the company which will be followed by different challenges faced by the company</w:t>
      </w:r>
      <w:r>
        <w:rPr>
          <w:lang w:val="en-US"/>
        </w:rPr>
        <w:t xml:space="preserve">. </w:t>
      </w:r>
      <w:r w:rsidR="004B5C35" w:rsidRPr="002B158B">
        <w:rPr>
          <w:lang w:val="en-US"/>
        </w:rPr>
        <w:t>T</w:t>
      </w:r>
      <w:r w:rsidRPr="002B158B">
        <w:rPr>
          <w:lang w:val="en-US"/>
        </w:rPr>
        <w:t>hen</w:t>
      </w:r>
      <w:r w:rsidR="004B5C35">
        <w:rPr>
          <w:lang w:val="en-US"/>
        </w:rPr>
        <w:t xml:space="preserve"> </w:t>
      </w:r>
      <w:r w:rsidRPr="002B158B">
        <w:rPr>
          <w:lang w:val="en-US"/>
        </w:rPr>
        <w:t>there will be discussions regarding the dividend distribution policy of the company</w:t>
      </w:r>
      <w:r>
        <w:rPr>
          <w:lang w:val="en-US"/>
        </w:rPr>
        <w:t xml:space="preserve">. </w:t>
      </w:r>
      <w:r w:rsidR="004B5C35" w:rsidRPr="002B158B">
        <w:rPr>
          <w:lang w:val="en-US"/>
        </w:rPr>
        <w:t>F</w:t>
      </w:r>
      <w:r w:rsidRPr="002B158B">
        <w:rPr>
          <w:lang w:val="en-US"/>
        </w:rPr>
        <w:t>inally</w:t>
      </w:r>
      <w:r w:rsidR="004B5C35">
        <w:rPr>
          <w:lang w:val="en-US"/>
        </w:rPr>
        <w:t>,</w:t>
      </w:r>
      <w:r w:rsidRPr="002B158B">
        <w:rPr>
          <w:lang w:val="en-US"/>
        </w:rPr>
        <w:t xml:space="preserve"> there will be implication of efficient market hypothesis and critical evaluation of project appraisal techniques used by</w:t>
      </w:r>
      <w:r w:rsidR="004B5C35">
        <w:rPr>
          <w:lang w:val="en-US"/>
        </w:rPr>
        <w:t xml:space="preserve"> Unilever UK.</w:t>
      </w:r>
    </w:p>
    <w:p w14:paraId="6B9CD950" w14:textId="7B49C9A5" w:rsidR="00C45BE6" w:rsidRPr="0011580A" w:rsidRDefault="00C45BE6">
      <w:pPr>
        <w:spacing w:before="0" w:after="160" w:line="259" w:lineRule="auto"/>
        <w:jc w:val="left"/>
      </w:pPr>
      <w:r w:rsidRPr="0011580A">
        <w:br w:type="page"/>
      </w:r>
    </w:p>
    <w:p w14:paraId="0BFDA66E" w14:textId="7FF9C99D" w:rsidR="00312B98" w:rsidRDefault="008B0CB9" w:rsidP="008B0CB9">
      <w:pPr>
        <w:pStyle w:val="Heading1"/>
        <w:rPr>
          <w:lang w:val="en-US"/>
        </w:rPr>
      </w:pPr>
      <w:bookmarkStart w:id="1" w:name="_Toc128778987"/>
      <w:r w:rsidRPr="008B0CB9">
        <w:rPr>
          <w:lang w:val="en-US"/>
        </w:rPr>
        <w:lastRenderedPageBreak/>
        <w:t>Importance</w:t>
      </w:r>
      <w:r>
        <w:rPr>
          <w:lang w:val="en-US"/>
        </w:rPr>
        <w:t xml:space="preserve"> </w:t>
      </w:r>
      <w:r w:rsidRPr="008B0CB9">
        <w:rPr>
          <w:lang w:val="en-US"/>
        </w:rPr>
        <w:t xml:space="preserve">of </w:t>
      </w:r>
      <w:r>
        <w:rPr>
          <w:lang w:val="en-US"/>
        </w:rPr>
        <w:t>IFM to Unilever UK</w:t>
      </w:r>
      <w:bookmarkEnd w:id="1"/>
    </w:p>
    <w:p w14:paraId="2CB87922" w14:textId="6C1FA0D6" w:rsidR="00701BB6" w:rsidRDefault="00701BB6" w:rsidP="00701BB6">
      <w:r w:rsidRPr="00701BB6">
        <w:t>International Financial Management (IFM) is the process of managing financial resources of a company operating in multiple countries. It involves managing foreign exchange risk, optimizing cash flows, ensuring compliance with international accounting standards and regulations, and making investment decisions across different jurisdictions</w:t>
      </w:r>
      <w:r w:rsidR="00B9661F">
        <w:t xml:space="preserve"> </w:t>
      </w:r>
      <w:r w:rsidR="00B9661F" w:rsidRPr="00B9661F">
        <w:t>(Henning et al., 2022)</w:t>
      </w:r>
      <w:r w:rsidRPr="00701BB6">
        <w:t>.</w:t>
      </w:r>
      <w:r>
        <w:t xml:space="preserve"> </w:t>
      </w:r>
      <w:r w:rsidRPr="00701BB6">
        <w:t>For Unilever UK, as a multinational corporation with operations in several countries, IFM is of great importance</w:t>
      </w:r>
      <w:r>
        <w:t xml:space="preserve"> – </w:t>
      </w:r>
    </w:p>
    <w:p w14:paraId="1D6706A4" w14:textId="57695DF1" w:rsidR="00701BB6" w:rsidRPr="00701BB6" w:rsidRDefault="00701BB6" w:rsidP="00701BB6">
      <w:pPr>
        <w:numPr>
          <w:ilvl w:val="0"/>
          <w:numId w:val="19"/>
        </w:numPr>
        <w:rPr>
          <w:lang w:val="en-US"/>
        </w:rPr>
      </w:pPr>
      <w:r w:rsidRPr="00701BB6">
        <w:rPr>
          <w:b/>
          <w:bCs/>
          <w:lang w:val="en-US"/>
        </w:rPr>
        <w:t>Manage Foreign Exchange Risk</w:t>
      </w:r>
      <w:r w:rsidRPr="00701BB6">
        <w:rPr>
          <w:lang w:val="en-US"/>
        </w:rPr>
        <w:t xml:space="preserve">: Unilever UK operates in several countries and is exposed to currency risks. Changes in </w:t>
      </w:r>
      <w:r w:rsidR="0056011B">
        <w:rPr>
          <w:lang w:val="en-US"/>
        </w:rPr>
        <w:t>the foreign</w:t>
      </w:r>
      <w:r w:rsidRPr="00701BB6">
        <w:rPr>
          <w:lang w:val="en-US"/>
        </w:rPr>
        <w:t xml:space="preserve"> exchange rates can </w:t>
      </w:r>
      <w:r w:rsidR="0056011B">
        <w:rPr>
          <w:lang w:val="en-US"/>
        </w:rPr>
        <w:t>influence the performance of the company</w:t>
      </w:r>
      <w:r w:rsidRPr="00701BB6">
        <w:rPr>
          <w:lang w:val="en-US"/>
        </w:rPr>
        <w:t>, cash flows and profitability. IFM helps Unilever UK to manage this risk by hedging its exposure to foreign currencies through various financial instruments such as currency futures, options, and swaps.</w:t>
      </w:r>
    </w:p>
    <w:p w14:paraId="147680D2" w14:textId="20758151" w:rsidR="00701BB6" w:rsidRPr="00701BB6" w:rsidRDefault="00701BB6" w:rsidP="00701BB6">
      <w:pPr>
        <w:numPr>
          <w:ilvl w:val="0"/>
          <w:numId w:val="19"/>
        </w:numPr>
        <w:rPr>
          <w:lang w:val="en-US"/>
        </w:rPr>
      </w:pPr>
      <w:r w:rsidRPr="00701BB6">
        <w:rPr>
          <w:b/>
          <w:bCs/>
          <w:lang w:val="en-US"/>
        </w:rPr>
        <w:t>Optimize Cash Flows</w:t>
      </w:r>
      <w:r w:rsidRPr="00701BB6">
        <w:rPr>
          <w:lang w:val="en-US"/>
        </w:rPr>
        <w:t>: Unilever UK has to manage cash flows across different countries and currencies. IFM helps the company to optimize its cash flows by ensuring that it has sufficient funds in each country to meet its operational and investment needs. It also helps the company to reduce the cost of capital by raising funds in the most cost-effective manner</w:t>
      </w:r>
      <w:r w:rsidR="00B9661F">
        <w:rPr>
          <w:lang w:val="en-US"/>
        </w:rPr>
        <w:t xml:space="preserve"> </w:t>
      </w:r>
      <w:r w:rsidR="00B9661F" w:rsidRPr="00B9661F">
        <w:t>(Bergendahl, 2021)</w:t>
      </w:r>
      <w:r w:rsidRPr="00701BB6">
        <w:rPr>
          <w:lang w:val="en-US"/>
        </w:rPr>
        <w:t>.</w:t>
      </w:r>
    </w:p>
    <w:p w14:paraId="2138B775" w14:textId="7F9B8C16" w:rsidR="00701BB6" w:rsidRPr="00701BB6" w:rsidRDefault="00701BB6" w:rsidP="00701BB6">
      <w:pPr>
        <w:numPr>
          <w:ilvl w:val="0"/>
          <w:numId w:val="19"/>
        </w:numPr>
        <w:rPr>
          <w:lang w:val="en-US"/>
        </w:rPr>
      </w:pPr>
      <w:r w:rsidRPr="00701BB6">
        <w:rPr>
          <w:b/>
          <w:bCs/>
          <w:lang w:val="en-US"/>
        </w:rPr>
        <w:t>Ensure Compliance</w:t>
      </w:r>
      <w:r w:rsidR="0056011B">
        <w:rPr>
          <w:b/>
          <w:bCs/>
          <w:lang w:val="en-US"/>
        </w:rPr>
        <w:t xml:space="preserve"> with The</w:t>
      </w:r>
      <w:r w:rsidRPr="00701BB6">
        <w:rPr>
          <w:b/>
          <w:bCs/>
          <w:lang w:val="en-US"/>
        </w:rPr>
        <w:t xml:space="preserve"> International Accounting Standards</w:t>
      </w:r>
      <w:r w:rsidRPr="00701BB6">
        <w:rPr>
          <w:lang w:val="en-US"/>
        </w:rPr>
        <w:t xml:space="preserve">: Unilever UK is required to comply with </w:t>
      </w:r>
      <w:r w:rsidR="0056011B">
        <w:rPr>
          <w:lang w:val="en-US"/>
        </w:rPr>
        <w:t>IAS</w:t>
      </w:r>
      <w:r w:rsidRPr="00701BB6">
        <w:rPr>
          <w:lang w:val="en-US"/>
        </w:rPr>
        <w:t xml:space="preserve"> such as IFRS </w:t>
      </w:r>
      <w:r w:rsidR="0097752B">
        <w:rPr>
          <w:lang w:val="en-US"/>
        </w:rPr>
        <w:t xml:space="preserve">or </w:t>
      </w:r>
      <w:r w:rsidRPr="00701BB6">
        <w:rPr>
          <w:lang w:val="en-US"/>
        </w:rPr>
        <w:t xml:space="preserve">International Financial Reporting Standards. IFM ensures that the company's financial reporting is accurate, transparent and complies with these standards. This helps the company to maintain its reputation and credibility with investors, </w:t>
      </w:r>
      <w:r w:rsidR="00B9661F" w:rsidRPr="00701BB6">
        <w:rPr>
          <w:lang w:val="en-US"/>
        </w:rPr>
        <w:t>regulators,</w:t>
      </w:r>
      <w:r w:rsidRPr="00701BB6">
        <w:rPr>
          <w:lang w:val="en-US"/>
        </w:rPr>
        <w:t xml:space="preserve"> and other stakeholders</w:t>
      </w:r>
      <w:r w:rsidR="00D168B3">
        <w:rPr>
          <w:lang w:val="en-US"/>
        </w:rPr>
        <w:t xml:space="preserve"> </w:t>
      </w:r>
      <w:r w:rsidR="00D168B3" w:rsidRPr="00D168B3">
        <w:t>(Madura &amp; Fox, 2022)</w:t>
      </w:r>
      <w:r w:rsidRPr="00701BB6">
        <w:rPr>
          <w:lang w:val="en-US"/>
        </w:rPr>
        <w:t>.</w:t>
      </w:r>
    </w:p>
    <w:p w14:paraId="17E2BBB4" w14:textId="77777777" w:rsidR="00701BB6" w:rsidRPr="00701BB6" w:rsidRDefault="00701BB6" w:rsidP="00701BB6">
      <w:pPr>
        <w:numPr>
          <w:ilvl w:val="0"/>
          <w:numId w:val="19"/>
        </w:numPr>
        <w:rPr>
          <w:lang w:val="en-US"/>
        </w:rPr>
      </w:pPr>
      <w:r w:rsidRPr="00701BB6">
        <w:rPr>
          <w:b/>
          <w:bCs/>
          <w:lang w:val="en-US"/>
        </w:rPr>
        <w:t>Make Investment Decisions</w:t>
      </w:r>
      <w:r w:rsidRPr="00701BB6">
        <w:rPr>
          <w:lang w:val="en-US"/>
        </w:rPr>
        <w:t>: Unilever UK needs to make investment decisions across different countries and currencies. IFM helps the company to evaluate the risks and returns of these investments and to select the most appropriate investment opportunities. This ensures that the company's investments are aligned with its strategic objectives and maximize its shareholder value.</w:t>
      </w:r>
    </w:p>
    <w:p w14:paraId="068B0DC5" w14:textId="77777777" w:rsidR="00701BB6" w:rsidRPr="00701BB6" w:rsidRDefault="00701BB6" w:rsidP="00701BB6">
      <w:pPr>
        <w:rPr>
          <w:lang w:val="en-US"/>
        </w:rPr>
      </w:pPr>
    </w:p>
    <w:p w14:paraId="33434204" w14:textId="0B5528F9" w:rsidR="008B0CB9" w:rsidRDefault="008B0CB9" w:rsidP="008B0CB9">
      <w:pPr>
        <w:pStyle w:val="Heading1"/>
        <w:rPr>
          <w:lang w:val="en-US"/>
        </w:rPr>
      </w:pPr>
      <w:bookmarkStart w:id="2" w:name="_Toc128778988"/>
      <w:r>
        <w:rPr>
          <w:lang w:val="en-US"/>
        </w:rPr>
        <w:lastRenderedPageBreak/>
        <w:t>Challenges of IFM to Unilever UK</w:t>
      </w:r>
      <w:bookmarkEnd w:id="2"/>
    </w:p>
    <w:p w14:paraId="0BFF66BA" w14:textId="7C4F1D98" w:rsidR="00D821DE" w:rsidRPr="00D821DE" w:rsidRDefault="00D821DE" w:rsidP="00D821DE">
      <w:pPr>
        <w:rPr>
          <w:lang w:val="en-US"/>
        </w:rPr>
      </w:pPr>
      <w:r w:rsidRPr="00D821DE">
        <w:rPr>
          <w:lang w:val="en-US"/>
        </w:rPr>
        <w:t>Unilever UK may face various challenges when operating in different international financial markets. Here are some possible challenges that the company may experience</w:t>
      </w:r>
      <w:r>
        <w:rPr>
          <w:lang w:val="en-US"/>
        </w:rPr>
        <w:t xml:space="preserve">, described below as follows – </w:t>
      </w:r>
    </w:p>
    <w:p w14:paraId="11116226" w14:textId="4EAC74FD" w:rsidR="00D821DE" w:rsidRPr="00D821DE" w:rsidRDefault="00D821DE" w:rsidP="00D821DE">
      <w:pPr>
        <w:numPr>
          <w:ilvl w:val="0"/>
          <w:numId w:val="20"/>
        </w:numPr>
        <w:rPr>
          <w:lang w:val="en-US"/>
        </w:rPr>
      </w:pPr>
      <w:r w:rsidRPr="00D821DE">
        <w:rPr>
          <w:b/>
          <w:bCs/>
          <w:lang w:val="en-US"/>
        </w:rPr>
        <w:t>Foreign Exchange Risk</w:t>
      </w:r>
      <w:r w:rsidRPr="00D821DE">
        <w:rPr>
          <w:lang w:val="en-US"/>
        </w:rPr>
        <w:t>: Unilever UK may face currency risk due to fluctuations in exchange rates between the currencies in which it operates</w:t>
      </w:r>
      <w:r>
        <w:rPr>
          <w:lang w:val="en-US"/>
        </w:rPr>
        <w:t xml:space="preserve"> for different turmoil like Russia and Ukraine War or Covid-19 business </w:t>
      </w:r>
      <w:r w:rsidR="0056011B">
        <w:rPr>
          <w:lang w:val="en-US"/>
        </w:rPr>
        <w:t>volatility</w:t>
      </w:r>
      <w:r w:rsidRPr="00D821DE">
        <w:rPr>
          <w:lang w:val="en-US"/>
        </w:rPr>
        <w:t>. This can affect the company's profitability, cash flows, and financial performance. The company needs to manage this risk effectively through hedging strategies to protect against adverse currency movements</w:t>
      </w:r>
      <w:r w:rsidR="006E1CFE">
        <w:rPr>
          <w:lang w:val="en-US"/>
        </w:rPr>
        <w:t xml:space="preserve"> </w:t>
      </w:r>
      <w:r w:rsidR="006E1CFE" w:rsidRPr="006E1CFE">
        <w:t>(Lee, 2022)</w:t>
      </w:r>
      <w:r w:rsidRPr="00D821DE">
        <w:rPr>
          <w:lang w:val="en-US"/>
        </w:rPr>
        <w:t>.</w:t>
      </w:r>
    </w:p>
    <w:p w14:paraId="62EF13E2" w14:textId="799CF596" w:rsidR="00D821DE" w:rsidRPr="00D821DE" w:rsidRDefault="00D821DE" w:rsidP="00D821DE">
      <w:pPr>
        <w:numPr>
          <w:ilvl w:val="0"/>
          <w:numId w:val="20"/>
        </w:numPr>
        <w:rPr>
          <w:lang w:val="en-US"/>
        </w:rPr>
      </w:pPr>
      <w:r w:rsidRPr="00D821DE">
        <w:rPr>
          <w:b/>
          <w:bCs/>
          <w:lang w:val="en-US"/>
        </w:rPr>
        <w:t>Economic and Political Instability</w:t>
      </w:r>
      <w:r w:rsidRPr="00D821DE">
        <w:rPr>
          <w:lang w:val="en-US"/>
        </w:rPr>
        <w:t>: Unilever UK may also face economic and political instability in some of the markets where it operates. This can lead to fluctuations in interest rates, inflation, and exchange rates, making it difficult for the company to plan and execute its financial strategies effectively. Additionally, political unrest, changes in government policies, and trade restrictions can create uncertainties and affect the company's operations</w:t>
      </w:r>
      <w:r w:rsidR="00B9661F">
        <w:rPr>
          <w:lang w:val="en-US"/>
        </w:rPr>
        <w:t xml:space="preserve"> </w:t>
      </w:r>
      <w:r w:rsidR="00B9661F" w:rsidRPr="00B9661F">
        <w:t>(Bergendahl, 2021)</w:t>
      </w:r>
      <w:r w:rsidRPr="00D821DE">
        <w:rPr>
          <w:lang w:val="en-US"/>
        </w:rPr>
        <w:t>.</w:t>
      </w:r>
    </w:p>
    <w:p w14:paraId="08DABB44" w14:textId="18B68EBE" w:rsidR="00D821DE" w:rsidRDefault="00D821DE" w:rsidP="00D821DE">
      <w:pPr>
        <w:numPr>
          <w:ilvl w:val="0"/>
          <w:numId w:val="20"/>
        </w:numPr>
        <w:rPr>
          <w:lang w:val="en-US"/>
        </w:rPr>
      </w:pPr>
      <w:r w:rsidRPr="00D821DE">
        <w:rPr>
          <w:b/>
          <w:bCs/>
          <w:lang w:val="en-US"/>
        </w:rPr>
        <w:t>Regulatory Compliance</w:t>
      </w:r>
      <w:r w:rsidRPr="00D821DE">
        <w:rPr>
          <w:lang w:val="en-US"/>
        </w:rPr>
        <w:t xml:space="preserve">: Unilever UK may face regulatory compliance issues in different international financial markets </w:t>
      </w:r>
      <w:r w:rsidR="00E32CB6">
        <w:rPr>
          <w:lang w:val="en-US"/>
        </w:rPr>
        <w:t xml:space="preserve">like China </w:t>
      </w:r>
      <w:r w:rsidRPr="00D821DE">
        <w:rPr>
          <w:lang w:val="en-US"/>
        </w:rPr>
        <w:t>due to differences in accounting standards, tax laws, and other regulations. Compliance with these regulations can be complex and time-consuming, and failure to comply can result in penalties and legal risks.</w:t>
      </w:r>
    </w:p>
    <w:p w14:paraId="2E8ED22A" w14:textId="38215626" w:rsidR="00077BE4" w:rsidRDefault="00077BE4" w:rsidP="00077BE4">
      <w:pPr>
        <w:rPr>
          <w:lang w:val="en-US"/>
        </w:rPr>
      </w:pPr>
    </w:p>
    <w:p w14:paraId="71F2AED1" w14:textId="0FBAEB3C" w:rsidR="00077BE4" w:rsidRDefault="00077BE4" w:rsidP="00077BE4">
      <w:pPr>
        <w:rPr>
          <w:lang w:val="en-US"/>
        </w:rPr>
      </w:pPr>
    </w:p>
    <w:p w14:paraId="10DF234F" w14:textId="05E14EBA" w:rsidR="00077BE4" w:rsidRDefault="00077BE4" w:rsidP="00077BE4">
      <w:pPr>
        <w:rPr>
          <w:lang w:val="en-US"/>
        </w:rPr>
      </w:pPr>
    </w:p>
    <w:p w14:paraId="2F95F8A2" w14:textId="77777777" w:rsidR="00077BE4" w:rsidRPr="00D821DE" w:rsidRDefault="00077BE4" w:rsidP="00077BE4">
      <w:pPr>
        <w:rPr>
          <w:lang w:val="en-US"/>
        </w:rPr>
      </w:pPr>
    </w:p>
    <w:p w14:paraId="435CD37C" w14:textId="7E06BBB5" w:rsidR="008B0CB9" w:rsidRDefault="0023340B" w:rsidP="0023340B">
      <w:pPr>
        <w:pStyle w:val="Heading1"/>
        <w:rPr>
          <w:lang w:val="en-US"/>
        </w:rPr>
      </w:pPr>
      <w:bookmarkStart w:id="3" w:name="_Toc128778989"/>
      <w:r>
        <w:rPr>
          <w:lang w:val="en-US"/>
        </w:rPr>
        <w:lastRenderedPageBreak/>
        <w:t>Theoretical Implications of IFM to Unilever UK</w:t>
      </w:r>
      <w:bookmarkEnd w:id="3"/>
    </w:p>
    <w:p w14:paraId="635C0B95" w14:textId="7531FD61" w:rsidR="0023340B" w:rsidRDefault="0023340B" w:rsidP="0023340B">
      <w:pPr>
        <w:pStyle w:val="Heading2"/>
        <w:rPr>
          <w:lang w:val="en-US"/>
        </w:rPr>
      </w:pPr>
      <w:bookmarkStart w:id="4" w:name="_Toc128778990"/>
      <w:r>
        <w:rPr>
          <w:lang w:val="en-US"/>
        </w:rPr>
        <w:t>Dividend Distribution Policy</w:t>
      </w:r>
      <w:bookmarkEnd w:id="4"/>
    </w:p>
    <w:p w14:paraId="0C903298" w14:textId="77777777" w:rsidR="00860CCB" w:rsidRPr="00860CCB" w:rsidRDefault="00860CCB" w:rsidP="00860CCB">
      <w:pPr>
        <w:rPr>
          <w:lang w:val="en-US"/>
        </w:rPr>
      </w:pPr>
      <w:r w:rsidRPr="00860CCB">
        <w:rPr>
          <w:lang w:val="en-US"/>
        </w:rPr>
        <w:t>Unilever UK's dividend distribution policy aims to provide a steady and sustainable return to shareholders while balancing the need to reinvest profits back into the business to support growth and innovation.</w:t>
      </w:r>
    </w:p>
    <w:p w14:paraId="4D900FCD" w14:textId="2D87A5C8" w:rsidR="003732EC" w:rsidRPr="00860CCB" w:rsidRDefault="00860CCB" w:rsidP="00860CCB">
      <w:pPr>
        <w:rPr>
          <w:lang w:val="en-US"/>
        </w:rPr>
      </w:pPr>
      <w:r w:rsidRPr="00860CCB">
        <w:rPr>
          <w:lang w:val="en-US"/>
        </w:rPr>
        <w:t>In recent years, Unilever UK has consistently paid dividends to shareholders and has increased its dividend payout over time. For example, in 202</w:t>
      </w:r>
      <w:r>
        <w:rPr>
          <w:lang w:val="en-US"/>
        </w:rPr>
        <w:t>2</w:t>
      </w:r>
      <w:r w:rsidRPr="00860CCB">
        <w:rPr>
          <w:lang w:val="en-US"/>
        </w:rPr>
        <w:t>, the company declared a total dividend of €1.</w:t>
      </w:r>
      <w:r>
        <w:rPr>
          <w:lang w:val="en-US"/>
        </w:rPr>
        <w:t>66</w:t>
      </w:r>
      <w:r w:rsidRPr="00860CCB">
        <w:rPr>
          <w:lang w:val="en-US"/>
        </w:rPr>
        <w:t xml:space="preserve"> per share, an increase of </w:t>
      </w:r>
      <w:r w:rsidR="00C43A33">
        <w:rPr>
          <w:lang w:val="en-US"/>
        </w:rPr>
        <w:t>0.7</w:t>
      </w:r>
      <w:r w:rsidRPr="00860CCB">
        <w:rPr>
          <w:lang w:val="en-US"/>
        </w:rPr>
        <w:t>% from the previous year.</w:t>
      </w:r>
      <w:r w:rsidR="003732EC">
        <w:rPr>
          <w:lang w:val="en-US"/>
        </w:rPr>
        <w:t xml:space="preserve"> The historical payout ratio is given below as follows – </w:t>
      </w:r>
    </w:p>
    <w:p w14:paraId="3D35FE48" w14:textId="282631D7" w:rsidR="00375E0D" w:rsidRDefault="00F873D7" w:rsidP="00F873D7">
      <w:pPr>
        <w:jc w:val="center"/>
        <w:rPr>
          <w:lang w:val="en-US"/>
        </w:rPr>
      </w:pPr>
      <w:r>
        <w:rPr>
          <w:noProof/>
        </w:rPr>
        <w:drawing>
          <wp:inline distT="0" distB="0" distL="0" distR="0" wp14:anchorId="5410FDFD" wp14:editId="2AECAFD3">
            <wp:extent cx="4575587" cy="2758168"/>
            <wp:effectExtent l="0" t="0" r="15875" b="4445"/>
            <wp:docPr id="1" name="Chart 1">
              <a:extLst xmlns:a="http://schemas.openxmlformats.org/drawingml/2006/main">
                <a:ext uri="{FF2B5EF4-FFF2-40B4-BE49-F238E27FC236}">
                  <a16:creationId xmlns:a16="http://schemas.microsoft.com/office/drawing/2014/main" id="{22DE322B-25BA-CB75-9504-0F9021D43FB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5C52CFA8" w14:textId="51DE6B52" w:rsidR="00F873D7" w:rsidRDefault="00F873D7" w:rsidP="00F873D7">
      <w:pPr>
        <w:pStyle w:val="Caption"/>
        <w:jc w:val="center"/>
      </w:pPr>
      <w:r>
        <w:t xml:space="preserve">Figure </w:t>
      </w:r>
      <w:r>
        <w:fldChar w:fldCharType="begin"/>
      </w:r>
      <w:r>
        <w:instrText xml:space="preserve"> SEQ Figure \* ARABIC </w:instrText>
      </w:r>
      <w:r>
        <w:fldChar w:fldCharType="separate"/>
      </w:r>
      <w:r>
        <w:rPr>
          <w:noProof/>
        </w:rPr>
        <w:t>1</w:t>
      </w:r>
      <w:r>
        <w:fldChar w:fldCharType="end"/>
      </w:r>
      <w:r>
        <w:t xml:space="preserve">: Historical </w:t>
      </w:r>
      <w:r w:rsidR="00127AC7" w:rsidRPr="007C0F59">
        <w:t>Pay-out</w:t>
      </w:r>
      <w:r w:rsidRPr="007C0F59">
        <w:t xml:space="preserve"> Ratio</w:t>
      </w:r>
      <w:r>
        <w:t xml:space="preserve"> (Source- Author)</w:t>
      </w:r>
    </w:p>
    <w:p w14:paraId="737CE841" w14:textId="35115303" w:rsidR="0062691D" w:rsidRDefault="003732EC" w:rsidP="002E4A56">
      <w:pPr>
        <w:rPr>
          <w:lang w:val="en-US"/>
        </w:rPr>
      </w:pPr>
      <w:r w:rsidRPr="00860CCB">
        <w:rPr>
          <w:lang w:val="en-US"/>
        </w:rPr>
        <w:t xml:space="preserve">The company's dividend policy is to pay out around 50% of its earnings as dividends, with the remaining 50% reinvested back into the business for future growth. </w:t>
      </w:r>
      <w:r>
        <w:rPr>
          <w:lang w:val="en-US"/>
        </w:rPr>
        <w:t>This is evident from the above graph as it moves around 50% during the last 5 years</w:t>
      </w:r>
      <w:r w:rsidR="0009475C">
        <w:rPr>
          <w:lang w:val="en-US"/>
        </w:rPr>
        <w:t xml:space="preserve"> </w:t>
      </w:r>
      <w:r w:rsidR="0009475C" w:rsidRPr="0009475C">
        <w:t>(Hargreaves Lansdown, 2022)</w:t>
      </w:r>
      <w:r>
        <w:rPr>
          <w:lang w:val="en-US"/>
        </w:rPr>
        <w:t xml:space="preserve">. </w:t>
      </w:r>
      <w:r w:rsidRPr="00860CCB">
        <w:rPr>
          <w:lang w:val="en-US"/>
        </w:rPr>
        <w:t>Unilever UK typically pays dividends twice a year, with the interim dividend declared in October and the final dividend declared in April.</w:t>
      </w:r>
    </w:p>
    <w:p w14:paraId="74AA623E" w14:textId="77777777" w:rsidR="00077BE4" w:rsidRPr="002E4A56" w:rsidRDefault="00077BE4" w:rsidP="002E4A56">
      <w:pPr>
        <w:rPr>
          <w:lang w:val="en-US"/>
        </w:rPr>
      </w:pPr>
    </w:p>
    <w:p w14:paraId="34FFE230" w14:textId="5B68E486" w:rsidR="0023340B" w:rsidRDefault="0023340B" w:rsidP="0023340B">
      <w:pPr>
        <w:pStyle w:val="Heading2"/>
        <w:rPr>
          <w:lang w:val="en-US"/>
        </w:rPr>
      </w:pPr>
      <w:bookmarkStart w:id="5" w:name="_Toc128778991"/>
      <w:r>
        <w:rPr>
          <w:lang w:val="en-US"/>
        </w:rPr>
        <w:lastRenderedPageBreak/>
        <w:t>Efficient market Hypothesis</w:t>
      </w:r>
      <w:bookmarkEnd w:id="5"/>
    </w:p>
    <w:p w14:paraId="300E1570" w14:textId="2CE7C987" w:rsidR="00375E0D" w:rsidRPr="00375E0D" w:rsidRDefault="00375E0D" w:rsidP="00375E0D">
      <w:pPr>
        <w:rPr>
          <w:lang w:val="en-US"/>
        </w:rPr>
      </w:pPr>
      <w:r w:rsidRPr="00375E0D">
        <w:rPr>
          <w:lang w:val="en-US"/>
        </w:rPr>
        <w:t xml:space="preserve">The </w:t>
      </w:r>
      <w:r w:rsidR="00C20BFF">
        <w:rPr>
          <w:lang w:val="en-US"/>
        </w:rPr>
        <w:t>theory of EMH</w:t>
      </w:r>
      <w:r w:rsidRPr="00375E0D">
        <w:rPr>
          <w:lang w:val="en-US"/>
        </w:rPr>
        <w:t xml:space="preserve"> suggests that </w:t>
      </w:r>
      <w:r w:rsidR="00C20BFF">
        <w:rPr>
          <w:lang w:val="en-US"/>
        </w:rPr>
        <w:t xml:space="preserve">the </w:t>
      </w:r>
      <w:r w:rsidRPr="00375E0D">
        <w:rPr>
          <w:lang w:val="en-US"/>
        </w:rPr>
        <w:t xml:space="preserve">financial markets are </w:t>
      </w:r>
      <w:r w:rsidR="00C20BFF">
        <w:rPr>
          <w:lang w:val="en-US"/>
        </w:rPr>
        <w:t xml:space="preserve">being </w:t>
      </w:r>
      <w:r w:rsidRPr="00375E0D">
        <w:rPr>
          <w:lang w:val="en-US"/>
        </w:rPr>
        <w:t xml:space="preserve">efficient </w:t>
      </w:r>
      <w:r w:rsidR="00C20BFF">
        <w:rPr>
          <w:lang w:val="en-US"/>
        </w:rPr>
        <w:t>as the prices of</w:t>
      </w:r>
      <w:r w:rsidRPr="00375E0D">
        <w:rPr>
          <w:lang w:val="en-US"/>
        </w:rPr>
        <w:t xml:space="preserve"> stock</w:t>
      </w:r>
      <w:r w:rsidR="00C20BFF">
        <w:rPr>
          <w:lang w:val="en-US"/>
        </w:rPr>
        <w:t>s</w:t>
      </w:r>
      <w:r w:rsidRPr="00375E0D">
        <w:rPr>
          <w:lang w:val="en-US"/>
        </w:rPr>
        <w:t xml:space="preserve"> fully </w:t>
      </w:r>
      <w:r w:rsidR="00C20BFF">
        <w:rPr>
          <w:lang w:val="en-US"/>
        </w:rPr>
        <w:t>reflect all types of given information</w:t>
      </w:r>
      <w:r w:rsidRPr="00375E0D">
        <w:rPr>
          <w:lang w:val="en-US"/>
        </w:rPr>
        <w:t xml:space="preserve"> </w:t>
      </w:r>
      <w:r w:rsidR="00C20BFF">
        <w:rPr>
          <w:lang w:val="en-US"/>
        </w:rPr>
        <w:t>for any particular time period</w:t>
      </w:r>
      <w:r w:rsidRPr="00375E0D">
        <w:rPr>
          <w:lang w:val="en-US"/>
        </w:rPr>
        <w:t xml:space="preserve">. This </w:t>
      </w:r>
      <w:r w:rsidR="00C20BFF">
        <w:rPr>
          <w:lang w:val="en-US"/>
        </w:rPr>
        <w:t>depicts</w:t>
      </w:r>
      <w:r w:rsidRPr="00375E0D">
        <w:rPr>
          <w:lang w:val="en-US"/>
        </w:rPr>
        <w:t xml:space="preserve"> that </w:t>
      </w:r>
      <w:r w:rsidR="00C20BFF">
        <w:rPr>
          <w:lang w:val="en-US"/>
        </w:rPr>
        <w:t>there is no possibility</w:t>
      </w:r>
      <w:r w:rsidRPr="00375E0D">
        <w:rPr>
          <w:lang w:val="en-US"/>
        </w:rPr>
        <w:t xml:space="preserve"> </w:t>
      </w:r>
      <w:r w:rsidR="00C20BFF">
        <w:rPr>
          <w:lang w:val="en-US"/>
        </w:rPr>
        <w:t>for</w:t>
      </w:r>
      <w:r w:rsidRPr="00375E0D">
        <w:rPr>
          <w:lang w:val="en-US"/>
        </w:rPr>
        <w:t xml:space="preserve"> </w:t>
      </w:r>
      <w:r w:rsidR="0050053B">
        <w:rPr>
          <w:lang w:val="en-US"/>
        </w:rPr>
        <w:t>beating</w:t>
      </w:r>
      <w:r w:rsidRPr="00375E0D">
        <w:rPr>
          <w:lang w:val="en-US"/>
        </w:rPr>
        <w:t xml:space="preserve"> the market </w:t>
      </w:r>
      <w:r w:rsidR="0050053B">
        <w:rPr>
          <w:lang w:val="en-US"/>
        </w:rPr>
        <w:t xml:space="preserve">consistently </w:t>
      </w:r>
      <w:r w:rsidRPr="00375E0D">
        <w:rPr>
          <w:lang w:val="en-US"/>
        </w:rPr>
        <w:t xml:space="preserve">by </w:t>
      </w:r>
      <w:r w:rsidR="0050053B">
        <w:rPr>
          <w:lang w:val="en-US"/>
        </w:rPr>
        <w:t>having any type of</w:t>
      </w:r>
      <w:r w:rsidRPr="00375E0D">
        <w:rPr>
          <w:lang w:val="en-US"/>
        </w:rPr>
        <w:t xml:space="preserve"> publicly available information</w:t>
      </w:r>
      <w:r w:rsidR="0050053B">
        <w:rPr>
          <w:lang w:val="en-US"/>
        </w:rPr>
        <w:t xml:space="preserve"> as </w:t>
      </w:r>
      <w:r w:rsidR="002B158B">
        <w:rPr>
          <w:lang w:val="en-US"/>
        </w:rPr>
        <w:t>that information</w:t>
      </w:r>
      <w:r w:rsidRPr="00375E0D">
        <w:rPr>
          <w:lang w:val="en-US"/>
        </w:rPr>
        <w:t xml:space="preserve"> </w:t>
      </w:r>
      <w:r w:rsidR="0050053B">
        <w:rPr>
          <w:lang w:val="en-US"/>
        </w:rPr>
        <w:t>has already been</w:t>
      </w:r>
      <w:r w:rsidRPr="00375E0D">
        <w:rPr>
          <w:lang w:val="en-US"/>
        </w:rPr>
        <w:t xml:space="preserve"> reflected in the </w:t>
      </w:r>
      <w:r w:rsidR="0050053B">
        <w:rPr>
          <w:lang w:val="en-US"/>
        </w:rPr>
        <w:t xml:space="preserve">stock </w:t>
      </w:r>
      <w:r w:rsidRPr="00375E0D">
        <w:rPr>
          <w:lang w:val="en-US"/>
        </w:rPr>
        <w:t>prices</w:t>
      </w:r>
      <w:r w:rsidR="00B9661F">
        <w:rPr>
          <w:lang w:val="en-US"/>
        </w:rPr>
        <w:t xml:space="preserve"> </w:t>
      </w:r>
      <w:r w:rsidR="00B9661F" w:rsidRPr="00B9661F">
        <w:t>(Henning et al., 2022)</w:t>
      </w:r>
      <w:r w:rsidRPr="00375E0D">
        <w:rPr>
          <w:lang w:val="en-US"/>
        </w:rPr>
        <w:t>.</w:t>
      </w:r>
      <w:r>
        <w:rPr>
          <w:lang w:val="en-US"/>
        </w:rPr>
        <w:t xml:space="preserve"> The implications are being discussed along with examples below as follows – </w:t>
      </w:r>
    </w:p>
    <w:p w14:paraId="2D9CC075" w14:textId="54EBF220" w:rsidR="00375E0D" w:rsidRPr="00375E0D" w:rsidRDefault="00375E0D" w:rsidP="00375E0D">
      <w:pPr>
        <w:numPr>
          <w:ilvl w:val="0"/>
          <w:numId w:val="21"/>
        </w:numPr>
        <w:rPr>
          <w:lang w:val="en-US"/>
        </w:rPr>
      </w:pPr>
      <w:r w:rsidRPr="00375E0D">
        <w:rPr>
          <w:b/>
          <w:bCs/>
          <w:lang w:val="en-US"/>
        </w:rPr>
        <w:t>Unilever UK's Acquisition of Horlicks</w:t>
      </w:r>
      <w:r w:rsidRPr="00375E0D">
        <w:rPr>
          <w:lang w:val="en-US"/>
        </w:rPr>
        <w:t>: In 2018, Unilever UK announced its acquisition of GlaxoSmithKline's Indian consumer healthcare business, which included the popular Horlicks brand. This acquisition was seen as a significant move for Unilever UK, as it allowed the company to expand its presence in the fast-growing Indian market. However, the market did not appear to fully reflect the impact of this acquisition on Unilever UK's stock price. The company's stock price did not see any significant change following the announcement of the acquisition, and it continued to trade within its normal range. This suggests that the EMH theory may not be entirely accurate, as the market did not appear to fully incorporate all the available information about the acquisition</w:t>
      </w:r>
      <w:r w:rsidR="00D168B3">
        <w:rPr>
          <w:lang w:val="en-US"/>
        </w:rPr>
        <w:t xml:space="preserve"> </w:t>
      </w:r>
      <w:r w:rsidR="00D168B3" w:rsidRPr="00D168B3">
        <w:t>(Bergendahl, 2021)</w:t>
      </w:r>
      <w:r w:rsidRPr="00375E0D">
        <w:rPr>
          <w:lang w:val="en-US"/>
        </w:rPr>
        <w:t>.</w:t>
      </w:r>
    </w:p>
    <w:p w14:paraId="7190159A" w14:textId="5971546C" w:rsidR="00375E0D" w:rsidRPr="00375E0D" w:rsidRDefault="00375E0D" w:rsidP="00375E0D">
      <w:pPr>
        <w:numPr>
          <w:ilvl w:val="0"/>
          <w:numId w:val="21"/>
        </w:numPr>
        <w:rPr>
          <w:lang w:val="en-US"/>
        </w:rPr>
      </w:pPr>
      <w:r w:rsidRPr="00375E0D">
        <w:rPr>
          <w:b/>
          <w:bCs/>
          <w:lang w:val="en-US"/>
        </w:rPr>
        <w:t>Unilever UK's Environmental and Social Initiatives</w:t>
      </w:r>
      <w:r w:rsidRPr="00375E0D">
        <w:rPr>
          <w:lang w:val="en-US"/>
        </w:rPr>
        <w:t xml:space="preserve">: Unilever UK has been actively promoting its environmental and social initiatives in recent years, including its commitment to sustainable </w:t>
      </w:r>
      <w:proofErr w:type="gramStart"/>
      <w:r w:rsidRPr="00375E0D">
        <w:rPr>
          <w:lang w:val="en-US"/>
        </w:rPr>
        <w:t>sourcing</w:t>
      </w:r>
      <w:proofErr w:type="gramEnd"/>
      <w:r w:rsidRPr="00375E0D">
        <w:rPr>
          <w:lang w:val="en-US"/>
        </w:rPr>
        <w:t xml:space="preserve"> and reducing its carbon footprint. These initiatives are seen as positive developments by many investors, who view them as a way to create long-term value for the company. However, the market response to these initiatives has been mixed, with some investors viewing them as a distraction from the company's core business. This suggests that the market may not fully reflect the value of these initiatives, and that there may be factors beyond publicly available information that are influencing the market's perception of them</w:t>
      </w:r>
      <w:r w:rsidR="0009475C">
        <w:rPr>
          <w:lang w:val="en-US"/>
        </w:rPr>
        <w:t xml:space="preserve"> </w:t>
      </w:r>
      <w:r w:rsidR="0009475C" w:rsidRPr="0009475C">
        <w:t>(Hargreaves Lansdown, 2022)</w:t>
      </w:r>
      <w:r w:rsidRPr="00375E0D">
        <w:rPr>
          <w:lang w:val="en-US"/>
        </w:rPr>
        <w:t>.</w:t>
      </w:r>
    </w:p>
    <w:p w14:paraId="6439C4A1" w14:textId="60BA4E79" w:rsidR="00375E0D" w:rsidRPr="00375E0D" w:rsidRDefault="00587088" w:rsidP="00375E0D">
      <w:pPr>
        <w:rPr>
          <w:lang w:val="en-US"/>
        </w:rPr>
      </w:pPr>
      <w:r>
        <w:rPr>
          <w:lang w:val="en-US"/>
        </w:rPr>
        <w:t xml:space="preserve">That is why it can be said that </w:t>
      </w:r>
      <w:r w:rsidRPr="00587088">
        <w:rPr>
          <w:lang w:val="en-US"/>
        </w:rPr>
        <w:t>the EMH theory provides a useful framework for understanding financial markets, but it may not always accurately reflect the market's response to events related to Unilever UK's operations.</w:t>
      </w:r>
    </w:p>
    <w:p w14:paraId="525BFF98" w14:textId="5CF10A2B" w:rsidR="0023340B" w:rsidRDefault="0023340B" w:rsidP="0023340B">
      <w:pPr>
        <w:pStyle w:val="Heading2"/>
        <w:rPr>
          <w:lang w:val="en-US"/>
        </w:rPr>
      </w:pPr>
      <w:bookmarkStart w:id="6" w:name="_Toc128778992"/>
      <w:r>
        <w:rPr>
          <w:lang w:val="en-US"/>
        </w:rPr>
        <w:lastRenderedPageBreak/>
        <w:t>Project Appraisals Technique</w:t>
      </w:r>
      <w:bookmarkEnd w:id="6"/>
    </w:p>
    <w:p w14:paraId="2B98A799" w14:textId="06785430" w:rsidR="00A37403" w:rsidRPr="00A37403" w:rsidRDefault="00A37403" w:rsidP="00A37403">
      <w:pPr>
        <w:rPr>
          <w:lang w:val="en-US"/>
        </w:rPr>
      </w:pPr>
      <w:r w:rsidRPr="00A37403">
        <w:rPr>
          <w:lang w:val="en-US"/>
        </w:rPr>
        <w:t>Unilever UK is a multinational consumer goods company that operates in a highly competitive and rapidly changing business environment</w:t>
      </w:r>
      <w:r>
        <w:rPr>
          <w:lang w:val="en-US"/>
        </w:rPr>
        <w:t>. The</w:t>
      </w:r>
      <w:r w:rsidRPr="00A37403">
        <w:rPr>
          <w:lang w:val="en-US"/>
        </w:rPr>
        <w:t xml:space="preserve"> methods of appraising projects</w:t>
      </w:r>
      <w:r>
        <w:rPr>
          <w:lang w:val="en-US"/>
        </w:rPr>
        <w:t xml:space="preserve"> by Unilever UK are being analyzed below as follows – </w:t>
      </w:r>
    </w:p>
    <w:p w14:paraId="1A627259" w14:textId="7E54AECC" w:rsidR="00A37403" w:rsidRPr="00A37403" w:rsidRDefault="00A37403" w:rsidP="00A37403">
      <w:pPr>
        <w:numPr>
          <w:ilvl w:val="0"/>
          <w:numId w:val="22"/>
        </w:numPr>
        <w:rPr>
          <w:lang w:val="en-US"/>
        </w:rPr>
      </w:pPr>
      <w:r w:rsidRPr="00A37403">
        <w:rPr>
          <w:b/>
          <w:bCs/>
          <w:lang w:val="en-US"/>
        </w:rPr>
        <w:t>Discounted Cash Flow (DCF) Analysis</w:t>
      </w:r>
      <w:r w:rsidRPr="00A37403">
        <w:rPr>
          <w:lang w:val="en-US"/>
        </w:rPr>
        <w:t xml:space="preserve">: Unilever UK primarily uses discounted cash flow (DCF) analysis to appraise projects. This method involves </w:t>
      </w:r>
      <w:r w:rsidR="00A44BBB">
        <w:rPr>
          <w:lang w:val="en-US"/>
        </w:rPr>
        <w:t>predicting</w:t>
      </w:r>
      <w:r w:rsidRPr="00A37403">
        <w:rPr>
          <w:lang w:val="en-US"/>
        </w:rPr>
        <w:t xml:space="preserve"> the future cash flows that a project is </w:t>
      </w:r>
      <w:r w:rsidR="00A44BBB">
        <w:rPr>
          <w:lang w:val="en-US"/>
        </w:rPr>
        <w:t xml:space="preserve">being </w:t>
      </w:r>
      <w:r w:rsidRPr="00A37403">
        <w:rPr>
          <w:lang w:val="en-US"/>
        </w:rPr>
        <w:t xml:space="preserve">expected to generate and </w:t>
      </w:r>
      <w:r w:rsidR="00A44BBB">
        <w:rPr>
          <w:lang w:val="en-US"/>
        </w:rPr>
        <w:t xml:space="preserve">then </w:t>
      </w:r>
      <w:r w:rsidRPr="00A37403">
        <w:rPr>
          <w:lang w:val="en-US"/>
        </w:rPr>
        <w:t>discounting them back to their present value using a discount rate</w:t>
      </w:r>
      <w:r w:rsidR="00D168B3">
        <w:rPr>
          <w:lang w:val="en-US"/>
        </w:rPr>
        <w:t xml:space="preserve"> </w:t>
      </w:r>
      <w:r w:rsidR="00D168B3" w:rsidRPr="00D168B3">
        <w:t>(Madura &amp; Fox, 2022)</w:t>
      </w:r>
      <w:r w:rsidRPr="00A37403">
        <w:rPr>
          <w:lang w:val="en-US"/>
        </w:rPr>
        <w:t xml:space="preserve">. </w:t>
      </w:r>
      <w:r>
        <w:rPr>
          <w:lang w:val="en-US"/>
        </w:rPr>
        <w:t xml:space="preserve">For instance, </w:t>
      </w:r>
      <w:r>
        <w:t>i</w:t>
      </w:r>
      <w:r w:rsidRPr="00A37403">
        <w:t xml:space="preserve">n 2016, Unilever UK acquired </w:t>
      </w:r>
      <w:proofErr w:type="spellStart"/>
      <w:r w:rsidRPr="00A37403">
        <w:t>Blueair</w:t>
      </w:r>
      <w:proofErr w:type="spellEnd"/>
      <w:r w:rsidRPr="00A37403">
        <w:t xml:space="preserve">, a Swedish company that produces air purifiers. Unilever UK evaluated the potential of the acquisition using a discounted cash flow (DCF) analysis. The DCF analysis involved </w:t>
      </w:r>
      <w:r w:rsidR="00A44BBB">
        <w:t>forecasting</w:t>
      </w:r>
      <w:r w:rsidRPr="00A37403">
        <w:t xml:space="preserve"> the future cash flows that </w:t>
      </w:r>
      <w:proofErr w:type="spellStart"/>
      <w:r w:rsidRPr="00A37403">
        <w:t>Blueair</w:t>
      </w:r>
      <w:proofErr w:type="spellEnd"/>
      <w:r w:rsidRPr="00A37403">
        <w:t xml:space="preserve"> was expected to generate and </w:t>
      </w:r>
      <w:r w:rsidR="00A44BBB">
        <w:t xml:space="preserve">then </w:t>
      </w:r>
      <w:r w:rsidRPr="00A37403">
        <w:t>discounting them back to their present value</w:t>
      </w:r>
      <w:r w:rsidR="006E1CFE">
        <w:t xml:space="preserve"> </w:t>
      </w:r>
      <w:r w:rsidR="006E1CFE" w:rsidRPr="006E1CFE">
        <w:t>(Lee, 2022)</w:t>
      </w:r>
      <w:r w:rsidRPr="00A37403">
        <w:t>.</w:t>
      </w:r>
    </w:p>
    <w:p w14:paraId="45B4182E" w14:textId="72E93F22" w:rsidR="0007778A" w:rsidRDefault="00A37403" w:rsidP="0009475C">
      <w:pPr>
        <w:pStyle w:val="ListParagraph"/>
        <w:numPr>
          <w:ilvl w:val="0"/>
          <w:numId w:val="22"/>
        </w:numPr>
        <w:rPr>
          <w:lang w:val="en-US"/>
        </w:rPr>
      </w:pPr>
      <w:r w:rsidRPr="00B9661F">
        <w:rPr>
          <w:b/>
          <w:bCs/>
          <w:lang w:val="en-US"/>
        </w:rPr>
        <w:t>Sensitivity Analysis</w:t>
      </w:r>
      <w:r w:rsidRPr="00486050">
        <w:rPr>
          <w:lang w:val="en-US"/>
        </w:rPr>
        <w:t>: Unilever UK also uses sensitivity analysis as part of its project appraisal process. This involves testing how changes in key variables, such as sales volumes or production costs, would impact the project's financial performance. By conducting sensitivity analysis, Unilever UK can identify the key drivers of the project's profitability and assess the risks associated with the project. This can help the company make more informed decisions about whether to invest in the project or not.</w:t>
      </w:r>
      <w:r w:rsidR="00486050" w:rsidRPr="00486050">
        <w:rPr>
          <w:lang w:val="en-US"/>
        </w:rPr>
        <w:t xml:space="preserve"> For instance, in 2019, Unilever UK announced its commitment to use 100% reusable, recyclable, or compostable packaging by 2025. The company evaluated the potential of this initiative using a </w:t>
      </w:r>
      <w:r w:rsidR="0041126A">
        <w:rPr>
          <w:lang w:val="en-US"/>
        </w:rPr>
        <w:t xml:space="preserve">sensitivity </w:t>
      </w:r>
      <w:r w:rsidR="00486050" w:rsidRPr="00486050">
        <w:rPr>
          <w:lang w:val="en-US"/>
        </w:rPr>
        <w:t>analysis that focused on the impact of sustainable packaging on the company's reputation and the environment</w:t>
      </w:r>
      <w:r w:rsidR="00B9661F">
        <w:rPr>
          <w:lang w:val="en-US"/>
        </w:rPr>
        <w:t xml:space="preserve"> </w:t>
      </w:r>
      <w:r w:rsidR="00B9661F" w:rsidRPr="00B9661F">
        <w:t>(Henning et al., 2022)</w:t>
      </w:r>
      <w:r w:rsidR="00486050" w:rsidRPr="00486050">
        <w:rPr>
          <w:lang w:val="en-US"/>
        </w:rPr>
        <w:t>.</w:t>
      </w:r>
    </w:p>
    <w:p w14:paraId="7927FEB3" w14:textId="482FE951" w:rsidR="00077BE4" w:rsidRDefault="00077BE4" w:rsidP="00077BE4">
      <w:pPr>
        <w:rPr>
          <w:lang w:val="en-US"/>
        </w:rPr>
      </w:pPr>
    </w:p>
    <w:p w14:paraId="711697B2" w14:textId="77777777" w:rsidR="00077BE4" w:rsidRPr="00077BE4" w:rsidRDefault="00077BE4" w:rsidP="00077BE4">
      <w:pPr>
        <w:rPr>
          <w:lang w:val="en-US"/>
        </w:rPr>
      </w:pPr>
    </w:p>
    <w:p w14:paraId="79DFB707" w14:textId="3FA40737" w:rsidR="0007778A" w:rsidRDefault="0007778A" w:rsidP="0007778A">
      <w:pPr>
        <w:pStyle w:val="Heading1"/>
        <w:rPr>
          <w:lang w:val="en-US"/>
        </w:rPr>
      </w:pPr>
      <w:bookmarkStart w:id="7" w:name="_Toc128778993"/>
      <w:r>
        <w:rPr>
          <w:lang w:val="en-US"/>
        </w:rPr>
        <w:lastRenderedPageBreak/>
        <w:t>Conclusion</w:t>
      </w:r>
      <w:bookmarkEnd w:id="7"/>
    </w:p>
    <w:p w14:paraId="4359B659" w14:textId="78C3508E" w:rsidR="0007778A" w:rsidRDefault="008A70F2" w:rsidP="0007778A">
      <w:pPr>
        <w:rPr>
          <w:lang w:val="en-US"/>
        </w:rPr>
      </w:pPr>
      <w:r w:rsidRPr="008A70F2">
        <w:rPr>
          <w:lang w:val="en-US"/>
        </w:rPr>
        <w:t>International financial management is very much important for incorporating the company's operations in different financial markets</w:t>
      </w:r>
      <w:r>
        <w:rPr>
          <w:lang w:val="en-US"/>
        </w:rPr>
        <w:t xml:space="preserve">. </w:t>
      </w:r>
      <w:r w:rsidRPr="008A70F2">
        <w:rPr>
          <w:lang w:val="en-US"/>
        </w:rPr>
        <w:t>There</w:t>
      </w:r>
      <w:r>
        <w:rPr>
          <w:lang w:val="en-US"/>
        </w:rPr>
        <w:t xml:space="preserve"> </w:t>
      </w:r>
      <w:r w:rsidRPr="008A70F2">
        <w:rPr>
          <w:lang w:val="en-US"/>
        </w:rPr>
        <w:t>are some challenges which must be monitored and present these actions must be taken to reduce the impact of the challenges</w:t>
      </w:r>
      <w:r>
        <w:rPr>
          <w:lang w:val="en-US"/>
        </w:rPr>
        <w:t xml:space="preserve">. </w:t>
      </w:r>
      <w:r w:rsidRPr="008A70F2">
        <w:rPr>
          <w:lang w:val="en-US"/>
        </w:rPr>
        <w:t>Unilever UK provides a stable dividend payout policy so that the shareholders can be able to maintain a good income from the company</w:t>
      </w:r>
      <w:r>
        <w:rPr>
          <w:lang w:val="en-US"/>
        </w:rPr>
        <w:t xml:space="preserve">. </w:t>
      </w:r>
      <w:r w:rsidR="008B65DD" w:rsidRPr="008A70F2">
        <w:rPr>
          <w:lang w:val="en-US"/>
        </w:rPr>
        <w:t>I</w:t>
      </w:r>
      <w:r w:rsidRPr="008A70F2">
        <w:rPr>
          <w:lang w:val="en-US"/>
        </w:rPr>
        <w:t>n</w:t>
      </w:r>
      <w:r w:rsidR="008B65DD">
        <w:rPr>
          <w:lang w:val="en-US"/>
        </w:rPr>
        <w:t xml:space="preserve"> </w:t>
      </w:r>
      <w:r w:rsidR="00D168B3" w:rsidRPr="008A70F2">
        <w:rPr>
          <w:lang w:val="en-US"/>
        </w:rPr>
        <w:t>addition,</w:t>
      </w:r>
      <w:r w:rsidRPr="008A70F2">
        <w:rPr>
          <w:lang w:val="en-US"/>
        </w:rPr>
        <w:t xml:space="preserve"> efficient market hypothesis does not work always for the company where there are some benefits and problems regarding the project appraisal techniques of the company</w:t>
      </w:r>
      <w:r>
        <w:rPr>
          <w:lang w:val="en-US"/>
        </w:rPr>
        <w:t>.</w:t>
      </w:r>
    </w:p>
    <w:p w14:paraId="77F6485A" w14:textId="3E428CC5" w:rsidR="0009475C" w:rsidRDefault="0009475C">
      <w:pPr>
        <w:spacing w:before="0" w:after="160" w:line="259" w:lineRule="auto"/>
        <w:jc w:val="left"/>
        <w:rPr>
          <w:lang w:val="en-US"/>
        </w:rPr>
      </w:pPr>
      <w:r>
        <w:rPr>
          <w:lang w:val="en-US"/>
        </w:rPr>
        <w:br w:type="page"/>
      </w:r>
    </w:p>
    <w:p w14:paraId="1A1F46F2" w14:textId="734BFD1D" w:rsidR="0009475C" w:rsidRDefault="0009475C" w:rsidP="0009475C">
      <w:pPr>
        <w:pStyle w:val="Heading1"/>
        <w:rPr>
          <w:lang w:val="en-US"/>
        </w:rPr>
      </w:pPr>
      <w:bookmarkStart w:id="8" w:name="_Toc128778994"/>
      <w:r>
        <w:rPr>
          <w:lang w:val="en-US"/>
        </w:rPr>
        <w:lastRenderedPageBreak/>
        <w:t>References</w:t>
      </w:r>
      <w:bookmarkEnd w:id="8"/>
    </w:p>
    <w:p w14:paraId="01D2CD0F" w14:textId="77777777" w:rsidR="0009475C" w:rsidRPr="0009475C" w:rsidRDefault="0009475C" w:rsidP="0009475C">
      <w:pPr>
        <w:rPr>
          <w:lang w:val="en-US"/>
        </w:rPr>
      </w:pPr>
      <w:r w:rsidRPr="0009475C">
        <w:rPr>
          <w:lang w:val="en-US"/>
        </w:rPr>
        <w:t xml:space="preserve">Bergendahl </w:t>
      </w:r>
      <w:proofErr w:type="spellStart"/>
      <w:r w:rsidRPr="0009475C">
        <w:rPr>
          <w:lang w:val="en-US"/>
        </w:rPr>
        <w:t>Göran</w:t>
      </w:r>
      <w:proofErr w:type="spellEnd"/>
      <w:r w:rsidRPr="0009475C">
        <w:rPr>
          <w:lang w:val="en-US"/>
        </w:rPr>
        <w:t xml:space="preserve"> (2021) </w:t>
      </w:r>
      <w:r w:rsidRPr="0009475C">
        <w:rPr>
          <w:i/>
          <w:iCs/>
          <w:lang w:val="en-US"/>
        </w:rPr>
        <w:t>International Financial Management</w:t>
      </w:r>
      <w:r w:rsidRPr="0009475C">
        <w:rPr>
          <w:lang w:val="en-US"/>
        </w:rPr>
        <w:t xml:space="preserve">. Stockholm: </w:t>
      </w:r>
      <w:proofErr w:type="spellStart"/>
      <w:r w:rsidRPr="0009475C">
        <w:rPr>
          <w:lang w:val="en-US"/>
        </w:rPr>
        <w:t>Norstedt</w:t>
      </w:r>
      <w:proofErr w:type="spellEnd"/>
      <w:r w:rsidRPr="0009475C">
        <w:rPr>
          <w:lang w:val="en-US"/>
        </w:rPr>
        <w:t xml:space="preserve">. </w:t>
      </w:r>
    </w:p>
    <w:p w14:paraId="0F116329" w14:textId="0B03ACEC" w:rsidR="0009475C" w:rsidRPr="0009475C" w:rsidRDefault="0009475C" w:rsidP="0009475C">
      <w:pPr>
        <w:rPr>
          <w:lang w:val="en-US"/>
        </w:rPr>
      </w:pPr>
      <w:r w:rsidRPr="0009475C">
        <w:rPr>
          <w:lang w:val="en-US"/>
        </w:rPr>
        <w:t xml:space="preserve">Hargreaves Lansdown, H.L. (2022) </w:t>
      </w:r>
      <w:r w:rsidRPr="0009475C">
        <w:rPr>
          <w:i/>
          <w:iCs/>
          <w:lang w:val="en-US"/>
        </w:rPr>
        <w:t xml:space="preserve">Unilever plc (ULVR) </w:t>
      </w:r>
      <w:proofErr w:type="spellStart"/>
      <w:r w:rsidRPr="0009475C">
        <w:rPr>
          <w:i/>
          <w:iCs/>
          <w:lang w:val="en-US"/>
        </w:rPr>
        <w:t>ord</w:t>
      </w:r>
      <w:proofErr w:type="spellEnd"/>
      <w:r w:rsidRPr="0009475C">
        <w:rPr>
          <w:i/>
          <w:iCs/>
          <w:lang w:val="en-US"/>
        </w:rPr>
        <w:t xml:space="preserve"> 3.11p share price: ULVR</w:t>
      </w:r>
      <w:r w:rsidRPr="0009475C">
        <w:rPr>
          <w:lang w:val="en-US"/>
        </w:rPr>
        <w:t xml:space="preserve">, </w:t>
      </w:r>
      <w:r w:rsidRPr="0009475C">
        <w:rPr>
          <w:i/>
          <w:iCs/>
          <w:lang w:val="en-US"/>
        </w:rPr>
        <w:t>Hargreaves Lansdown</w:t>
      </w:r>
      <w:r w:rsidRPr="0009475C">
        <w:rPr>
          <w:lang w:val="en-US"/>
        </w:rPr>
        <w:t>. Available at: https://www.hl.co.uk/shares/shares-search-results/u/unilever-plc-ordinary-3.11p (Accessed:</w:t>
      </w:r>
      <w:r w:rsidR="00083266">
        <w:rPr>
          <w:lang w:val="en-US"/>
        </w:rPr>
        <w:t xml:space="preserve"> April 20</w:t>
      </w:r>
      <w:r w:rsidRPr="0009475C">
        <w:rPr>
          <w:lang w:val="en-US"/>
        </w:rPr>
        <w:t xml:space="preserve">, 2023). </w:t>
      </w:r>
    </w:p>
    <w:p w14:paraId="2915E3E8" w14:textId="77777777" w:rsidR="0009475C" w:rsidRPr="0009475C" w:rsidRDefault="0009475C" w:rsidP="0009475C">
      <w:pPr>
        <w:rPr>
          <w:lang w:val="en-US"/>
        </w:rPr>
      </w:pPr>
      <w:r w:rsidRPr="0009475C">
        <w:rPr>
          <w:lang w:val="en-US"/>
        </w:rPr>
        <w:t xml:space="preserve">Henning, C.N., Pigott, W. and Scott, R.H. (2022) </w:t>
      </w:r>
      <w:r w:rsidRPr="0009475C">
        <w:rPr>
          <w:i/>
          <w:iCs/>
          <w:lang w:val="en-US"/>
        </w:rPr>
        <w:t>International Financial Management</w:t>
      </w:r>
      <w:r w:rsidRPr="0009475C">
        <w:rPr>
          <w:lang w:val="en-US"/>
        </w:rPr>
        <w:t xml:space="preserve">. New York: McGraw-Hill. </w:t>
      </w:r>
    </w:p>
    <w:p w14:paraId="47D4F4C0" w14:textId="77777777" w:rsidR="0009475C" w:rsidRPr="0009475C" w:rsidRDefault="0009475C" w:rsidP="0009475C">
      <w:pPr>
        <w:rPr>
          <w:lang w:val="en-US"/>
        </w:rPr>
      </w:pPr>
      <w:r w:rsidRPr="0009475C">
        <w:rPr>
          <w:lang w:val="en-US"/>
        </w:rPr>
        <w:t xml:space="preserve">Lee, J. (2022) “International Capital Budgeting,” </w:t>
      </w:r>
      <w:r w:rsidRPr="0009475C">
        <w:rPr>
          <w:i/>
          <w:iCs/>
          <w:lang w:val="en-US"/>
        </w:rPr>
        <w:t>International Financial Management</w:t>
      </w:r>
      <w:r w:rsidRPr="0009475C">
        <w:rPr>
          <w:lang w:val="en-US"/>
        </w:rPr>
        <w:t xml:space="preserve">, pp. 665–711. Available at: https://doi.org/10.1017/9781316282274.016. </w:t>
      </w:r>
    </w:p>
    <w:p w14:paraId="4FBE4FCD" w14:textId="77777777" w:rsidR="0009475C" w:rsidRPr="0009475C" w:rsidRDefault="0009475C" w:rsidP="0009475C">
      <w:pPr>
        <w:rPr>
          <w:lang w:val="en-US"/>
        </w:rPr>
      </w:pPr>
      <w:r w:rsidRPr="0009475C">
        <w:rPr>
          <w:lang w:val="en-US"/>
        </w:rPr>
        <w:t xml:space="preserve">Madura, J. and Fox, R. (2022) </w:t>
      </w:r>
      <w:r w:rsidRPr="0009475C">
        <w:rPr>
          <w:i/>
          <w:iCs/>
          <w:lang w:val="en-US"/>
        </w:rPr>
        <w:t>International Financial Management</w:t>
      </w:r>
      <w:r w:rsidRPr="0009475C">
        <w:rPr>
          <w:lang w:val="en-US"/>
        </w:rPr>
        <w:t xml:space="preserve">. Andover: Cengage Learning. </w:t>
      </w:r>
    </w:p>
    <w:p w14:paraId="2ED51EFA" w14:textId="77777777" w:rsidR="0009475C" w:rsidRPr="0009475C" w:rsidRDefault="0009475C" w:rsidP="0009475C">
      <w:pPr>
        <w:rPr>
          <w:lang w:val="en-US"/>
        </w:rPr>
      </w:pPr>
    </w:p>
    <w:sectPr w:rsidR="0009475C" w:rsidRPr="0009475C">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0806BA" w14:textId="77777777" w:rsidR="00630161" w:rsidRDefault="00630161" w:rsidP="001D74B3">
      <w:pPr>
        <w:spacing w:before="0" w:after="0" w:line="240" w:lineRule="auto"/>
      </w:pPr>
      <w:r>
        <w:separator/>
      </w:r>
    </w:p>
  </w:endnote>
  <w:endnote w:type="continuationSeparator" w:id="0">
    <w:p w14:paraId="1E60AC9B" w14:textId="77777777" w:rsidR="00630161" w:rsidRDefault="00630161" w:rsidP="001D74B3">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85885644"/>
      <w:docPartObj>
        <w:docPartGallery w:val="Page Numbers (Bottom of Page)"/>
        <w:docPartUnique/>
      </w:docPartObj>
    </w:sdtPr>
    <w:sdtEndPr>
      <w:rPr>
        <w:noProof/>
      </w:rPr>
    </w:sdtEndPr>
    <w:sdtContent>
      <w:p w14:paraId="03D766AC" w14:textId="77777777" w:rsidR="00FB528E" w:rsidRDefault="00FB528E">
        <w:pPr>
          <w:pStyle w:val="Footer"/>
          <w:jc w:val="right"/>
        </w:pPr>
        <w:r>
          <w:fldChar w:fldCharType="begin"/>
        </w:r>
        <w:r>
          <w:instrText xml:space="preserve"> PAGE   \* MERGEFORMAT </w:instrText>
        </w:r>
        <w:r>
          <w:fldChar w:fldCharType="separate"/>
        </w:r>
        <w:r w:rsidR="00CB6777">
          <w:rPr>
            <w:noProof/>
          </w:rPr>
          <w:t>21</w:t>
        </w:r>
        <w:r>
          <w:rPr>
            <w:noProof/>
          </w:rPr>
          <w:fldChar w:fldCharType="end"/>
        </w:r>
      </w:p>
    </w:sdtContent>
  </w:sdt>
  <w:p w14:paraId="798A8230" w14:textId="77777777" w:rsidR="00FB528E" w:rsidRDefault="00FB528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61185" w14:textId="77777777" w:rsidR="00FB528E" w:rsidRDefault="00FB52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EDE764" w14:textId="77777777" w:rsidR="00630161" w:rsidRDefault="00630161" w:rsidP="001D74B3">
      <w:pPr>
        <w:spacing w:before="0" w:after="0" w:line="240" w:lineRule="auto"/>
      </w:pPr>
      <w:r>
        <w:separator/>
      </w:r>
    </w:p>
  </w:footnote>
  <w:footnote w:type="continuationSeparator" w:id="0">
    <w:p w14:paraId="6C94AAF6" w14:textId="77777777" w:rsidR="00630161" w:rsidRDefault="00630161" w:rsidP="001D74B3">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852689"/>
    <w:multiLevelType w:val="multilevel"/>
    <w:tmpl w:val="33DE2B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62C4D22"/>
    <w:multiLevelType w:val="multilevel"/>
    <w:tmpl w:val="C0261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1BE1B64"/>
    <w:multiLevelType w:val="multilevel"/>
    <w:tmpl w:val="1CB488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3232EA4"/>
    <w:multiLevelType w:val="multilevel"/>
    <w:tmpl w:val="30B855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57F3A26"/>
    <w:multiLevelType w:val="multilevel"/>
    <w:tmpl w:val="11D8D4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76C23A2"/>
    <w:multiLevelType w:val="hybridMultilevel"/>
    <w:tmpl w:val="7534C7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78A07E3"/>
    <w:multiLevelType w:val="multilevel"/>
    <w:tmpl w:val="9B544A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0630E08"/>
    <w:multiLevelType w:val="multilevel"/>
    <w:tmpl w:val="F1C0D6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AA32E7C"/>
    <w:multiLevelType w:val="multilevel"/>
    <w:tmpl w:val="078C0A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3EB630D"/>
    <w:multiLevelType w:val="hybridMultilevel"/>
    <w:tmpl w:val="5A4A46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4A64519"/>
    <w:multiLevelType w:val="hybridMultilevel"/>
    <w:tmpl w:val="3E6045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77B776C"/>
    <w:multiLevelType w:val="multilevel"/>
    <w:tmpl w:val="6090FE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D3367B8"/>
    <w:multiLevelType w:val="hybridMultilevel"/>
    <w:tmpl w:val="B87628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51783A79"/>
    <w:multiLevelType w:val="multilevel"/>
    <w:tmpl w:val="F33021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19C04DE"/>
    <w:multiLevelType w:val="multilevel"/>
    <w:tmpl w:val="DA0808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4115C12"/>
    <w:multiLevelType w:val="multilevel"/>
    <w:tmpl w:val="DAE05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A45401C"/>
    <w:multiLevelType w:val="multilevel"/>
    <w:tmpl w:val="7464A1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0BC55FE"/>
    <w:multiLevelType w:val="multilevel"/>
    <w:tmpl w:val="6CD495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C317224"/>
    <w:multiLevelType w:val="multilevel"/>
    <w:tmpl w:val="5B7E49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6031776"/>
    <w:multiLevelType w:val="multilevel"/>
    <w:tmpl w:val="6966F0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6666CEF"/>
    <w:multiLevelType w:val="multilevel"/>
    <w:tmpl w:val="CD26D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F716C9B"/>
    <w:multiLevelType w:val="multilevel"/>
    <w:tmpl w:val="A50C44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55672400">
    <w:abstractNumId w:val="15"/>
  </w:num>
  <w:num w:numId="2" w16cid:durableId="1889565457">
    <w:abstractNumId w:val="17"/>
  </w:num>
  <w:num w:numId="3" w16cid:durableId="1541894911">
    <w:abstractNumId w:val="9"/>
  </w:num>
  <w:num w:numId="4" w16cid:durableId="919604098">
    <w:abstractNumId w:val="10"/>
  </w:num>
  <w:num w:numId="5" w16cid:durableId="2118013727">
    <w:abstractNumId w:val="1"/>
    <w:lvlOverride w:ilvl="0">
      <w:lvl w:ilvl="0">
        <w:numFmt w:val="bullet"/>
        <w:lvlText w:val=""/>
        <w:lvlJc w:val="left"/>
        <w:pPr>
          <w:tabs>
            <w:tab w:val="num" w:pos="720"/>
          </w:tabs>
          <w:ind w:left="720" w:hanging="360"/>
        </w:pPr>
        <w:rPr>
          <w:rFonts w:ascii="Wingdings" w:hAnsi="Wingdings" w:hint="default"/>
          <w:sz w:val="20"/>
        </w:rPr>
      </w:lvl>
    </w:lvlOverride>
  </w:num>
  <w:num w:numId="6" w16cid:durableId="1736665475">
    <w:abstractNumId w:val="20"/>
  </w:num>
  <w:num w:numId="7" w16cid:durableId="1478184162">
    <w:abstractNumId w:val="12"/>
  </w:num>
  <w:num w:numId="8" w16cid:durableId="283539831">
    <w:abstractNumId w:val="5"/>
  </w:num>
  <w:num w:numId="9" w16cid:durableId="1765956189">
    <w:abstractNumId w:val="4"/>
  </w:num>
  <w:num w:numId="10" w16cid:durableId="880477464">
    <w:abstractNumId w:val="0"/>
  </w:num>
  <w:num w:numId="11" w16cid:durableId="606012646">
    <w:abstractNumId w:val="21"/>
  </w:num>
  <w:num w:numId="12" w16cid:durableId="137571928">
    <w:abstractNumId w:val="2"/>
  </w:num>
  <w:num w:numId="13" w16cid:durableId="867984965">
    <w:abstractNumId w:val="7"/>
  </w:num>
  <w:num w:numId="14" w16cid:durableId="1725711268">
    <w:abstractNumId w:val="3"/>
  </w:num>
  <w:num w:numId="15" w16cid:durableId="1071270949">
    <w:abstractNumId w:val="14"/>
  </w:num>
  <w:num w:numId="16" w16cid:durableId="772092207">
    <w:abstractNumId w:val="13"/>
  </w:num>
  <w:num w:numId="17" w16cid:durableId="395279985">
    <w:abstractNumId w:val="18"/>
  </w:num>
  <w:num w:numId="18" w16cid:durableId="785974068">
    <w:abstractNumId w:val="16"/>
  </w:num>
  <w:num w:numId="19" w16cid:durableId="1454179077">
    <w:abstractNumId w:val="19"/>
  </w:num>
  <w:num w:numId="20" w16cid:durableId="1967538979">
    <w:abstractNumId w:val="6"/>
  </w:num>
  <w:num w:numId="21" w16cid:durableId="1130092">
    <w:abstractNumId w:val="8"/>
  </w:num>
  <w:num w:numId="22" w16cid:durableId="104976310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YxNTc1MTO1NDKyMDRU0lEKTi0uzszPAykwMq4FAH0YN0QtAAAA"/>
  </w:docVars>
  <w:rsids>
    <w:rsidRoot w:val="00E82C9B"/>
    <w:rsid w:val="0000052A"/>
    <w:rsid w:val="00001C2A"/>
    <w:rsid w:val="00002738"/>
    <w:rsid w:val="00002D9A"/>
    <w:rsid w:val="0000318A"/>
    <w:rsid w:val="000035AF"/>
    <w:rsid w:val="0000380C"/>
    <w:rsid w:val="00003ABA"/>
    <w:rsid w:val="00003D24"/>
    <w:rsid w:val="00003E15"/>
    <w:rsid w:val="00004272"/>
    <w:rsid w:val="00005CF6"/>
    <w:rsid w:val="00010AD0"/>
    <w:rsid w:val="000116BE"/>
    <w:rsid w:val="0001398F"/>
    <w:rsid w:val="00014287"/>
    <w:rsid w:val="00014D84"/>
    <w:rsid w:val="000159EE"/>
    <w:rsid w:val="00030C0E"/>
    <w:rsid w:val="0003107C"/>
    <w:rsid w:val="000313C8"/>
    <w:rsid w:val="00032892"/>
    <w:rsid w:val="00032DD1"/>
    <w:rsid w:val="0003452D"/>
    <w:rsid w:val="00036574"/>
    <w:rsid w:val="000429ED"/>
    <w:rsid w:val="000440AB"/>
    <w:rsid w:val="000441F4"/>
    <w:rsid w:val="00045E39"/>
    <w:rsid w:val="00052298"/>
    <w:rsid w:val="00056E0E"/>
    <w:rsid w:val="0005737D"/>
    <w:rsid w:val="00060F2D"/>
    <w:rsid w:val="00062A12"/>
    <w:rsid w:val="000634BD"/>
    <w:rsid w:val="00063B6D"/>
    <w:rsid w:val="0006642E"/>
    <w:rsid w:val="000715CF"/>
    <w:rsid w:val="00071E31"/>
    <w:rsid w:val="00072B39"/>
    <w:rsid w:val="00072D3C"/>
    <w:rsid w:val="0007492F"/>
    <w:rsid w:val="0007778A"/>
    <w:rsid w:val="00077BE4"/>
    <w:rsid w:val="00080510"/>
    <w:rsid w:val="00083266"/>
    <w:rsid w:val="00083DF9"/>
    <w:rsid w:val="00090325"/>
    <w:rsid w:val="00090744"/>
    <w:rsid w:val="000912CE"/>
    <w:rsid w:val="0009263C"/>
    <w:rsid w:val="000929E1"/>
    <w:rsid w:val="00092BC2"/>
    <w:rsid w:val="0009475C"/>
    <w:rsid w:val="00095D4D"/>
    <w:rsid w:val="00095F32"/>
    <w:rsid w:val="00096CFD"/>
    <w:rsid w:val="00097618"/>
    <w:rsid w:val="00097736"/>
    <w:rsid w:val="000A01E9"/>
    <w:rsid w:val="000A1134"/>
    <w:rsid w:val="000B34FA"/>
    <w:rsid w:val="000B495F"/>
    <w:rsid w:val="000B4E3A"/>
    <w:rsid w:val="000B5B46"/>
    <w:rsid w:val="000B6BE0"/>
    <w:rsid w:val="000C15C3"/>
    <w:rsid w:val="000C4284"/>
    <w:rsid w:val="000C5C90"/>
    <w:rsid w:val="000C731C"/>
    <w:rsid w:val="000C731D"/>
    <w:rsid w:val="000C74A6"/>
    <w:rsid w:val="000C7F31"/>
    <w:rsid w:val="000D04CE"/>
    <w:rsid w:val="000D0EAB"/>
    <w:rsid w:val="000D367C"/>
    <w:rsid w:val="000D540D"/>
    <w:rsid w:val="000E1D51"/>
    <w:rsid w:val="000E29FC"/>
    <w:rsid w:val="000E2C71"/>
    <w:rsid w:val="000E3618"/>
    <w:rsid w:val="000F3FEC"/>
    <w:rsid w:val="000F7138"/>
    <w:rsid w:val="00101294"/>
    <w:rsid w:val="0011064D"/>
    <w:rsid w:val="00110B9A"/>
    <w:rsid w:val="0011580A"/>
    <w:rsid w:val="0011731D"/>
    <w:rsid w:val="00124521"/>
    <w:rsid w:val="00124E7F"/>
    <w:rsid w:val="00125FC1"/>
    <w:rsid w:val="00126AE1"/>
    <w:rsid w:val="00127AC7"/>
    <w:rsid w:val="00136EB7"/>
    <w:rsid w:val="001410D2"/>
    <w:rsid w:val="00141F7C"/>
    <w:rsid w:val="00142F25"/>
    <w:rsid w:val="00144AB1"/>
    <w:rsid w:val="00144DFA"/>
    <w:rsid w:val="0015002B"/>
    <w:rsid w:val="00150C08"/>
    <w:rsid w:val="00155686"/>
    <w:rsid w:val="00155F52"/>
    <w:rsid w:val="001604DD"/>
    <w:rsid w:val="00163A53"/>
    <w:rsid w:val="00180226"/>
    <w:rsid w:val="001816AB"/>
    <w:rsid w:val="001816F9"/>
    <w:rsid w:val="0018199C"/>
    <w:rsid w:val="00181CB9"/>
    <w:rsid w:val="00182A7C"/>
    <w:rsid w:val="00183ADB"/>
    <w:rsid w:val="00185192"/>
    <w:rsid w:val="00186410"/>
    <w:rsid w:val="00186EDD"/>
    <w:rsid w:val="001879FA"/>
    <w:rsid w:val="00187C65"/>
    <w:rsid w:val="00190FCA"/>
    <w:rsid w:val="0019270D"/>
    <w:rsid w:val="00194819"/>
    <w:rsid w:val="001958D8"/>
    <w:rsid w:val="001A084F"/>
    <w:rsid w:val="001A225D"/>
    <w:rsid w:val="001A290E"/>
    <w:rsid w:val="001A2A83"/>
    <w:rsid w:val="001A2DE2"/>
    <w:rsid w:val="001A31B1"/>
    <w:rsid w:val="001A3FE9"/>
    <w:rsid w:val="001A4037"/>
    <w:rsid w:val="001A4648"/>
    <w:rsid w:val="001B07DA"/>
    <w:rsid w:val="001B0FB4"/>
    <w:rsid w:val="001B1BBC"/>
    <w:rsid w:val="001B36D5"/>
    <w:rsid w:val="001B6E16"/>
    <w:rsid w:val="001C695D"/>
    <w:rsid w:val="001C713A"/>
    <w:rsid w:val="001D06D8"/>
    <w:rsid w:val="001D0E83"/>
    <w:rsid w:val="001D21FC"/>
    <w:rsid w:val="001D626C"/>
    <w:rsid w:val="001D74B3"/>
    <w:rsid w:val="001E03EC"/>
    <w:rsid w:val="001E1C40"/>
    <w:rsid w:val="001E207B"/>
    <w:rsid w:val="001E266E"/>
    <w:rsid w:val="001E28C5"/>
    <w:rsid w:val="001F3A94"/>
    <w:rsid w:val="00202C5F"/>
    <w:rsid w:val="002051B6"/>
    <w:rsid w:val="00206ED6"/>
    <w:rsid w:val="00206F53"/>
    <w:rsid w:val="00207BE2"/>
    <w:rsid w:val="0021047F"/>
    <w:rsid w:val="00211ECB"/>
    <w:rsid w:val="00212F0B"/>
    <w:rsid w:val="0021634C"/>
    <w:rsid w:val="0022279D"/>
    <w:rsid w:val="00225786"/>
    <w:rsid w:val="00225B76"/>
    <w:rsid w:val="00227858"/>
    <w:rsid w:val="00230533"/>
    <w:rsid w:val="0023340B"/>
    <w:rsid w:val="0023522E"/>
    <w:rsid w:val="002378A5"/>
    <w:rsid w:val="002407CC"/>
    <w:rsid w:val="00241BA5"/>
    <w:rsid w:val="00242A17"/>
    <w:rsid w:val="002502DC"/>
    <w:rsid w:val="00252D2C"/>
    <w:rsid w:val="00260894"/>
    <w:rsid w:val="002612AE"/>
    <w:rsid w:val="002617B2"/>
    <w:rsid w:val="00261CEE"/>
    <w:rsid w:val="0026369A"/>
    <w:rsid w:val="00263C37"/>
    <w:rsid w:val="00263E3B"/>
    <w:rsid w:val="0026557B"/>
    <w:rsid w:val="002659A2"/>
    <w:rsid w:val="00265C33"/>
    <w:rsid w:val="00271190"/>
    <w:rsid w:val="00271198"/>
    <w:rsid w:val="00272C89"/>
    <w:rsid w:val="00277139"/>
    <w:rsid w:val="0027783D"/>
    <w:rsid w:val="002829B0"/>
    <w:rsid w:val="00292285"/>
    <w:rsid w:val="00294ACD"/>
    <w:rsid w:val="002A5191"/>
    <w:rsid w:val="002A6A66"/>
    <w:rsid w:val="002A6D03"/>
    <w:rsid w:val="002A76B1"/>
    <w:rsid w:val="002B158B"/>
    <w:rsid w:val="002B3032"/>
    <w:rsid w:val="002B3D75"/>
    <w:rsid w:val="002B7932"/>
    <w:rsid w:val="002C3737"/>
    <w:rsid w:val="002D202F"/>
    <w:rsid w:val="002D20FE"/>
    <w:rsid w:val="002E0E7C"/>
    <w:rsid w:val="002E1850"/>
    <w:rsid w:val="002E4A56"/>
    <w:rsid w:val="002E76EB"/>
    <w:rsid w:val="002E781B"/>
    <w:rsid w:val="002F10C1"/>
    <w:rsid w:val="002F69E1"/>
    <w:rsid w:val="002F700D"/>
    <w:rsid w:val="00302BA8"/>
    <w:rsid w:val="00304815"/>
    <w:rsid w:val="00304AF9"/>
    <w:rsid w:val="00304F40"/>
    <w:rsid w:val="00306603"/>
    <w:rsid w:val="0031077F"/>
    <w:rsid w:val="003121F2"/>
    <w:rsid w:val="00312529"/>
    <w:rsid w:val="00312B06"/>
    <w:rsid w:val="00312B98"/>
    <w:rsid w:val="00312E00"/>
    <w:rsid w:val="00313E72"/>
    <w:rsid w:val="00314B9F"/>
    <w:rsid w:val="00321081"/>
    <w:rsid w:val="00321189"/>
    <w:rsid w:val="00321E01"/>
    <w:rsid w:val="00323558"/>
    <w:rsid w:val="00324675"/>
    <w:rsid w:val="00325554"/>
    <w:rsid w:val="00330789"/>
    <w:rsid w:val="0033094E"/>
    <w:rsid w:val="00331FB9"/>
    <w:rsid w:val="00333270"/>
    <w:rsid w:val="003336D7"/>
    <w:rsid w:val="003365D7"/>
    <w:rsid w:val="003368C7"/>
    <w:rsid w:val="00337FE9"/>
    <w:rsid w:val="003401EA"/>
    <w:rsid w:val="00340F81"/>
    <w:rsid w:val="0034122F"/>
    <w:rsid w:val="003432FB"/>
    <w:rsid w:val="00347B40"/>
    <w:rsid w:val="00351446"/>
    <w:rsid w:val="00351CB8"/>
    <w:rsid w:val="00351F23"/>
    <w:rsid w:val="0035217E"/>
    <w:rsid w:val="00353A8B"/>
    <w:rsid w:val="00354430"/>
    <w:rsid w:val="0035488E"/>
    <w:rsid w:val="0036312A"/>
    <w:rsid w:val="003668FE"/>
    <w:rsid w:val="00367372"/>
    <w:rsid w:val="003707F7"/>
    <w:rsid w:val="00371211"/>
    <w:rsid w:val="00373240"/>
    <w:rsid w:val="003732EC"/>
    <w:rsid w:val="003734C6"/>
    <w:rsid w:val="003736BC"/>
    <w:rsid w:val="00374600"/>
    <w:rsid w:val="00374BB7"/>
    <w:rsid w:val="00375E0D"/>
    <w:rsid w:val="00380864"/>
    <w:rsid w:val="00384853"/>
    <w:rsid w:val="003873A2"/>
    <w:rsid w:val="003945C0"/>
    <w:rsid w:val="003956C6"/>
    <w:rsid w:val="003962FF"/>
    <w:rsid w:val="00397752"/>
    <w:rsid w:val="00397947"/>
    <w:rsid w:val="003A356F"/>
    <w:rsid w:val="003A415F"/>
    <w:rsid w:val="003A4CAC"/>
    <w:rsid w:val="003A6084"/>
    <w:rsid w:val="003A6C94"/>
    <w:rsid w:val="003A797B"/>
    <w:rsid w:val="003B0D90"/>
    <w:rsid w:val="003B134A"/>
    <w:rsid w:val="003B1844"/>
    <w:rsid w:val="003B4AC0"/>
    <w:rsid w:val="003B55AB"/>
    <w:rsid w:val="003C2448"/>
    <w:rsid w:val="003C29F5"/>
    <w:rsid w:val="003C5613"/>
    <w:rsid w:val="003D0359"/>
    <w:rsid w:val="003D103B"/>
    <w:rsid w:val="003D1A80"/>
    <w:rsid w:val="003D1FAE"/>
    <w:rsid w:val="003D3317"/>
    <w:rsid w:val="003D4055"/>
    <w:rsid w:val="003D52A1"/>
    <w:rsid w:val="003E012D"/>
    <w:rsid w:val="003E03BA"/>
    <w:rsid w:val="003E1C89"/>
    <w:rsid w:val="003E771F"/>
    <w:rsid w:val="003F0BBB"/>
    <w:rsid w:val="003F394D"/>
    <w:rsid w:val="003F74E1"/>
    <w:rsid w:val="00402280"/>
    <w:rsid w:val="004031E9"/>
    <w:rsid w:val="00407CBE"/>
    <w:rsid w:val="0041126A"/>
    <w:rsid w:val="00412137"/>
    <w:rsid w:val="00412F22"/>
    <w:rsid w:val="004171D9"/>
    <w:rsid w:val="004209B7"/>
    <w:rsid w:val="0042183B"/>
    <w:rsid w:val="004245A1"/>
    <w:rsid w:val="00424964"/>
    <w:rsid w:val="00424E36"/>
    <w:rsid w:val="004261F0"/>
    <w:rsid w:val="0042657C"/>
    <w:rsid w:val="00426DDB"/>
    <w:rsid w:val="00430873"/>
    <w:rsid w:val="00434A56"/>
    <w:rsid w:val="00436989"/>
    <w:rsid w:val="004373E0"/>
    <w:rsid w:val="00440768"/>
    <w:rsid w:val="0044133D"/>
    <w:rsid w:val="004417C7"/>
    <w:rsid w:val="004433B1"/>
    <w:rsid w:val="004454C4"/>
    <w:rsid w:val="004465FD"/>
    <w:rsid w:val="004477AA"/>
    <w:rsid w:val="004510A7"/>
    <w:rsid w:val="00451433"/>
    <w:rsid w:val="00451D47"/>
    <w:rsid w:val="00451F45"/>
    <w:rsid w:val="00453071"/>
    <w:rsid w:val="00453F34"/>
    <w:rsid w:val="00456B5D"/>
    <w:rsid w:val="00457842"/>
    <w:rsid w:val="00460081"/>
    <w:rsid w:val="00461B91"/>
    <w:rsid w:val="00462697"/>
    <w:rsid w:val="00463198"/>
    <w:rsid w:val="00464C3C"/>
    <w:rsid w:val="00467812"/>
    <w:rsid w:val="00471B78"/>
    <w:rsid w:val="004722E8"/>
    <w:rsid w:val="00476207"/>
    <w:rsid w:val="00477343"/>
    <w:rsid w:val="004802AC"/>
    <w:rsid w:val="004806B0"/>
    <w:rsid w:val="00482734"/>
    <w:rsid w:val="00482EE7"/>
    <w:rsid w:val="00486050"/>
    <w:rsid w:val="00486400"/>
    <w:rsid w:val="00486925"/>
    <w:rsid w:val="0048701E"/>
    <w:rsid w:val="004870EE"/>
    <w:rsid w:val="0049190B"/>
    <w:rsid w:val="00492582"/>
    <w:rsid w:val="00495DE8"/>
    <w:rsid w:val="00496205"/>
    <w:rsid w:val="004A1BB3"/>
    <w:rsid w:val="004A3CD1"/>
    <w:rsid w:val="004A3F1E"/>
    <w:rsid w:val="004A4A6C"/>
    <w:rsid w:val="004A785B"/>
    <w:rsid w:val="004B1DE0"/>
    <w:rsid w:val="004B46C5"/>
    <w:rsid w:val="004B4759"/>
    <w:rsid w:val="004B5C35"/>
    <w:rsid w:val="004B6018"/>
    <w:rsid w:val="004B62AC"/>
    <w:rsid w:val="004B7B86"/>
    <w:rsid w:val="004B7CC2"/>
    <w:rsid w:val="004C0A93"/>
    <w:rsid w:val="004C17AF"/>
    <w:rsid w:val="004C2905"/>
    <w:rsid w:val="004C7B20"/>
    <w:rsid w:val="004D537E"/>
    <w:rsid w:val="004D7816"/>
    <w:rsid w:val="004E52D4"/>
    <w:rsid w:val="004E52E3"/>
    <w:rsid w:val="004E5511"/>
    <w:rsid w:val="004F1E8B"/>
    <w:rsid w:val="004F2EFB"/>
    <w:rsid w:val="004F6FEA"/>
    <w:rsid w:val="0050053B"/>
    <w:rsid w:val="0050588C"/>
    <w:rsid w:val="00507DEE"/>
    <w:rsid w:val="005113B1"/>
    <w:rsid w:val="00512C84"/>
    <w:rsid w:val="0051351D"/>
    <w:rsid w:val="00513C64"/>
    <w:rsid w:val="00513DD2"/>
    <w:rsid w:val="00516982"/>
    <w:rsid w:val="00521427"/>
    <w:rsid w:val="00523CCB"/>
    <w:rsid w:val="00524D4A"/>
    <w:rsid w:val="00527827"/>
    <w:rsid w:val="00531839"/>
    <w:rsid w:val="005365E9"/>
    <w:rsid w:val="00541140"/>
    <w:rsid w:val="00541F09"/>
    <w:rsid w:val="0054403E"/>
    <w:rsid w:val="00545982"/>
    <w:rsid w:val="00546209"/>
    <w:rsid w:val="00546708"/>
    <w:rsid w:val="0056011B"/>
    <w:rsid w:val="00560883"/>
    <w:rsid w:val="00565F5E"/>
    <w:rsid w:val="0056674F"/>
    <w:rsid w:val="00566AA6"/>
    <w:rsid w:val="00566D36"/>
    <w:rsid w:val="005675AB"/>
    <w:rsid w:val="00567D10"/>
    <w:rsid w:val="005701D4"/>
    <w:rsid w:val="00570520"/>
    <w:rsid w:val="005708F0"/>
    <w:rsid w:val="00572AC7"/>
    <w:rsid w:val="00577362"/>
    <w:rsid w:val="0057760F"/>
    <w:rsid w:val="005777D3"/>
    <w:rsid w:val="00577837"/>
    <w:rsid w:val="00577917"/>
    <w:rsid w:val="0057795D"/>
    <w:rsid w:val="005827B0"/>
    <w:rsid w:val="00583A90"/>
    <w:rsid w:val="0058669D"/>
    <w:rsid w:val="00586B43"/>
    <w:rsid w:val="00587088"/>
    <w:rsid w:val="005957E6"/>
    <w:rsid w:val="00595B3B"/>
    <w:rsid w:val="00596D98"/>
    <w:rsid w:val="005A123E"/>
    <w:rsid w:val="005A2FB4"/>
    <w:rsid w:val="005A5BD9"/>
    <w:rsid w:val="005A718B"/>
    <w:rsid w:val="005A74AD"/>
    <w:rsid w:val="005B0A6F"/>
    <w:rsid w:val="005B3B59"/>
    <w:rsid w:val="005B40B6"/>
    <w:rsid w:val="005B4A48"/>
    <w:rsid w:val="005B52F0"/>
    <w:rsid w:val="005B5A6B"/>
    <w:rsid w:val="005B641C"/>
    <w:rsid w:val="005C103A"/>
    <w:rsid w:val="005C3C89"/>
    <w:rsid w:val="005C40F2"/>
    <w:rsid w:val="005C4D61"/>
    <w:rsid w:val="005C73B5"/>
    <w:rsid w:val="005D0222"/>
    <w:rsid w:val="005D06AB"/>
    <w:rsid w:val="005D12F5"/>
    <w:rsid w:val="005D2FBE"/>
    <w:rsid w:val="005D5C5D"/>
    <w:rsid w:val="005D705F"/>
    <w:rsid w:val="005D7B80"/>
    <w:rsid w:val="005E00D9"/>
    <w:rsid w:val="005E1438"/>
    <w:rsid w:val="005E451E"/>
    <w:rsid w:val="005E6A28"/>
    <w:rsid w:val="005F3FE9"/>
    <w:rsid w:val="005F4AC2"/>
    <w:rsid w:val="005F5D51"/>
    <w:rsid w:val="005F7AC3"/>
    <w:rsid w:val="00601C3C"/>
    <w:rsid w:val="00603A1A"/>
    <w:rsid w:val="00604708"/>
    <w:rsid w:val="00607A91"/>
    <w:rsid w:val="00607E17"/>
    <w:rsid w:val="00613110"/>
    <w:rsid w:val="00616C3F"/>
    <w:rsid w:val="00617081"/>
    <w:rsid w:val="00623893"/>
    <w:rsid w:val="0062401F"/>
    <w:rsid w:val="00624BED"/>
    <w:rsid w:val="00624C26"/>
    <w:rsid w:val="006268B9"/>
    <w:rsid w:val="0062691D"/>
    <w:rsid w:val="00630161"/>
    <w:rsid w:val="006304BE"/>
    <w:rsid w:val="00631333"/>
    <w:rsid w:val="00634D73"/>
    <w:rsid w:val="006364A4"/>
    <w:rsid w:val="00636B8C"/>
    <w:rsid w:val="00637D88"/>
    <w:rsid w:val="00637F7C"/>
    <w:rsid w:val="00643B0A"/>
    <w:rsid w:val="006470D4"/>
    <w:rsid w:val="006476AF"/>
    <w:rsid w:val="00655893"/>
    <w:rsid w:val="00655937"/>
    <w:rsid w:val="00657999"/>
    <w:rsid w:val="006602EE"/>
    <w:rsid w:val="006612B7"/>
    <w:rsid w:val="00670CE7"/>
    <w:rsid w:val="00673B09"/>
    <w:rsid w:val="006761B0"/>
    <w:rsid w:val="0067696E"/>
    <w:rsid w:val="00676BBE"/>
    <w:rsid w:val="00676D0C"/>
    <w:rsid w:val="00676D3E"/>
    <w:rsid w:val="00680D38"/>
    <w:rsid w:val="0068516E"/>
    <w:rsid w:val="006908C2"/>
    <w:rsid w:val="00693060"/>
    <w:rsid w:val="006944C7"/>
    <w:rsid w:val="00694730"/>
    <w:rsid w:val="006958DA"/>
    <w:rsid w:val="006978CE"/>
    <w:rsid w:val="006A082E"/>
    <w:rsid w:val="006A2FA3"/>
    <w:rsid w:val="006A5E43"/>
    <w:rsid w:val="006B10DA"/>
    <w:rsid w:val="006B1FC6"/>
    <w:rsid w:val="006B29CA"/>
    <w:rsid w:val="006B38D6"/>
    <w:rsid w:val="006B4377"/>
    <w:rsid w:val="006B471C"/>
    <w:rsid w:val="006C2D65"/>
    <w:rsid w:val="006C5467"/>
    <w:rsid w:val="006C57FE"/>
    <w:rsid w:val="006C798D"/>
    <w:rsid w:val="006C7F26"/>
    <w:rsid w:val="006C7FAC"/>
    <w:rsid w:val="006D06A5"/>
    <w:rsid w:val="006D29AE"/>
    <w:rsid w:val="006E0EED"/>
    <w:rsid w:val="006E1CFE"/>
    <w:rsid w:val="006E2D82"/>
    <w:rsid w:val="006E4BD2"/>
    <w:rsid w:val="006F233B"/>
    <w:rsid w:val="006F5DB7"/>
    <w:rsid w:val="006F6008"/>
    <w:rsid w:val="007001E3"/>
    <w:rsid w:val="007005B7"/>
    <w:rsid w:val="00701555"/>
    <w:rsid w:val="00701BB6"/>
    <w:rsid w:val="0070219D"/>
    <w:rsid w:val="007027B6"/>
    <w:rsid w:val="007041EA"/>
    <w:rsid w:val="0070607B"/>
    <w:rsid w:val="00706E32"/>
    <w:rsid w:val="007106DA"/>
    <w:rsid w:val="00720572"/>
    <w:rsid w:val="00723595"/>
    <w:rsid w:val="00725193"/>
    <w:rsid w:val="00727E69"/>
    <w:rsid w:val="007312BE"/>
    <w:rsid w:val="00732757"/>
    <w:rsid w:val="0073300E"/>
    <w:rsid w:val="00734C8B"/>
    <w:rsid w:val="00734DAE"/>
    <w:rsid w:val="00737816"/>
    <w:rsid w:val="0074068A"/>
    <w:rsid w:val="007415A3"/>
    <w:rsid w:val="00741DA4"/>
    <w:rsid w:val="007421D5"/>
    <w:rsid w:val="007441CC"/>
    <w:rsid w:val="007451BE"/>
    <w:rsid w:val="007456FE"/>
    <w:rsid w:val="00746B72"/>
    <w:rsid w:val="00746DAF"/>
    <w:rsid w:val="00747800"/>
    <w:rsid w:val="007505FB"/>
    <w:rsid w:val="00750C41"/>
    <w:rsid w:val="00751788"/>
    <w:rsid w:val="00755E3C"/>
    <w:rsid w:val="007561ED"/>
    <w:rsid w:val="007605A3"/>
    <w:rsid w:val="007616A0"/>
    <w:rsid w:val="00761713"/>
    <w:rsid w:val="007674FA"/>
    <w:rsid w:val="00770B4F"/>
    <w:rsid w:val="007719E1"/>
    <w:rsid w:val="00772856"/>
    <w:rsid w:val="00773EAB"/>
    <w:rsid w:val="00775274"/>
    <w:rsid w:val="00775F0E"/>
    <w:rsid w:val="00777E6B"/>
    <w:rsid w:val="0078040C"/>
    <w:rsid w:val="00780D92"/>
    <w:rsid w:val="007820B8"/>
    <w:rsid w:val="00785B4C"/>
    <w:rsid w:val="00786565"/>
    <w:rsid w:val="007900A3"/>
    <w:rsid w:val="00793A60"/>
    <w:rsid w:val="00794DF9"/>
    <w:rsid w:val="00797FDE"/>
    <w:rsid w:val="007A0132"/>
    <w:rsid w:val="007A3DA8"/>
    <w:rsid w:val="007A5D09"/>
    <w:rsid w:val="007B1348"/>
    <w:rsid w:val="007B1DC8"/>
    <w:rsid w:val="007B3AC8"/>
    <w:rsid w:val="007B60D3"/>
    <w:rsid w:val="007B65A1"/>
    <w:rsid w:val="007B70A2"/>
    <w:rsid w:val="007B779B"/>
    <w:rsid w:val="007C04D6"/>
    <w:rsid w:val="007C2588"/>
    <w:rsid w:val="007C2D5B"/>
    <w:rsid w:val="007C3515"/>
    <w:rsid w:val="007C3D10"/>
    <w:rsid w:val="007C49CC"/>
    <w:rsid w:val="007C5286"/>
    <w:rsid w:val="007C5614"/>
    <w:rsid w:val="007C5640"/>
    <w:rsid w:val="007C6140"/>
    <w:rsid w:val="007C67EA"/>
    <w:rsid w:val="007C6CC2"/>
    <w:rsid w:val="007D08B2"/>
    <w:rsid w:val="007D6AFE"/>
    <w:rsid w:val="007D751B"/>
    <w:rsid w:val="007D7D43"/>
    <w:rsid w:val="007E3A64"/>
    <w:rsid w:val="007E3A6E"/>
    <w:rsid w:val="007E3B36"/>
    <w:rsid w:val="007E3EB3"/>
    <w:rsid w:val="007E7572"/>
    <w:rsid w:val="007F1888"/>
    <w:rsid w:val="007F3401"/>
    <w:rsid w:val="007F479C"/>
    <w:rsid w:val="007F4950"/>
    <w:rsid w:val="007F5688"/>
    <w:rsid w:val="008004E4"/>
    <w:rsid w:val="008022ED"/>
    <w:rsid w:val="00803690"/>
    <w:rsid w:val="008052B0"/>
    <w:rsid w:val="00812683"/>
    <w:rsid w:val="008144A4"/>
    <w:rsid w:val="00816062"/>
    <w:rsid w:val="008166FA"/>
    <w:rsid w:val="008168B4"/>
    <w:rsid w:val="0081743F"/>
    <w:rsid w:val="0082008F"/>
    <w:rsid w:val="00821EEB"/>
    <w:rsid w:val="00822829"/>
    <w:rsid w:val="00823CA7"/>
    <w:rsid w:val="00824094"/>
    <w:rsid w:val="008245B5"/>
    <w:rsid w:val="0082561A"/>
    <w:rsid w:val="00825A1B"/>
    <w:rsid w:val="008271E3"/>
    <w:rsid w:val="008276F3"/>
    <w:rsid w:val="00830C9B"/>
    <w:rsid w:val="00835923"/>
    <w:rsid w:val="008425F8"/>
    <w:rsid w:val="008426C8"/>
    <w:rsid w:val="0084297E"/>
    <w:rsid w:val="008438F7"/>
    <w:rsid w:val="00855237"/>
    <w:rsid w:val="00857543"/>
    <w:rsid w:val="008608E1"/>
    <w:rsid w:val="00860CCB"/>
    <w:rsid w:val="00860FEF"/>
    <w:rsid w:val="00861E29"/>
    <w:rsid w:val="00863D21"/>
    <w:rsid w:val="00867B13"/>
    <w:rsid w:val="00871380"/>
    <w:rsid w:val="00873EC2"/>
    <w:rsid w:val="00880AAB"/>
    <w:rsid w:val="00882BF9"/>
    <w:rsid w:val="00887074"/>
    <w:rsid w:val="00887142"/>
    <w:rsid w:val="0088735C"/>
    <w:rsid w:val="0089098E"/>
    <w:rsid w:val="008911A5"/>
    <w:rsid w:val="00894634"/>
    <w:rsid w:val="00895453"/>
    <w:rsid w:val="0089579F"/>
    <w:rsid w:val="00897C7D"/>
    <w:rsid w:val="008A3D7F"/>
    <w:rsid w:val="008A6574"/>
    <w:rsid w:val="008A70F2"/>
    <w:rsid w:val="008B0CB9"/>
    <w:rsid w:val="008B15EB"/>
    <w:rsid w:val="008B1730"/>
    <w:rsid w:val="008B1E74"/>
    <w:rsid w:val="008B4AB6"/>
    <w:rsid w:val="008B65DD"/>
    <w:rsid w:val="008C1296"/>
    <w:rsid w:val="008C213C"/>
    <w:rsid w:val="008C2AC7"/>
    <w:rsid w:val="008C2CFF"/>
    <w:rsid w:val="008C31F8"/>
    <w:rsid w:val="008C49D4"/>
    <w:rsid w:val="008C52A1"/>
    <w:rsid w:val="008C689D"/>
    <w:rsid w:val="008D19BE"/>
    <w:rsid w:val="008E086E"/>
    <w:rsid w:val="008E0CE7"/>
    <w:rsid w:val="008E33C9"/>
    <w:rsid w:val="008E49BC"/>
    <w:rsid w:val="008F49AE"/>
    <w:rsid w:val="0090080C"/>
    <w:rsid w:val="0090186F"/>
    <w:rsid w:val="0090247D"/>
    <w:rsid w:val="00902D55"/>
    <w:rsid w:val="009035EC"/>
    <w:rsid w:val="00905962"/>
    <w:rsid w:val="009071C6"/>
    <w:rsid w:val="009128D6"/>
    <w:rsid w:val="0091433C"/>
    <w:rsid w:val="00915EF5"/>
    <w:rsid w:val="00916183"/>
    <w:rsid w:val="0091682B"/>
    <w:rsid w:val="00917148"/>
    <w:rsid w:val="00922763"/>
    <w:rsid w:val="009232A4"/>
    <w:rsid w:val="0092355C"/>
    <w:rsid w:val="009241CB"/>
    <w:rsid w:val="00924EC1"/>
    <w:rsid w:val="009271CA"/>
    <w:rsid w:val="00927BB8"/>
    <w:rsid w:val="0093013B"/>
    <w:rsid w:val="00933929"/>
    <w:rsid w:val="0093577C"/>
    <w:rsid w:val="00941747"/>
    <w:rsid w:val="00942D33"/>
    <w:rsid w:val="00943684"/>
    <w:rsid w:val="0094376F"/>
    <w:rsid w:val="00943921"/>
    <w:rsid w:val="00945729"/>
    <w:rsid w:val="00951020"/>
    <w:rsid w:val="00953E0D"/>
    <w:rsid w:val="009543A9"/>
    <w:rsid w:val="00955190"/>
    <w:rsid w:val="00955F10"/>
    <w:rsid w:val="00956541"/>
    <w:rsid w:val="00956D5E"/>
    <w:rsid w:val="00961831"/>
    <w:rsid w:val="00964C98"/>
    <w:rsid w:val="00966551"/>
    <w:rsid w:val="00967527"/>
    <w:rsid w:val="00967567"/>
    <w:rsid w:val="00967646"/>
    <w:rsid w:val="0097038E"/>
    <w:rsid w:val="009711EA"/>
    <w:rsid w:val="00975E5B"/>
    <w:rsid w:val="00976223"/>
    <w:rsid w:val="00976A6D"/>
    <w:rsid w:val="0097752B"/>
    <w:rsid w:val="00977B64"/>
    <w:rsid w:val="009823E6"/>
    <w:rsid w:val="00983558"/>
    <w:rsid w:val="00987A69"/>
    <w:rsid w:val="00995607"/>
    <w:rsid w:val="00995FD5"/>
    <w:rsid w:val="009A0534"/>
    <w:rsid w:val="009A0EAE"/>
    <w:rsid w:val="009A1582"/>
    <w:rsid w:val="009A1F30"/>
    <w:rsid w:val="009A3BE9"/>
    <w:rsid w:val="009A3FEC"/>
    <w:rsid w:val="009A6ADA"/>
    <w:rsid w:val="009A7BD4"/>
    <w:rsid w:val="009A7DD4"/>
    <w:rsid w:val="009B024A"/>
    <w:rsid w:val="009B10F1"/>
    <w:rsid w:val="009B1406"/>
    <w:rsid w:val="009B19ED"/>
    <w:rsid w:val="009B278B"/>
    <w:rsid w:val="009B4863"/>
    <w:rsid w:val="009B6B75"/>
    <w:rsid w:val="009C1660"/>
    <w:rsid w:val="009C28BD"/>
    <w:rsid w:val="009C41CD"/>
    <w:rsid w:val="009C5384"/>
    <w:rsid w:val="009C5794"/>
    <w:rsid w:val="009C7133"/>
    <w:rsid w:val="009C7CE2"/>
    <w:rsid w:val="009D0830"/>
    <w:rsid w:val="009D23A8"/>
    <w:rsid w:val="009D34A5"/>
    <w:rsid w:val="009D7331"/>
    <w:rsid w:val="009E0E03"/>
    <w:rsid w:val="009E128D"/>
    <w:rsid w:val="009E33CC"/>
    <w:rsid w:val="009E3CA4"/>
    <w:rsid w:val="009E53BF"/>
    <w:rsid w:val="009E5CAD"/>
    <w:rsid w:val="009E6D5E"/>
    <w:rsid w:val="009F0082"/>
    <w:rsid w:val="009F1A21"/>
    <w:rsid w:val="009F281A"/>
    <w:rsid w:val="009F2BA0"/>
    <w:rsid w:val="009F336B"/>
    <w:rsid w:val="00A00BF1"/>
    <w:rsid w:val="00A012CF"/>
    <w:rsid w:val="00A02682"/>
    <w:rsid w:val="00A06951"/>
    <w:rsid w:val="00A06A67"/>
    <w:rsid w:val="00A1304E"/>
    <w:rsid w:val="00A13657"/>
    <w:rsid w:val="00A147F4"/>
    <w:rsid w:val="00A211A0"/>
    <w:rsid w:val="00A218AD"/>
    <w:rsid w:val="00A21D80"/>
    <w:rsid w:val="00A25909"/>
    <w:rsid w:val="00A2663F"/>
    <w:rsid w:val="00A2794F"/>
    <w:rsid w:val="00A35875"/>
    <w:rsid w:val="00A37403"/>
    <w:rsid w:val="00A37E90"/>
    <w:rsid w:val="00A41A89"/>
    <w:rsid w:val="00A428BC"/>
    <w:rsid w:val="00A44BBB"/>
    <w:rsid w:val="00A46A59"/>
    <w:rsid w:val="00A47A42"/>
    <w:rsid w:val="00A5298B"/>
    <w:rsid w:val="00A52A4A"/>
    <w:rsid w:val="00A52D11"/>
    <w:rsid w:val="00A5517B"/>
    <w:rsid w:val="00A56335"/>
    <w:rsid w:val="00A607A3"/>
    <w:rsid w:val="00A61C00"/>
    <w:rsid w:val="00A724DB"/>
    <w:rsid w:val="00A74C1E"/>
    <w:rsid w:val="00A75736"/>
    <w:rsid w:val="00A758C1"/>
    <w:rsid w:val="00A75CC2"/>
    <w:rsid w:val="00A75F65"/>
    <w:rsid w:val="00A817FF"/>
    <w:rsid w:val="00A81A64"/>
    <w:rsid w:val="00A8280F"/>
    <w:rsid w:val="00A82E7F"/>
    <w:rsid w:val="00A82ED5"/>
    <w:rsid w:val="00A837BC"/>
    <w:rsid w:val="00A8449F"/>
    <w:rsid w:val="00A86937"/>
    <w:rsid w:val="00A872A2"/>
    <w:rsid w:val="00A9060B"/>
    <w:rsid w:val="00A90B86"/>
    <w:rsid w:val="00A9786F"/>
    <w:rsid w:val="00AA1A2A"/>
    <w:rsid w:val="00AA2547"/>
    <w:rsid w:val="00AA2710"/>
    <w:rsid w:val="00AA455A"/>
    <w:rsid w:val="00AA4872"/>
    <w:rsid w:val="00AB03F9"/>
    <w:rsid w:val="00AB2F47"/>
    <w:rsid w:val="00AB373F"/>
    <w:rsid w:val="00AB5AF7"/>
    <w:rsid w:val="00AB61B5"/>
    <w:rsid w:val="00AC267F"/>
    <w:rsid w:val="00AC30AD"/>
    <w:rsid w:val="00AC4677"/>
    <w:rsid w:val="00AC7360"/>
    <w:rsid w:val="00AC771B"/>
    <w:rsid w:val="00AD29D6"/>
    <w:rsid w:val="00AD2F56"/>
    <w:rsid w:val="00AD4465"/>
    <w:rsid w:val="00AD763C"/>
    <w:rsid w:val="00AD77F1"/>
    <w:rsid w:val="00AE0242"/>
    <w:rsid w:val="00AE1BFA"/>
    <w:rsid w:val="00AE2DC7"/>
    <w:rsid w:val="00AE5377"/>
    <w:rsid w:val="00AE5A63"/>
    <w:rsid w:val="00AE7F18"/>
    <w:rsid w:val="00AF1B31"/>
    <w:rsid w:val="00AF3879"/>
    <w:rsid w:val="00B00E7F"/>
    <w:rsid w:val="00B0328E"/>
    <w:rsid w:val="00B03E3F"/>
    <w:rsid w:val="00B06E7F"/>
    <w:rsid w:val="00B07709"/>
    <w:rsid w:val="00B108EC"/>
    <w:rsid w:val="00B11BC3"/>
    <w:rsid w:val="00B1268C"/>
    <w:rsid w:val="00B14C68"/>
    <w:rsid w:val="00B158BC"/>
    <w:rsid w:val="00B15ECE"/>
    <w:rsid w:val="00B162DE"/>
    <w:rsid w:val="00B17D99"/>
    <w:rsid w:val="00B208AF"/>
    <w:rsid w:val="00B20C7D"/>
    <w:rsid w:val="00B23F4A"/>
    <w:rsid w:val="00B245AC"/>
    <w:rsid w:val="00B246B5"/>
    <w:rsid w:val="00B24793"/>
    <w:rsid w:val="00B252DF"/>
    <w:rsid w:val="00B32F03"/>
    <w:rsid w:val="00B3664B"/>
    <w:rsid w:val="00B40F69"/>
    <w:rsid w:val="00B41DD8"/>
    <w:rsid w:val="00B43160"/>
    <w:rsid w:val="00B477F5"/>
    <w:rsid w:val="00B47B23"/>
    <w:rsid w:val="00B50321"/>
    <w:rsid w:val="00B52A79"/>
    <w:rsid w:val="00B52AF5"/>
    <w:rsid w:val="00B53CE1"/>
    <w:rsid w:val="00B54623"/>
    <w:rsid w:val="00B60790"/>
    <w:rsid w:val="00B60D2D"/>
    <w:rsid w:val="00B60E94"/>
    <w:rsid w:val="00B641D6"/>
    <w:rsid w:val="00B654C4"/>
    <w:rsid w:val="00B66BC1"/>
    <w:rsid w:val="00B7155C"/>
    <w:rsid w:val="00B7269B"/>
    <w:rsid w:val="00B76C92"/>
    <w:rsid w:val="00B8004F"/>
    <w:rsid w:val="00B806F6"/>
    <w:rsid w:val="00B80EC7"/>
    <w:rsid w:val="00B82DEA"/>
    <w:rsid w:val="00B835D5"/>
    <w:rsid w:val="00B84579"/>
    <w:rsid w:val="00B848F1"/>
    <w:rsid w:val="00B87B99"/>
    <w:rsid w:val="00B90285"/>
    <w:rsid w:val="00B9098B"/>
    <w:rsid w:val="00B91634"/>
    <w:rsid w:val="00B94898"/>
    <w:rsid w:val="00B960FF"/>
    <w:rsid w:val="00B9661F"/>
    <w:rsid w:val="00BA0056"/>
    <w:rsid w:val="00BA09C1"/>
    <w:rsid w:val="00BA11A5"/>
    <w:rsid w:val="00BA2C0B"/>
    <w:rsid w:val="00BA33C9"/>
    <w:rsid w:val="00BA48D7"/>
    <w:rsid w:val="00BA4E74"/>
    <w:rsid w:val="00BA528C"/>
    <w:rsid w:val="00BA61C3"/>
    <w:rsid w:val="00BA773C"/>
    <w:rsid w:val="00BB0CF6"/>
    <w:rsid w:val="00BB340F"/>
    <w:rsid w:val="00BB45B9"/>
    <w:rsid w:val="00BC0F7B"/>
    <w:rsid w:val="00BC2393"/>
    <w:rsid w:val="00BC2789"/>
    <w:rsid w:val="00BC3F05"/>
    <w:rsid w:val="00BC57E0"/>
    <w:rsid w:val="00BC6F9D"/>
    <w:rsid w:val="00BD046C"/>
    <w:rsid w:val="00BD13D4"/>
    <w:rsid w:val="00BD26A7"/>
    <w:rsid w:val="00BD7709"/>
    <w:rsid w:val="00BD7EAF"/>
    <w:rsid w:val="00BE1986"/>
    <w:rsid w:val="00BE1EEE"/>
    <w:rsid w:val="00BE383E"/>
    <w:rsid w:val="00BE4B56"/>
    <w:rsid w:val="00BE6FB7"/>
    <w:rsid w:val="00BF0014"/>
    <w:rsid w:val="00BF1A26"/>
    <w:rsid w:val="00BF415A"/>
    <w:rsid w:val="00BF6090"/>
    <w:rsid w:val="00C002F9"/>
    <w:rsid w:val="00C01CD5"/>
    <w:rsid w:val="00C042B4"/>
    <w:rsid w:val="00C0521E"/>
    <w:rsid w:val="00C074A0"/>
    <w:rsid w:val="00C10B34"/>
    <w:rsid w:val="00C15C76"/>
    <w:rsid w:val="00C16480"/>
    <w:rsid w:val="00C20BFF"/>
    <w:rsid w:val="00C218A9"/>
    <w:rsid w:val="00C23580"/>
    <w:rsid w:val="00C2660B"/>
    <w:rsid w:val="00C26CAC"/>
    <w:rsid w:val="00C26CB6"/>
    <w:rsid w:val="00C30E70"/>
    <w:rsid w:val="00C32166"/>
    <w:rsid w:val="00C34063"/>
    <w:rsid w:val="00C40EE5"/>
    <w:rsid w:val="00C410E9"/>
    <w:rsid w:val="00C41CBD"/>
    <w:rsid w:val="00C42C25"/>
    <w:rsid w:val="00C434A3"/>
    <w:rsid w:val="00C43A33"/>
    <w:rsid w:val="00C453C3"/>
    <w:rsid w:val="00C45BE6"/>
    <w:rsid w:val="00C45D50"/>
    <w:rsid w:val="00C46B9F"/>
    <w:rsid w:val="00C51AE2"/>
    <w:rsid w:val="00C52311"/>
    <w:rsid w:val="00C52530"/>
    <w:rsid w:val="00C53FEB"/>
    <w:rsid w:val="00C55269"/>
    <w:rsid w:val="00C55F5F"/>
    <w:rsid w:val="00C57BC7"/>
    <w:rsid w:val="00C61066"/>
    <w:rsid w:val="00C6289B"/>
    <w:rsid w:val="00C62C1F"/>
    <w:rsid w:val="00C64A28"/>
    <w:rsid w:val="00C66E60"/>
    <w:rsid w:val="00C6723D"/>
    <w:rsid w:val="00C67B69"/>
    <w:rsid w:val="00C703E9"/>
    <w:rsid w:val="00C71B5A"/>
    <w:rsid w:val="00C722C0"/>
    <w:rsid w:val="00C74F44"/>
    <w:rsid w:val="00C8054B"/>
    <w:rsid w:val="00C8133D"/>
    <w:rsid w:val="00C8176C"/>
    <w:rsid w:val="00C830E0"/>
    <w:rsid w:val="00C85AEA"/>
    <w:rsid w:val="00C91186"/>
    <w:rsid w:val="00C91356"/>
    <w:rsid w:val="00C91758"/>
    <w:rsid w:val="00C91E86"/>
    <w:rsid w:val="00C924EA"/>
    <w:rsid w:val="00C9495E"/>
    <w:rsid w:val="00C949C7"/>
    <w:rsid w:val="00C94ABD"/>
    <w:rsid w:val="00C97A53"/>
    <w:rsid w:val="00CA10E7"/>
    <w:rsid w:val="00CA755D"/>
    <w:rsid w:val="00CB1BDB"/>
    <w:rsid w:val="00CB2388"/>
    <w:rsid w:val="00CB29AE"/>
    <w:rsid w:val="00CB61A8"/>
    <w:rsid w:val="00CB6777"/>
    <w:rsid w:val="00CC03E9"/>
    <w:rsid w:val="00CC0F08"/>
    <w:rsid w:val="00CC21E6"/>
    <w:rsid w:val="00CC232E"/>
    <w:rsid w:val="00CC3C84"/>
    <w:rsid w:val="00CC421A"/>
    <w:rsid w:val="00CC525F"/>
    <w:rsid w:val="00CD1C03"/>
    <w:rsid w:val="00CD4F92"/>
    <w:rsid w:val="00CD57F8"/>
    <w:rsid w:val="00CE108D"/>
    <w:rsid w:val="00CE67CC"/>
    <w:rsid w:val="00D026BC"/>
    <w:rsid w:val="00D04EA8"/>
    <w:rsid w:val="00D04FC5"/>
    <w:rsid w:val="00D056F0"/>
    <w:rsid w:val="00D07119"/>
    <w:rsid w:val="00D1004B"/>
    <w:rsid w:val="00D10345"/>
    <w:rsid w:val="00D15BE1"/>
    <w:rsid w:val="00D168B3"/>
    <w:rsid w:val="00D16B3D"/>
    <w:rsid w:val="00D16C55"/>
    <w:rsid w:val="00D16D60"/>
    <w:rsid w:val="00D204D1"/>
    <w:rsid w:val="00D21100"/>
    <w:rsid w:val="00D24E8B"/>
    <w:rsid w:val="00D27BE1"/>
    <w:rsid w:val="00D30817"/>
    <w:rsid w:val="00D30F1B"/>
    <w:rsid w:val="00D33E21"/>
    <w:rsid w:val="00D34983"/>
    <w:rsid w:val="00D45426"/>
    <w:rsid w:val="00D47044"/>
    <w:rsid w:val="00D4769B"/>
    <w:rsid w:val="00D503AF"/>
    <w:rsid w:val="00D564B2"/>
    <w:rsid w:val="00D577F8"/>
    <w:rsid w:val="00D61E67"/>
    <w:rsid w:val="00D6301D"/>
    <w:rsid w:val="00D63415"/>
    <w:rsid w:val="00D6395B"/>
    <w:rsid w:val="00D70EA1"/>
    <w:rsid w:val="00D72119"/>
    <w:rsid w:val="00D734E6"/>
    <w:rsid w:val="00D74F8A"/>
    <w:rsid w:val="00D74FB9"/>
    <w:rsid w:val="00D75130"/>
    <w:rsid w:val="00D76A7B"/>
    <w:rsid w:val="00D805A2"/>
    <w:rsid w:val="00D813AA"/>
    <w:rsid w:val="00D821DE"/>
    <w:rsid w:val="00D8412A"/>
    <w:rsid w:val="00D84495"/>
    <w:rsid w:val="00D85B7A"/>
    <w:rsid w:val="00D8681F"/>
    <w:rsid w:val="00D87445"/>
    <w:rsid w:val="00D91EFD"/>
    <w:rsid w:val="00D92FD6"/>
    <w:rsid w:val="00DA2F5F"/>
    <w:rsid w:val="00DA5233"/>
    <w:rsid w:val="00DA553E"/>
    <w:rsid w:val="00DA7C90"/>
    <w:rsid w:val="00DB2A3C"/>
    <w:rsid w:val="00DB2E52"/>
    <w:rsid w:val="00DB443A"/>
    <w:rsid w:val="00DB53C9"/>
    <w:rsid w:val="00DB61CE"/>
    <w:rsid w:val="00DC1796"/>
    <w:rsid w:val="00DC2429"/>
    <w:rsid w:val="00DC6F89"/>
    <w:rsid w:val="00DC7D1F"/>
    <w:rsid w:val="00DD02E0"/>
    <w:rsid w:val="00DD14DC"/>
    <w:rsid w:val="00DD250D"/>
    <w:rsid w:val="00DD33E1"/>
    <w:rsid w:val="00DD342B"/>
    <w:rsid w:val="00DD5D8C"/>
    <w:rsid w:val="00DD7DCD"/>
    <w:rsid w:val="00DE07D6"/>
    <w:rsid w:val="00DE24C6"/>
    <w:rsid w:val="00DE31EE"/>
    <w:rsid w:val="00DE6C70"/>
    <w:rsid w:val="00DE738C"/>
    <w:rsid w:val="00DF27C2"/>
    <w:rsid w:val="00DF63A6"/>
    <w:rsid w:val="00E01098"/>
    <w:rsid w:val="00E023E6"/>
    <w:rsid w:val="00E031EC"/>
    <w:rsid w:val="00E06FDE"/>
    <w:rsid w:val="00E077C8"/>
    <w:rsid w:val="00E07FAB"/>
    <w:rsid w:val="00E11F32"/>
    <w:rsid w:val="00E120D5"/>
    <w:rsid w:val="00E15D17"/>
    <w:rsid w:val="00E203EA"/>
    <w:rsid w:val="00E2236C"/>
    <w:rsid w:val="00E233ED"/>
    <w:rsid w:val="00E24EFD"/>
    <w:rsid w:val="00E323E4"/>
    <w:rsid w:val="00E32495"/>
    <w:rsid w:val="00E32CB6"/>
    <w:rsid w:val="00E33087"/>
    <w:rsid w:val="00E35DD4"/>
    <w:rsid w:val="00E375E3"/>
    <w:rsid w:val="00E412F1"/>
    <w:rsid w:val="00E41F67"/>
    <w:rsid w:val="00E42BC4"/>
    <w:rsid w:val="00E43DD9"/>
    <w:rsid w:val="00E44821"/>
    <w:rsid w:val="00E472B9"/>
    <w:rsid w:val="00E50C00"/>
    <w:rsid w:val="00E5166A"/>
    <w:rsid w:val="00E55614"/>
    <w:rsid w:val="00E5572A"/>
    <w:rsid w:val="00E61DB4"/>
    <w:rsid w:val="00E62954"/>
    <w:rsid w:val="00E63FC6"/>
    <w:rsid w:val="00E63FCF"/>
    <w:rsid w:val="00E64261"/>
    <w:rsid w:val="00E644BF"/>
    <w:rsid w:val="00E7361F"/>
    <w:rsid w:val="00E73798"/>
    <w:rsid w:val="00E77D0B"/>
    <w:rsid w:val="00E82C9B"/>
    <w:rsid w:val="00E84346"/>
    <w:rsid w:val="00E84C16"/>
    <w:rsid w:val="00E901AD"/>
    <w:rsid w:val="00E945BE"/>
    <w:rsid w:val="00E9551A"/>
    <w:rsid w:val="00E95A52"/>
    <w:rsid w:val="00E97A58"/>
    <w:rsid w:val="00EA0E0A"/>
    <w:rsid w:val="00EA1CAC"/>
    <w:rsid w:val="00EA23F0"/>
    <w:rsid w:val="00EA2857"/>
    <w:rsid w:val="00EA509B"/>
    <w:rsid w:val="00EA5E4A"/>
    <w:rsid w:val="00EB08ED"/>
    <w:rsid w:val="00EB1F45"/>
    <w:rsid w:val="00EB5710"/>
    <w:rsid w:val="00EB5C01"/>
    <w:rsid w:val="00EB5E70"/>
    <w:rsid w:val="00EB777B"/>
    <w:rsid w:val="00EC2261"/>
    <w:rsid w:val="00EC3FE0"/>
    <w:rsid w:val="00EC7078"/>
    <w:rsid w:val="00EC7CDD"/>
    <w:rsid w:val="00ED027D"/>
    <w:rsid w:val="00ED0409"/>
    <w:rsid w:val="00ED1181"/>
    <w:rsid w:val="00ED328E"/>
    <w:rsid w:val="00ED6DFB"/>
    <w:rsid w:val="00ED782F"/>
    <w:rsid w:val="00EE2A54"/>
    <w:rsid w:val="00EE79D0"/>
    <w:rsid w:val="00EF1ED3"/>
    <w:rsid w:val="00EF533D"/>
    <w:rsid w:val="00EF7A43"/>
    <w:rsid w:val="00F01E8F"/>
    <w:rsid w:val="00F037AF"/>
    <w:rsid w:val="00F03BE4"/>
    <w:rsid w:val="00F05E30"/>
    <w:rsid w:val="00F1188C"/>
    <w:rsid w:val="00F11C9E"/>
    <w:rsid w:val="00F128C6"/>
    <w:rsid w:val="00F12A2B"/>
    <w:rsid w:val="00F13033"/>
    <w:rsid w:val="00F13927"/>
    <w:rsid w:val="00F13A02"/>
    <w:rsid w:val="00F13BB6"/>
    <w:rsid w:val="00F13F0C"/>
    <w:rsid w:val="00F14373"/>
    <w:rsid w:val="00F14CB6"/>
    <w:rsid w:val="00F27A7D"/>
    <w:rsid w:val="00F327B4"/>
    <w:rsid w:val="00F35B3A"/>
    <w:rsid w:val="00F35D2D"/>
    <w:rsid w:val="00F36837"/>
    <w:rsid w:val="00F37930"/>
    <w:rsid w:val="00F37CF3"/>
    <w:rsid w:val="00F41783"/>
    <w:rsid w:val="00F4282C"/>
    <w:rsid w:val="00F42E5E"/>
    <w:rsid w:val="00F44D78"/>
    <w:rsid w:val="00F45A8E"/>
    <w:rsid w:val="00F469BB"/>
    <w:rsid w:val="00F46B5E"/>
    <w:rsid w:val="00F53604"/>
    <w:rsid w:val="00F53B8B"/>
    <w:rsid w:val="00F53F85"/>
    <w:rsid w:val="00F54A89"/>
    <w:rsid w:val="00F55B77"/>
    <w:rsid w:val="00F576E1"/>
    <w:rsid w:val="00F60413"/>
    <w:rsid w:val="00F67AB6"/>
    <w:rsid w:val="00F73CF3"/>
    <w:rsid w:val="00F757F4"/>
    <w:rsid w:val="00F75FA7"/>
    <w:rsid w:val="00F76088"/>
    <w:rsid w:val="00F80755"/>
    <w:rsid w:val="00F84372"/>
    <w:rsid w:val="00F873D7"/>
    <w:rsid w:val="00F8748A"/>
    <w:rsid w:val="00F904C7"/>
    <w:rsid w:val="00F90608"/>
    <w:rsid w:val="00F91BB3"/>
    <w:rsid w:val="00F92C6A"/>
    <w:rsid w:val="00F935D8"/>
    <w:rsid w:val="00F938F2"/>
    <w:rsid w:val="00F94329"/>
    <w:rsid w:val="00F94BCC"/>
    <w:rsid w:val="00FA06FD"/>
    <w:rsid w:val="00FA17C4"/>
    <w:rsid w:val="00FA1890"/>
    <w:rsid w:val="00FA24DA"/>
    <w:rsid w:val="00FA2E64"/>
    <w:rsid w:val="00FA3E20"/>
    <w:rsid w:val="00FA6697"/>
    <w:rsid w:val="00FA6C5D"/>
    <w:rsid w:val="00FA6E91"/>
    <w:rsid w:val="00FA7080"/>
    <w:rsid w:val="00FB20FF"/>
    <w:rsid w:val="00FB2978"/>
    <w:rsid w:val="00FB338D"/>
    <w:rsid w:val="00FB528E"/>
    <w:rsid w:val="00FB551E"/>
    <w:rsid w:val="00FC0042"/>
    <w:rsid w:val="00FC7867"/>
    <w:rsid w:val="00FD0234"/>
    <w:rsid w:val="00FD2D3A"/>
    <w:rsid w:val="00FD418D"/>
    <w:rsid w:val="00FD4563"/>
    <w:rsid w:val="00FD5B07"/>
    <w:rsid w:val="00FD5E74"/>
    <w:rsid w:val="00FD5ED1"/>
    <w:rsid w:val="00FD6658"/>
    <w:rsid w:val="00FE43B8"/>
    <w:rsid w:val="00FE4EBD"/>
    <w:rsid w:val="00FE56D9"/>
    <w:rsid w:val="00FE5C5F"/>
    <w:rsid w:val="00FE5FE7"/>
    <w:rsid w:val="00FF2C8B"/>
    <w:rsid w:val="00FF3DC6"/>
    <w:rsid w:val="00FF7411"/>
    <w:rsid w:val="00FF741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C8D9E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45A1"/>
    <w:pPr>
      <w:spacing w:before="120" w:after="120" w:line="360" w:lineRule="auto"/>
      <w:jc w:val="both"/>
    </w:pPr>
    <w:rPr>
      <w:rFonts w:ascii="Arial" w:hAnsi="Arial"/>
      <w:lang w:val="en-GB"/>
    </w:rPr>
  </w:style>
  <w:style w:type="paragraph" w:styleId="Heading1">
    <w:name w:val="heading 1"/>
    <w:basedOn w:val="Normal"/>
    <w:next w:val="Normal"/>
    <w:link w:val="Heading1Char"/>
    <w:uiPriority w:val="9"/>
    <w:qFormat/>
    <w:rsid w:val="00EE2A54"/>
    <w:pPr>
      <w:keepNext/>
      <w:keepLines/>
      <w:spacing w:before="240" w:after="0"/>
      <w:jc w:val="center"/>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EE2A54"/>
    <w:pPr>
      <w:keepNext/>
      <w:keepLines/>
      <w:spacing w:before="40" w:after="0"/>
      <w:outlineLvl w:val="1"/>
    </w:pPr>
    <w:rPr>
      <w:rFonts w:eastAsiaTheme="majorEastAsia" w:cstheme="majorBidi"/>
      <w:b/>
      <w:color w:val="2F5496" w:themeColor="accent1" w:themeShade="BF"/>
      <w:sz w:val="28"/>
      <w:szCs w:val="26"/>
      <w:u w:val="single"/>
    </w:rPr>
  </w:style>
  <w:style w:type="paragraph" w:styleId="Heading3">
    <w:name w:val="heading 3"/>
    <w:basedOn w:val="Normal"/>
    <w:next w:val="Normal"/>
    <w:link w:val="Heading3Char"/>
    <w:uiPriority w:val="9"/>
    <w:unhideWhenUsed/>
    <w:qFormat/>
    <w:rsid w:val="006978CE"/>
    <w:pPr>
      <w:keepNext/>
      <w:keepLines/>
      <w:spacing w:before="40" w:after="0"/>
      <w:outlineLvl w:val="2"/>
    </w:pPr>
    <w:rPr>
      <w:rFonts w:eastAsiaTheme="majorEastAsia" w:cstheme="majorBidi"/>
      <w:b/>
      <w:color w:val="2F5496" w:themeColor="accent1" w:themeShade="BF"/>
      <w:sz w:val="26"/>
      <w:szCs w:val="24"/>
    </w:rPr>
  </w:style>
  <w:style w:type="paragraph" w:styleId="Heading4">
    <w:name w:val="heading 4"/>
    <w:basedOn w:val="Normal"/>
    <w:next w:val="Normal"/>
    <w:link w:val="Heading4Char"/>
    <w:uiPriority w:val="9"/>
    <w:semiHidden/>
    <w:unhideWhenUsed/>
    <w:qFormat/>
    <w:rsid w:val="006978CE"/>
    <w:pPr>
      <w:keepNext/>
      <w:keepLines/>
      <w:spacing w:before="40" w:after="0"/>
      <w:outlineLvl w:val="3"/>
    </w:pPr>
    <w:rPr>
      <w:rFonts w:asciiTheme="minorBidi" w:eastAsiaTheme="majorEastAsia" w:hAnsiTheme="minorBidi" w:cstheme="majorBidi"/>
      <w:iCs/>
      <w:color w:val="2F5496" w:themeColor="accent1" w:themeShade="BF"/>
    </w:rPr>
  </w:style>
  <w:style w:type="paragraph" w:styleId="Heading5">
    <w:name w:val="heading 5"/>
    <w:basedOn w:val="Normal"/>
    <w:next w:val="Normal"/>
    <w:link w:val="Heading5Char"/>
    <w:uiPriority w:val="9"/>
    <w:semiHidden/>
    <w:unhideWhenUsed/>
    <w:qFormat/>
    <w:rsid w:val="00523CCB"/>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2A54"/>
    <w:rPr>
      <w:rFonts w:ascii="Arial" w:eastAsiaTheme="majorEastAsia" w:hAnsi="Arial" w:cstheme="majorBidi"/>
      <w:b/>
      <w:color w:val="2F5496" w:themeColor="accent1" w:themeShade="BF"/>
      <w:sz w:val="32"/>
      <w:szCs w:val="32"/>
    </w:rPr>
  </w:style>
  <w:style w:type="character" w:customStyle="1" w:styleId="Heading2Char">
    <w:name w:val="Heading 2 Char"/>
    <w:basedOn w:val="DefaultParagraphFont"/>
    <w:link w:val="Heading2"/>
    <w:uiPriority w:val="9"/>
    <w:rsid w:val="00EE2A54"/>
    <w:rPr>
      <w:rFonts w:ascii="Arial" w:eastAsiaTheme="majorEastAsia" w:hAnsi="Arial" w:cstheme="majorBidi"/>
      <w:b/>
      <w:color w:val="2F5496" w:themeColor="accent1" w:themeShade="BF"/>
      <w:sz w:val="28"/>
      <w:szCs w:val="26"/>
      <w:u w:val="single"/>
    </w:rPr>
  </w:style>
  <w:style w:type="table" w:styleId="TableGrid">
    <w:name w:val="Table Grid"/>
    <w:basedOn w:val="TableNormal"/>
    <w:uiPriority w:val="39"/>
    <w:rsid w:val="00E82C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E82C9B"/>
    <w:pPr>
      <w:spacing w:before="0" w:after="200" w:line="240" w:lineRule="auto"/>
    </w:pPr>
    <w:rPr>
      <w:i/>
      <w:iCs/>
      <w:color w:val="44546A" w:themeColor="text2"/>
      <w:sz w:val="18"/>
      <w:szCs w:val="18"/>
    </w:rPr>
  </w:style>
  <w:style w:type="paragraph" w:styleId="ListParagraph">
    <w:name w:val="List Paragraph"/>
    <w:basedOn w:val="Normal"/>
    <w:uiPriority w:val="34"/>
    <w:qFormat/>
    <w:rsid w:val="00E82C9B"/>
    <w:pPr>
      <w:ind w:left="720"/>
      <w:contextualSpacing/>
    </w:pPr>
  </w:style>
  <w:style w:type="paragraph" w:styleId="Footer">
    <w:name w:val="footer"/>
    <w:basedOn w:val="Normal"/>
    <w:link w:val="FooterChar"/>
    <w:uiPriority w:val="99"/>
    <w:unhideWhenUsed/>
    <w:rsid w:val="00E82C9B"/>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E82C9B"/>
    <w:rPr>
      <w:rFonts w:ascii="Arial" w:hAnsi="Arial"/>
    </w:rPr>
  </w:style>
  <w:style w:type="paragraph" w:styleId="Bibliography">
    <w:name w:val="Bibliography"/>
    <w:basedOn w:val="Normal"/>
    <w:next w:val="Normal"/>
    <w:uiPriority w:val="37"/>
    <w:unhideWhenUsed/>
    <w:rsid w:val="00E82C9B"/>
  </w:style>
  <w:style w:type="paragraph" w:styleId="TOCHeading">
    <w:name w:val="TOC Heading"/>
    <w:basedOn w:val="Heading1"/>
    <w:next w:val="Normal"/>
    <w:uiPriority w:val="39"/>
    <w:unhideWhenUsed/>
    <w:qFormat/>
    <w:rsid w:val="00E82C9B"/>
    <w:pPr>
      <w:jc w:val="left"/>
      <w:outlineLvl w:val="9"/>
    </w:pPr>
    <w:rPr>
      <w:rFonts w:asciiTheme="majorHAnsi" w:hAnsiTheme="majorHAnsi"/>
      <w:b w:val="0"/>
    </w:rPr>
  </w:style>
  <w:style w:type="paragraph" w:styleId="TOC1">
    <w:name w:val="toc 1"/>
    <w:basedOn w:val="Normal"/>
    <w:next w:val="Normal"/>
    <w:autoRedefine/>
    <w:uiPriority w:val="39"/>
    <w:unhideWhenUsed/>
    <w:rsid w:val="00E82C9B"/>
    <w:pPr>
      <w:spacing w:after="100"/>
    </w:pPr>
  </w:style>
  <w:style w:type="paragraph" w:styleId="TOC2">
    <w:name w:val="toc 2"/>
    <w:basedOn w:val="Normal"/>
    <w:next w:val="Normal"/>
    <w:autoRedefine/>
    <w:uiPriority w:val="39"/>
    <w:unhideWhenUsed/>
    <w:rsid w:val="00E82C9B"/>
    <w:pPr>
      <w:spacing w:after="100"/>
      <w:ind w:left="240"/>
    </w:pPr>
  </w:style>
  <w:style w:type="character" w:styleId="Hyperlink">
    <w:name w:val="Hyperlink"/>
    <w:basedOn w:val="DefaultParagraphFont"/>
    <w:uiPriority w:val="99"/>
    <w:unhideWhenUsed/>
    <w:rsid w:val="00E82C9B"/>
    <w:rPr>
      <w:color w:val="0563C1" w:themeColor="hyperlink"/>
      <w:u w:val="single"/>
    </w:rPr>
  </w:style>
  <w:style w:type="paragraph" w:styleId="NormalWeb">
    <w:name w:val="Normal (Web)"/>
    <w:basedOn w:val="Normal"/>
    <w:uiPriority w:val="99"/>
    <w:unhideWhenUsed/>
    <w:rsid w:val="005F4AC2"/>
    <w:pPr>
      <w:spacing w:before="100" w:beforeAutospacing="1" w:after="100" w:afterAutospacing="1" w:line="240" w:lineRule="auto"/>
      <w:jc w:val="left"/>
    </w:pPr>
    <w:rPr>
      <w:rFonts w:eastAsia="Times New Roman" w:cs="Times New Roman"/>
      <w:szCs w:val="24"/>
    </w:rPr>
  </w:style>
  <w:style w:type="paragraph" w:styleId="Header">
    <w:name w:val="header"/>
    <w:basedOn w:val="Normal"/>
    <w:link w:val="HeaderChar"/>
    <w:uiPriority w:val="99"/>
    <w:unhideWhenUsed/>
    <w:rsid w:val="001D74B3"/>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1D74B3"/>
    <w:rPr>
      <w:rFonts w:ascii="Arial" w:hAnsi="Arial"/>
    </w:rPr>
  </w:style>
  <w:style w:type="character" w:customStyle="1" w:styleId="Heading3Char">
    <w:name w:val="Heading 3 Char"/>
    <w:basedOn w:val="DefaultParagraphFont"/>
    <w:link w:val="Heading3"/>
    <w:uiPriority w:val="9"/>
    <w:rsid w:val="006978CE"/>
    <w:rPr>
      <w:rFonts w:ascii="Arial" w:eastAsiaTheme="majorEastAsia" w:hAnsi="Arial" w:cstheme="majorBidi"/>
      <w:b/>
      <w:color w:val="2F5496" w:themeColor="accent1" w:themeShade="BF"/>
      <w:sz w:val="26"/>
      <w:szCs w:val="24"/>
    </w:rPr>
  </w:style>
  <w:style w:type="paragraph" w:styleId="TOC3">
    <w:name w:val="toc 3"/>
    <w:basedOn w:val="Normal"/>
    <w:next w:val="Normal"/>
    <w:autoRedefine/>
    <w:uiPriority w:val="39"/>
    <w:unhideWhenUsed/>
    <w:rsid w:val="00967646"/>
    <w:pPr>
      <w:spacing w:after="100"/>
      <w:ind w:left="480"/>
    </w:pPr>
  </w:style>
  <w:style w:type="character" w:customStyle="1" w:styleId="Heading4Char">
    <w:name w:val="Heading 4 Char"/>
    <w:basedOn w:val="DefaultParagraphFont"/>
    <w:link w:val="Heading4"/>
    <w:uiPriority w:val="9"/>
    <w:semiHidden/>
    <w:rsid w:val="006978CE"/>
    <w:rPr>
      <w:rFonts w:asciiTheme="minorBidi" w:eastAsiaTheme="majorEastAsia" w:hAnsiTheme="minorBidi" w:cstheme="majorBidi"/>
      <w:iCs/>
      <w:color w:val="2F5496" w:themeColor="accent1" w:themeShade="BF"/>
    </w:rPr>
  </w:style>
  <w:style w:type="character" w:customStyle="1" w:styleId="Heading5Char">
    <w:name w:val="Heading 5 Char"/>
    <w:basedOn w:val="DefaultParagraphFont"/>
    <w:link w:val="Heading5"/>
    <w:uiPriority w:val="9"/>
    <w:semiHidden/>
    <w:rsid w:val="00523CCB"/>
    <w:rPr>
      <w:rFonts w:asciiTheme="majorHAnsi" w:eastAsiaTheme="majorEastAsia" w:hAnsiTheme="majorHAnsi" w:cstheme="majorBidi"/>
      <w:color w:val="2F5496" w:themeColor="accent1" w:themeShade="BF"/>
    </w:rPr>
  </w:style>
  <w:style w:type="table" w:customStyle="1" w:styleId="TableGrid1">
    <w:name w:val="Table Grid1"/>
    <w:basedOn w:val="TableNormal"/>
    <w:next w:val="TableGrid"/>
    <w:uiPriority w:val="59"/>
    <w:rsid w:val="00A25909"/>
    <w:pPr>
      <w:spacing w:after="0" w:line="240" w:lineRule="auto"/>
    </w:pPr>
    <w:rPr>
      <w:rFonts w:asciiTheme="minorHAnsi" w:hAnsiTheme="minorHAnsi"/>
      <w:sz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2502DC"/>
    <w:rPr>
      <w:b/>
      <w:bCs/>
    </w:rPr>
  </w:style>
  <w:style w:type="paragraph" w:styleId="BodyText">
    <w:name w:val="Body Text"/>
    <w:basedOn w:val="Normal"/>
    <w:link w:val="BodyTextChar"/>
    <w:uiPriority w:val="99"/>
    <w:semiHidden/>
    <w:unhideWhenUsed/>
    <w:rsid w:val="00353A8B"/>
  </w:style>
  <w:style w:type="character" w:customStyle="1" w:styleId="BodyTextChar">
    <w:name w:val="Body Text Char"/>
    <w:basedOn w:val="DefaultParagraphFont"/>
    <w:link w:val="BodyText"/>
    <w:uiPriority w:val="99"/>
    <w:semiHidden/>
    <w:rsid w:val="00353A8B"/>
    <w:rPr>
      <w:rFonts w:ascii="Arial" w:hAnsi="Arial"/>
    </w:rPr>
  </w:style>
  <w:style w:type="paragraph" w:customStyle="1" w:styleId="TableParagraph">
    <w:name w:val="Table Paragraph"/>
    <w:basedOn w:val="Normal"/>
    <w:uiPriority w:val="1"/>
    <w:rsid w:val="003B4AC0"/>
    <w:pPr>
      <w:widowControl w:val="0"/>
      <w:autoSpaceDE w:val="0"/>
      <w:autoSpaceDN w:val="0"/>
      <w:spacing w:before="0" w:after="0" w:line="240" w:lineRule="auto"/>
      <w:ind w:left="107"/>
      <w:jc w:val="left"/>
    </w:pPr>
    <w:rPr>
      <w:rFonts w:eastAsia="Times New Roman" w:cs="Times New Roman"/>
      <w:sz w:val="22"/>
      <w:lang w:bidi="en-US"/>
    </w:rPr>
  </w:style>
  <w:style w:type="paragraph" w:customStyle="1" w:styleId="Default">
    <w:name w:val="Default"/>
    <w:rsid w:val="00FE5C5F"/>
    <w:pPr>
      <w:autoSpaceDE w:val="0"/>
      <w:autoSpaceDN w:val="0"/>
      <w:adjustRightInd w:val="0"/>
      <w:spacing w:after="0" w:line="240" w:lineRule="auto"/>
    </w:pPr>
    <w:rPr>
      <w:rFonts w:ascii="Arial" w:hAnsi="Arial" w:cs="Arial"/>
      <w:color w:val="00000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977806">
      <w:bodyDiv w:val="1"/>
      <w:marLeft w:val="0"/>
      <w:marRight w:val="0"/>
      <w:marTop w:val="0"/>
      <w:marBottom w:val="0"/>
      <w:divBdr>
        <w:top w:val="none" w:sz="0" w:space="0" w:color="auto"/>
        <w:left w:val="none" w:sz="0" w:space="0" w:color="auto"/>
        <w:bottom w:val="none" w:sz="0" w:space="0" w:color="auto"/>
        <w:right w:val="none" w:sz="0" w:space="0" w:color="auto"/>
      </w:divBdr>
    </w:div>
    <w:div w:id="30889116">
      <w:bodyDiv w:val="1"/>
      <w:marLeft w:val="0"/>
      <w:marRight w:val="0"/>
      <w:marTop w:val="0"/>
      <w:marBottom w:val="0"/>
      <w:divBdr>
        <w:top w:val="none" w:sz="0" w:space="0" w:color="auto"/>
        <w:left w:val="none" w:sz="0" w:space="0" w:color="auto"/>
        <w:bottom w:val="none" w:sz="0" w:space="0" w:color="auto"/>
        <w:right w:val="none" w:sz="0" w:space="0" w:color="auto"/>
      </w:divBdr>
    </w:div>
    <w:div w:id="34427932">
      <w:bodyDiv w:val="1"/>
      <w:marLeft w:val="0"/>
      <w:marRight w:val="0"/>
      <w:marTop w:val="0"/>
      <w:marBottom w:val="0"/>
      <w:divBdr>
        <w:top w:val="none" w:sz="0" w:space="0" w:color="auto"/>
        <w:left w:val="none" w:sz="0" w:space="0" w:color="auto"/>
        <w:bottom w:val="none" w:sz="0" w:space="0" w:color="auto"/>
        <w:right w:val="none" w:sz="0" w:space="0" w:color="auto"/>
      </w:divBdr>
    </w:div>
    <w:div w:id="47455700">
      <w:bodyDiv w:val="1"/>
      <w:marLeft w:val="0"/>
      <w:marRight w:val="0"/>
      <w:marTop w:val="0"/>
      <w:marBottom w:val="0"/>
      <w:divBdr>
        <w:top w:val="none" w:sz="0" w:space="0" w:color="auto"/>
        <w:left w:val="none" w:sz="0" w:space="0" w:color="auto"/>
        <w:bottom w:val="none" w:sz="0" w:space="0" w:color="auto"/>
        <w:right w:val="none" w:sz="0" w:space="0" w:color="auto"/>
      </w:divBdr>
    </w:div>
    <w:div w:id="72900311">
      <w:bodyDiv w:val="1"/>
      <w:marLeft w:val="0"/>
      <w:marRight w:val="0"/>
      <w:marTop w:val="0"/>
      <w:marBottom w:val="0"/>
      <w:divBdr>
        <w:top w:val="none" w:sz="0" w:space="0" w:color="auto"/>
        <w:left w:val="none" w:sz="0" w:space="0" w:color="auto"/>
        <w:bottom w:val="none" w:sz="0" w:space="0" w:color="auto"/>
        <w:right w:val="none" w:sz="0" w:space="0" w:color="auto"/>
      </w:divBdr>
    </w:div>
    <w:div w:id="76564765">
      <w:bodyDiv w:val="1"/>
      <w:marLeft w:val="0"/>
      <w:marRight w:val="0"/>
      <w:marTop w:val="0"/>
      <w:marBottom w:val="0"/>
      <w:divBdr>
        <w:top w:val="none" w:sz="0" w:space="0" w:color="auto"/>
        <w:left w:val="none" w:sz="0" w:space="0" w:color="auto"/>
        <w:bottom w:val="none" w:sz="0" w:space="0" w:color="auto"/>
        <w:right w:val="none" w:sz="0" w:space="0" w:color="auto"/>
      </w:divBdr>
    </w:div>
    <w:div w:id="93480891">
      <w:bodyDiv w:val="1"/>
      <w:marLeft w:val="0"/>
      <w:marRight w:val="0"/>
      <w:marTop w:val="0"/>
      <w:marBottom w:val="0"/>
      <w:divBdr>
        <w:top w:val="none" w:sz="0" w:space="0" w:color="auto"/>
        <w:left w:val="none" w:sz="0" w:space="0" w:color="auto"/>
        <w:bottom w:val="none" w:sz="0" w:space="0" w:color="auto"/>
        <w:right w:val="none" w:sz="0" w:space="0" w:color="auto"/>
      </w:divBdr>
    </w:div>
    <w:div w:id="110512502">
      <w:bodyDiv w:val="1"/>
      <w:marLeft w:val="0"/>
      <w:marRight w:val="0"/>
      <w:marTop w:val="0"/>
      <w:marBottom w:val="0"/>
      <w:divBdr>
        <w:top w:val="none" w:sz="0" w:space="0" w:color="auto"/>
        <w:left w:val="none" w:sz="0" w:space="0" w:color="auto"/>
        <w:bottom w:val="none" w:sz="0" w:space="0" w:color="auto"/>
        <w:right w:val="none" w:sz="0" w:space="0" w:color="auto"/>
      </w:divBdr>
    </w:div>
    <w:div w:id="110975119">
      <w:bodyDiv w:val="1"/>
      <w:marLeft w:val="0"/>
      <w:marRight w:val="0"/>
      <w:marTop w:val="0"/>
      <w:marBottom w:val="0"/>
      <w:divBdr>
        <w:top w:val="none" w:sz="0" w:space="0" w:color="auto"/>
        <w:left w:val="none" w:sz="0" w:space="0" w:color="auto"/>
        <w:bottom w:val="none" w:sz="0" w:space="0" w:color="auto"/>
        <w:right w:val="none" w:sz="0" w:space="0" w:color="auto"/>
      </w:divBdr>
    </w:div>
    <w:div w:id="136191785">
      <w:bodyDiv w:val="1"/>
      <w:marLeft w:val="0"/>
      <w:marRight w:val="0"/>
      <w:marTop w:val="0"/>
      <w:marBottom w:val="0"/>
      <w:divBdr>
        <w:top w:val="none" w:sz="0" w:space="0" w:color="auto"/>
        <w:left w:val="none" w:sz="0" w:space="0" w:color="auto"/>
        <w:bottom w:val="none" w:sz="0" w:space="0" w:color="auto"/>
        <w:right w:val="none" w:sz="0" w:space="0" w:color="auto"/>
      </w:divBdr>
    </w:div>
    <w:div w:id="139807550">
      <w:bodyDiv w:val="1"/>
      <w:marLeft w:val="0"/>
      <w:marRight w:val="0"/>
      <w:marTop w:val="0"/>
      <w:marBottom w:val="0"/>
      <w:divBdr>
        <w:top w:val="none" w:sz="0" w:space="0" w:color="auto"/>
        <w:left w:val="none" w:sz="0" w:space="0" w:color="auto"/>
        <w:bottom w:val="none" w:sz="0" w:space="0" w:color="auto"/>
        <w:right w:val="none" w:sz="0" w:space="0" w:color="auto"/>
      </w:divBdr>
    </w:div>
    <w:div w:id="140848500">
      <w:bodyDiv w:val="1"/>
      <w:marLeft w:val="0"/>
      <w:marRight w:val="0"/>
      <w:marTop w:val="0"/>
      <w:marBottom w:val="0"/>
      <w:divBdr>
        <w:top w:val="none" w:sz="0" w:space="0" w:color="auto"/>
        <w:left w:val="none" w:sz="0" w:space="0" w:color="auto"/>
        <w:bottom w:val="none" w:sz="0" w:space="0" w:color="auto"/>
        <w:right w:val="none" w:sz="0" w:space="0" w:color="auto"/>
      </w:divBdr>
    </w:div>
    <w:div w:id="145169436">
      <w:bodyDiv w:val="1"/>
      <w:marLeft w:val="0"/>
      <w:marRight w:val="0"/>
      <w:marTop w:val="0"/>
      <w:marBottom w:val="0"/>
      <w:divBdr>
        <w:top w:val="none" w:sz="0" w:space="0" w:color="auto"/>
        <w:left w:val="none" w:sz="0" w:space="0" w:color="auto"/>
        <w:bottom w:val="none" w:sz="0" w:space="0" w:color="auto"/>
        <w:right w:val="none" w:sz="0" w:space="0" w:color="auto"/>
      </w:divBdr>
    </w:div>
    <w:div w:id="171576244">
      <w:bodyDiv w:val="1"/>
      <w:marLeft w:val="0"/>
      <w:marRight w:val="0"/>
      <w:marTop w:val="0"/>
      <w:marBottom w:val="0"/>
      <w:divBdr>
        <w:top w:val="none" w:sz="0" w:space="0" w:color="auto"/>
        <w:left w:val="none" w:sz="0" w:space="0" w:color="auto"/>
        <w:bottom w:val="none" w:sz="0" w:space="0" w:color="auto"/>
        <w:right w:val="none" w:sz="0" w:space="0" w:color="auto"/>
      </w:divBdr>
    </w:div>
    <w:div w:id="207108268">
      <w:bodyDiv w:val="1"/>
      <w:marLeft w:val="0"/>
      <w:marRight w:val="0"/>
      <w:marTop w:val="0"/>
      <w:marBottom w:val="0"/>
      <w:divBdr>
        <w:top w:val="none" w:sz="0" w:space="0" w:color="auto"/>
        <w:left w:val="none" w:sz="0" w:space="0" w:color="auto"/>
        <w:bottom w:val="none" w:sz="0" w:space="0" w:color="auto"/>
        <w:right w:val="none" w:sz="0" w:space="0" w:color="auto"/>
      </w:divBdr>
    </w:div>
    <w:div w:id="233972838">
      <w:bodyDiv w:val="1"/>
      <w:marLeft w:val="0"/>
      <w:marRight w:val="0"/>
      <w:marTop w:val="0"/>
      <w:marBottom w:val="0"/>
      <w:divBdr>
        <w:top w:val="none" w:sz="0" w:space="0" w:color="auto"/>
        <w:left w:val="none" w:sz="0" w:space="0" w:color="auto"/>
        <w:bottom w:val="none" w:sz="0" w:space="0" w:color="auto"/>
        <w:right w:val="none" w:sz="0" w:space="0" w:color="auto"/>
      </w:divBdr>
    </w:div>
    <w:div w:id="252014536">
      <w:bodyDiv w:val="1"/>
      <w:marLeft w:val="0"/>
      <w:marRight w:val="0"/>
      <w:marTop w:val="0"/>
      <w:marBottom w:val="0"/>
      <w:divBdr>
        <w:top w:val="none" w:sz="0" w:space="0" w:color="auto"/>
        <w:left w:val="none" w:sz="0" w:space="0" w:color="auto"/>
        <w:bottom w:val="none" w:sz="0" w:space="0" w:color="auto"/>
        <w:right w:val="none" w:sz="0" w:space="0" w:color="auto"/>
      </w:divBdr>
    </w:div>
    <w:div w:id="256908911">
      <w:bodyDiv w:val="1"/>
      <w:marLeft w:val="0"/>
      <w:marRight w:val="0"/>
      <w:marTop w:val="0"/>
      <w:marBottom w:val="0"/>
      <w:divBdr>
        <w:top w:val="none" w:sz="0" w:space="0" w:color="auto"/>
        <w:left w:val="none" w:sz="0" w:space="0" w:color="auto"/>
        <w:bottom w:val="none" w:sz="0" w:space="0" w:color="auto"/>
        <w:right w:val="none" w:sz="0" w:space="0" w:color="auto"/>
      </w:divBdr>
    </w:div>
    <w:div w:id="274094251">
      <w:bodyDiv w:val="1"/>
      <w:marLeft w:val="0"/>
      <w:marRight w:val="0"/>
      <w:marTop w:val="0"/>
      <w:marBottom w:val="0"/>
      <w:divBdr>
        <w:top w:val="none" w:sz="0" w:space="0" w:color="auto"/>
        <w:left w:val="none" w:sz="0" w:space="0" w:color="auto"/>
        <w:bottom w:val="none" w:sz="0" w:space="0" w:color="auto"/>
        <w:right w:val="none" w:sz="0" w:space="0" w:color="auto"/>
      </w:divBdr>
    </w:div>
    <w:div w:id="293945795">
      <w:bodyDiv w:val="1"/>
      <w:marLeft w:val="0"/>
      <w:marRight w:val="0"/>
      <w:marTop w:val="0"/>
      <w:marBottom w:val="0"/>
      <w:divBdr>
        <w:top w:val="none" w:sz="0" w:space="0" w:color="auto"/>
        <w:left w:val="none" w:sz="0" w:space="0" w:color="auto"/>
        <w:bottom w:val="none" w:sz="0" w:space="0" w:color="auto"/>
        <w:right w:val="none" w:sz="0" w:space="0" w:color="auto"/>
      </w:divBdr>
    </w:div>
    <w:div w:id="319697447">
      <w:bodyDiv w:val="1"/>
      <w:marLeft w:val="0"/>
      <w:marRight w:val="0"/>
      <w:marTop w:val="0"/>
      <w:marBottom w:val="0"/>
      <w:divBdr>
        <w:top w:val="none" w:sz="0" w:space="0" w:color="auto"/>
        <w:left w:val="none" w:sz="0" w:space="0" w:color="auto"/>
        <w:bottom w:val="none" w:sz="0" w:space="0" w:color="auto"/>
        <w:right w:val="none" w:sz="0" w:space="0" w:color="auto"/>
      </w:divBdr>
    </w:div>
    <w:div w:id="378434969">
      <w:bodyDiv w:val="1"/>
      <w:marLeft w:val="0"/>
      <w:marRight w:val="0"/>
      <w:marTop w:val="0"/>
      <w:marBottom w:val="0"/>
      <w:divBdr>
        <w:top w:val="none" w:sz="0" w:space="0" w:color="auto"/>
        <w:left w:val="none" w:sz="0" w:space="0" w:color="auto"/>
        <w:bottom w:val="none" w:sz="0" w:space="0" w:color="auto"/>
        <w:right w:val="none" w:sz="0" w:space="0" w:color="auto"/>
      </w:divBdr>
    </w:div>
    <w:div w:id="401417965">
      <w:bodyDiv w:val="1"/>
      <w:marLeft w:val="0"/>
      <w:marRight w:val="0"/>
      <w:marTop w:val="0"/>
      <w:marBottom w:val="0"/>
      <w:divBdr>
        <w:top w:val="none" w:sz="0" w:space="0" w:color="auto"/>
        <w:left w:val="none" w:sz="0" w:space="0" w:color="auto"/>
        <w:bottom w:val="none" w:sz="0" w:space="0" w:color="auto"/>
        <w:right w:val="none" w:sz="0" w:space="0" w:color="auto"/>
      </w:divBdr>
    </w:div>
    <w:div w:id="427238238">
      <w:bodyDiv w:val="1"/>
      <w:marLeft w:val="0"/>
      <w:marRight w:val="0"/>
      <w:marTop w:val="0"/>
      <w:marBottom w:val="0"/>
      <w:divBdr>
        <w:top w:val="none" w:sz="0" w:space="0" w:color="auto"/>
        <w:left w:val="none" w:sz="0" w:space="0" w:color="auto"/>
        <w:bottom w:val="none" w:sz="0" w:space="0" w:color="auto"/>
        <w:right w:val="none" w:sz="0" w:space="0" w:color="auto"/>
      </w:divBdr>
    </w:div>
    <w:div w:id="439691829">
      <w:bodyDiv w:val="1"/>
      <w:marLeft w:val="0"/>
      <w:marRight w:val="0"/>
      <w:marTop w:val="0"/>
      <w:marBottom w:val="0"/>
      <w:divBdr>
        <w:top w:val="none" w:sz="0" w:space="0" w:color="auto"/>
        <w:left w:val="none" w:sz="0" w:space="0" w:color="auto"/>
        <w:bottom w:val="none" w:sz="0" w:space="0" w:color="auto"/>
        <w:right w:val="none" w:sz="0" w:space="0" w:color="auto"/>
      </w:divBdr>
    </w:div>
    <w:div w:id="466944638">
      <w:bodyDiv w:val="1"/>
      <w:marLeft w:val="0"/>
      <w:marRight w:val="0"/>
      <w:marTop w:val="0"/>
      <w:marBottom w:val="0"/>
      <w:divBdr>
        <w:top w:val="none" w:sz="0" w:space="0" w:color="auto"/>
        <w:left w:val="none" w:sz="0" w:space="0" w:color="auto"/>
        <w:bottom w:val="none" w:sz="0" w:space="0" w:color="auto"/>
        <w:right w:val="none" w:sz="0" w:space="0" w:color="auto"/>
      </w:divBdr>
    </w:div>
    <w:div w:id="475496000">
      <w:bodyDiv w:val="1"/>
      <w:marLeft w:val="0"/>
      <w:marRight w:val="0"/>
      <w:marTop w:val="0"/>
      <w:marBottom w:val="0"/>
      <w:divBdr>
        <w:top w:val="none" w:sz="0" w:space="0" w:color="auto"/>
        <w:left w:val="none" w:sz="0" w:space="0" w:color="auto"/>
        <w:bottom w:val="none" w:sz="0" w:space="0" w:color="auto"/>
        <w:right w:val="none" w:sz="0" w:space="0" w:color="auto"/>
      </w:divBdr>
    </w:div>
    <w:div w:id="484711828">
      <w:bodyDiv w:val="1"/>
      <w:marLeft w:val="0"/>
      <w:marRight w:val="0"/>
      <w:marTop w:val="0"/>
      <w:marBottom w:val="0"/>
      <w:divBdr>
        <w:top w:val="none" w:sz="0" w:space="0" w:color="auto"/>
        <w:left w:val="none" w:sz="0" w:space="0" w:color="auto"/>
        <w:bottom w:val="none" w:sz="0" w:space="0" w:color="auto"/>
        <w:right w:val="none" w:sz="0" w:space="0" w:color="auto"/>
      </w:divBdr>
    </w:div>
    <w:div w:id="500508733">
      <w:bodyDiv w:val="1"/>
      <w:marLeft w:val="0"/>
      <w:marRight w:val="0"/>
      <w:marTop w:val="0"/>
      <w:marBottom w:val="0"/>
      <w:divBdr>
        <w:top w:val="none" w:sz="0" w:space="0" w:color="auto"/>
        <w:left w:val="none" w:sz="0" w:space="0" w:color="auto"/>
        <w:bottom w:val="none" w:sz="0" w:space="0" w:color="auto"/>
        <w:right w:val="none" w:sz="0" w:space="0" w:color="auto"/>
      </w:divBdr>
    </w:div>
    <w:div w:id="500584998">
      <w:bodyDiv w:val="1"/>
      <w:marLeft w:val="0"/>
      <w:marRight w:val="0"/>
      <w:marTop w:val="0"/>
      <w:marBottom w:val="0"/>
      <w:divBdr>
        <w:top w:val="none" w:sz="0" w:space="0" w:color="auto"/>
        <w:left w:val="none" w:sz="0" w:space="0" w:color="auto"/>
        <w:bottom w:val="none" w:sz="0" w:space="0" w:color="auto"/>
        <w:right w:val="none" w:sz="0" w:space="0" w:color="auto"/>
      </w:divBdr>
    </w:div>
    <w:div w:id="508370768">
      <w:bodyDiv w:val="1"/>
      <w:marLeft w:val="0"/>
      <w:marRight w:val="0"/>
      <w:marTop w:val="0"/>
      <w:marBottom w:val="0"/>
      <w:divBdr>
        <w:top w:val="none" w:sz="0" w:space="0" w:color="auto"/>
        <w:left w:val="none" w:sz="0" w:space="0" w:color="auto"/>
        <w:bottom w:val="none" w:sz="0" w:space="0" w:color="auto"/>
        <w:right w:val="none" w:sz="0" w:space="0" w:color="auto"/>
      </w:divBdr>
    </w:div>
    <w:div w:id="528028456">
      <w:bodyDiv w:val="1"/>
      <w:marLeft w:val="0"/>
      <w:marRight w:val="0"/>
      <w:marTop w:val="0"/>
      <w:marBottom w:val="0"/>
      <w:divBdr>
        <w:top w:val="none" w:sz="0" w:space="0" w:color="auto"/>
        <w:left w:val="none" w:sz="0" w:space="0" w:color="auto"/>
        <w:bottom w:val="none" w:sz="0" w:space="0" w:color="auto"/>
        <w:right w:val="none" w:sz="0" w:space="0" w:color="auto"/>
      </w:divBdr>
    </w:div>
    <w:div w:id="569845506">
      <w:bodyDiv w:val="1"/>
      <w:marLeft w:val="0"/>
      <w:marRight w:val="0"/>
      <w:marTop w:val="0"/>
      <w:marBottom w:val="0"/>
      <w:divBdr>
        <w:top w:val="none" w:sz="0" w:space="0" w:color="auto"/>
        <w:left w:val="none" w:sz="0" w:space="0" w:color="auto"/>
        <w:bottom w:val="none" w:sz="0" w:space="0" w:color="auto"/>
        <w:right w:val="none" w:sz="0" w:space="0" w:color="auto"/>
      </w:divBdr>
    </w:div>
    <w:div w:id="586304585">
      <w:bodyDiv w:val="1"/>
      <w:marLeft w:val="0"/>
      <w:marRight w:val="0"/>
      <w:marTop w:val="0"/>
      <w:marBottom w:val="0"/>
      <w:divBdr>
        <w:top w:val="none" w:sz="0" w:space="0" w:color="auto"/>
        <w:left w:val="none" w:sz="0" w:space="0" w:color="auto"/>
        <w:bottom w:val="none" w:sz="0" w:space="0" w:color="auto"/>
        <w:right w:val="none" w:sz="0" w:space="0" w:color="auto"/>
      </w:divBdr>
    </w:div>
    <w:div w:id="606157601">
      <w:bodyDiv w:val="1"/>
      <w:marLeft w:val="0"/>
      <w:marRight w:val="0"/>
      <w:marTop w:val="0"/>
      <w:marBottom w:val="0"/>
      <w:divBdr>
        <w:top w:val="none" w:sz="0" w:space="0" w:color="auto"/>
        <w:left w:val="none" w:sz="0" w:space="0" w:color="auto"/>
        <w:bottom w:val="none" w:sz="0" w:space="0" w:color="auto"/>
        <w:right w:val="none" w:sz="0" w:space="0" w:color="auto"/>
      </w:divBdr>
    </w:div>
    <w:div w:id="608976444">
      <w:bodyDiv w:val="1"/>
      <w:marLeft w:val="0"/>
      <w:marRight w:val="0"/>
      <w:marTop w:val="0"/>
      <w:marBottom w:val="0"/>
      <w:divBdr>
        <w:top w:val="none" w:sz="0" w:space="0" w:color="auto"/>
        <w:left w:val="none" w:sz="0" w:space="0" w:color="auto"/>
        <w:bottom w:val="none" w:sz="0" w:space="0" w:color="auto"/>
        <w:right w:val="none" w:sz="0" w:space="0" w:color="auto"/>
      </w:divBdr>
    </w:div>
    <w:div w:id="618731499">
      <w:bodyDiv w:val="1"/>
      <w:marLeft w:val="0"/>
      <w:marRight w:val="0"/>
      <w:marTop w:val="0"/>
      <w:marBottom w:val="0"/>
      <w:divBdr>
        <w:top w:val="none" w:sz="0" w:space="0" w:color="auto"/>
        <w:left w:val="none" w:sz="0" w:space="0" w:color="auto"/>
        <w:bottom w:val="none" w:sz="0" w:space="0" w:color="auto"/>
        <w:right w:val="none" w:sz="0" w:space="0" w:color="auto"/>
      </w:divBdr>
    </w:div>
    <w:div w:id="623393361">
      <w:bodyDiv w:val="1"/>
      <w:marLeft w:val="0"/>
      <w:marRight w:val="0"/>
      <w:marTop w:val="0"/>
      <w:marBottom w:val="0"/>
      <w:divBdr>
        <w:top w:val="none" w:sz="0" w:space="0" w:color="auto"/>
        <w:left w:val="none" w:sz="0" w:space="0" w:color="auto"/>
        <w:bottom w:val="none" w:sz="0" w:space="0" w:color="auto"/>
        <w:right w:val="none" w:sz="0" w:space="0" w:color="auto"/>
      </w:divBdr>
    </w:div>
    <w:div w:id="649557720">
      <w:bodyDiv w:val="1"/>
      <w:marLeft w:val="0"/>
      <w:marRight w:val="0"/>
      <w:marTop w:val="0"/>
      <w:marBottom w:val="0"/>
      <w:divBdr>
        <w:top w:val="none" w:sz="0" w:space="0" w:color="auto"/>
        <w:left w:val="none" w:sz="0" w:space="0" w:color="auto"/>
        <w:bottom w:val="none" w:sz="0" w:space="0" w:color="auto"/>
        <w:right w:val="none" w:sz="0" w:space="0" w:color="auto"/>
      </w:divBdr>
    </w:div>
    <w:div w:id="653410826">
      <w:bodyDiv w:val="1"/>
      <w:marLeft w:val="0"/>
      <w:marRight w:val="0"/>
      <w:marTop w:val="0"/>
      <w:marBottom w:val="0"/>
      <w:divBdr>
        <w:top w:val="none" w:sz="0" w:space="0" w:color="auto"/>
        <w:left w:val="none" w:sz="0" w:space="0" w:color="auto"/>
        <w:bottom w:val="none" w:sz="0" w:space="0" w:color="auto"/>
        <w:right w:val="none" w:sz="0" w:space="0" w:color="auto"/>
      </w:divBdr>
    </w:div>
    <w:div w:id="671641208">
      <w:bodyDiv w:val="1"/>
      <w:marLeft w:val="0"/>
      <w:marRight w:val="0"/>
      <w:marTop w:val="0"/>
      <w:marBottom w:val="0"/>
      <w:divBdr>
        <w:top w:val="none" w:sz="0" w:space="0" w:color="auto"/>
        <w:left w:val="none" w:sz="0" w:space="0" w:color="auto"/>
        <w:bottom w:val="none" w:sz="0" w:space="0" w:color="auto"/>
        <w:right w:val="none" w:sz="0" w:space="0" w:color="auto"/>
      </w:divBdr>
    </w:div>
    <w:div w:id="691537729">
      <w:bodyDiv w:val="1"/>
      <w:marLeft w:val="0"/>
      <w:marRight w:val="0"/>
      <w:marTop w:val="0"/>
      <w:marBottom w:val="0"/>
      <w:divBdr>
        <w:top w:val="none" w:sz="0" w:space="0" w:color="auto"/>
        <w:left w:val="none" w:sz="0" w:space="0" w:color="auto"/>
        <w:bottom w:val="none" w:sz="0" w:space="0" w:color="auto"/>
        <w:right w:val="none" w:sz="0" w:space="0" w:color="auto"/>
      </w:divBdr>
    </w:div>
    <w:div w:id="692728857">
      <w:bodyDiv w:val="1"/>
      <w:marLeft w:val="0"/>
      <w:marRight w:val="0"/>
      <w:marTop w:val="0"/>
      <w:marBottom w:val="0"/>
      <w:divBdr>
        <w:top w:val="none" w:sz="0" w:space="0" w:color="auto"/>
        <w:left w:val="none" w:sz="0" w:space="0" w:color="auto"/>
        <w:bottom w:val="none" w:sz="0" w:space="0" w:color="auto"/>
        <w:right w:val="none" w:sz="0" w:space="0" w:color="auto"/>
      </w:divBdr>
    </w:div>
    <w:div w:id="696660271">
      <w:bodyDiv w:val="1"/>
      <w:marLeft w:val="0"/>
      <w:marRight w:val="0"/>
      <w:marTop w:val="0"/>
      <w:marBottom w:val="0"/>
      <w:divBdr>
        <w:top w:val="none" w:sz="0" w:space="0" w:color="auto"/>
        <w:left w:val="none" w:sz="0" w:space="0" w:color="auto"/>
        <w:bottom w:val="none" w:sz="0" w:space="0" w:color="auto"/>
        <w:right w:val="none" w:sz="0" w:space="0" w:color="auto"/>
      </w:divBdr>
    </w:div>
    <w:div w:id="721683688">
      <w:bodyDiv w:val="1"/>
      <w:marLeft w:val="0"/>
      <w:marRight w:val="0"/>
      <w:marTop w:val="0"/>
      <w:marBottom w:val="0"/>
      <w:divBdr>
        <w:top w:val="none" w:sz="0" w:space="0" w:color="auto"/>
        <w:left w:val="none" w:sz="0" w:space="0" w:color="auto"/>
        <w:bottom w:val="none" w:sz="0" w:space="0" w:color="auto"/>
        <w:right w:val="none" w:sz="0" w:space="0" w:color="auto"/>
      </w:divBdr>
    </w:div>
    <w:div w:id="729154408">
      <w:bodyDiv w:val="1"/>
      <w:marLeft w:val="0"/>
      <w:marRight w:val="0"/>
      <w:marTop w:val="0"/>
      <w:marBottom w:val="0"/>
      <w:divBdr>
        <w:top w:val="none" w:sz="0" w:space="0" w:color="auto"/>
        <w:left w:val="none" w:sz="0" w:space="0" w:color="auto"/>
        <w:bottom w:val="none" w:sz="0" w:space="0" w:color="auto"/>
        <w:right w:val="none" w:sz="0" w:space="0" w:color="auto"/>
      </w:divBdr>
    </w:div>
    <w:div w:id="741559442">
      <w:bodyDiv w:val="1"/>
      <w:marLeft w:val="0"/>
      <w:marRight w:val="0"/>
      <w:marTop w:val="0"/>
      <w:marBottom w:val="0"/>
      <w:divBdr>
        <w:top w:val="none" w:sz="0" w:space="0" w:color="auto"/>
        <w:left w:val="none" w:sz="0" w:space="0" w:color="auto"/>
        <w:bottom w:val="none" w:sz="0" w:space="0" w:color="auto"/>
        <w:right w:val="none" w:sz="0" w:space="0" w:color="auto"/>
      </w:divBdr>
    </w:div>
    <w:div w:id="761338866">
      <w:bodyDiv w:val="1"/>
      <w:marLeft w:val="0"/>
      <w:marRight w:val="0"/>
      <w:marTop w:val="0"/>
      <w:marBottom w:val="0"/>
      <w:divBdr>
        <w:top w:val="none" w:sz="0" w:space="0" w:color="auto"/>
        <w:left w:val="none" w:sz="0" w:space="0" w:color="auto"/>
        <w:bottom w:val="none" w:sz="0" w:space="0" w:color="auto"/>
        <w:right w:val="none" w:sz="0" w:space="0" w:color="auto"/>
      </w:divBdr>
    </w:div>
    <w:div w:id="764502378">
      <w:bodyDiv w:val="1"/>
      <w:marLeft w:val="0"/>
      <w:marRight w:val="0"/>
      <w:marTop w:val="0"/>
      <w:marBottom w:val="0"/>
      <w:divBdr>
        <w:top w:val="none" w:sz="0" w:space="0" w:color="auto"/>
        <w:left w:val="none" w:sz="0" w:space="0" w:color="auto"/>
        <w:bottom w:val="none" w:sz="0" w:space="0" w:color="auto"/>
        <w:right w:val="none" w:sz="0" w:space="0" w:color="auto"/>
      </w:divBdr>
    </w:div>
    <w:div w:id="777718796">
      <w:bodyDiv w:val="1"/>
      <w:marLeft w:val="0"/>
      <w:marRight w:val="0"/>
      <w:marTop w:val="0"/>
      <w:marBottom w:val="0"/>
      <w:divBdr>
        <w:top w:val="none" w:sz="0" w:space="0" w:color="auto"/>
        <w:left w:val="none" w:sz="0" w:space="0" w:color="auto"/>
        <w:bottom w:val="none" w:sz="0" w:space="0" w:color="auto"/>
        <w:right w:val="none" w:sz="0" w:space="0" w:color="auto"/>
      </w:divBdr>
    </w:div>
    <w:div w:id="777722979">
      <w:bodyDiv w:val="1"/>
      <w:marLeft w:val="0"/>
      <w:marRight w:val="0"/>
      <w:marTop w:val="0"/>
      <w:marBottom w:val="0"/>
      <w:divBdr>
        <w:top w:val="none" w:sz="0" w:space="0" w:color="auto"/>
        <w:left w:val="none" w:sz="0" w:space="0" w:color="auto"/>
        <w:bottom w:val="none" w:sz="0" w:space="0" w:color="auto"/>
        <w:right w:val="none" w:sz="0" w:space="0" w:color="auto"/>
      </w:divBdr>
    </w:div>
    <w:div w:id="799306587">
      <w:bodyDiv w:val="1"/>
      <w:marLeft w:val="0"/>
      <w:marRight w:val="0"/>
      <w:marTop w:val="0"/>
      <w:marBottom w:val="0"/>
      <w:divBdr>
        <w:top w:val="none" w:sz="0" w:space="0" w:color="auto"/>
        <w:left w:val="none" w:sz="0" w:space="0" w:color="auto"/>
        <w:bottom w:val="none" w:sz="0" w:space="0" w:color="auto"/>
        <w:right w:val="none" w:sz="0" w:space="0" w:color="auto"/>
      </w:divBdr>
    </w:div>
    <w:div w:id="832914065">
      <w:bodyDiv w:val="1"/>
      <w:marLeft w:val="0"/>
      <w:marRight w:val="0"/>
      <w:marTop w:val="0"/>
      <w:marBottom w:val="0"/>
      <w:divBdr>
        <w:top w:val="none" w:sz="0" w:space="0" w:color="auto"/>
        <w:left w:val="none" w:sz="0" w:space="0" w:color="auto"/>
        <w:bottom w:val="none" w:sz="0" w:space="0" w:color="auto"/>
        <w:right w:val="none" w:sz="0" w:space="0" w:color="auto"/>
      </w:divBdr>
    </w:div>
    <w:div w:id="855576452">
      <w:bodyDiv w:val="1"/>
      <w:marLeft w:val="0"/>
      <w:marRight w:val="0"/>
      <w:marTop w:val="0"/>
      <w:marBottom w:val="0"/>
      <w:divBdr>
        <w:top w:val="none" w:sz="0" w:space="0" w:color="auto"/>
        <w:left w:val="none" w:sz="0" w:space="0" w:color="auto"/>
        <w:bottom w:val="none" w:sz="0" w:space="0" w:color="auto"/>
        <w:right w:val="none" w:sz="0" w:space="0" w:color="auto"/>
      </w:divBdr>
    </w:div>
    <w:div w:id="880552891">
      <w:bodyDiv w:val="1"/>
      <w:marLeft w:val="0"/>
      <w:marRight w:val="0"/>
      <w:marTop w:val="0"/>
      <w:marBottom w:val="0"/>
      <w:divBdr>
        <w:top w:val="none" w:sz="0" w:space="0" w:color="auto"/>
        <w:left w:val="none" w:sz="0" w:space="0" w:color="auto"/>
        <w:bottom w:val="none" w:sz="0" w:space="0" w:color="auto"/>
        <w:right w:val="none" w:sz="0" w:space="0" w:color="auto"/>
      </w:divBdr>
    </w:div>
    <w:div w:id="897281729">
      <w:bodyDiv w:val="1"/>
      <w:marLeft w:val="0"/>
      <w:marRight w:val="0"/>
      <w:marTop w:val="0"/>
      <w:marBottom w:val="0"/>
      <w:divBdr>
        <w:top w:val="none" w:sz="0" w:space="0" w:color="auto"/>
        <w:left w:val="none" w:sz="0" w:space="0" w:color="auto"/>
        <w:bottom w:val="none" w:sz="0" w:space="0" w:color="auto"/>
        <w:right w:val="none" w:sz="0" w:space="0" w:color="auto"/>
      </w:divBdr>
    </w:div>
    <w:div w:id="933591419">
      <w:bodyDiv w:val="1"/>
      <w:marLeft w:val="0"/>
      <w:marRight w:val="0"/>
      <w:marTop w:val="0"/>
      <w:marBottom w:val="0"/>
      <w:divBdr>
        <w:top w:val="none" w:sz="0" w:space="0" w:color="auto"/>
        <w:left w:val="none" w:sz="0" w:space="0" w:color="auto"/>
        <w:bottom w:val="none" w:sz="0" w:space="0" w:color="auto"/>
        <w:right w:val="none" w:sz="0" w:space="0" w:color="auto"/>
      </w:divBdr>
    </w:div>
    <w:div w:id="948010437">
      <w:bodyDiv w:val="1"/>
      <w:marLeft w:val="0"/>
      <w:marRight w:val="0"/>
      <w:marTop w:val="0"/>
      <w:marBottom w:val="0"/>
      <w:divBdr>
        <w:top w:val="none" w:sz="0" w:space="0" w:color="auto"/>
        <w:left w:val="none" w:sz="0" w:space="0" w:color="auto"/>
        <w:bottom w:val="none" w:sz="0" w:space="0" w:color="auto"/>
        <w:right w:val="none" w:sz="0" w:space="0" w:color="auto"/>
      </w:divBdr>
    </w:div>
    <w:div w:id="948900291">
      <w:bodyDiv w:val="1"/>
      <w:marLeft w:val="0"/>
      <w:marRight w:val="0"/>
      <w:marTop w:val="0"/>
      <w:marBottom w:val="0"/>
      <w:divBdr>
        <w:top w:val="none" w:sz="0" w:space="0" w:color="auto"/>
        <w:left w:val="none" w:sz="0" w:space="0" w:color="auto"/>
        <w:bottom w:val="none" w:sz="0" w:space="0" w:color="auto"/>
        <w:right w:val="none" w:sz="0" w:space="0" w:color="auto"/>
      </w:divBdr>
    </w:div>
    <w:div w:id="955916511">
      <w:bodyDiv w:val="1"/>
      <w:marLeft w:val="0"/>
      <w:marRight w:val="0"/>
      <w:marTop w:val="0"/>
      <w:marBottom w:val="0"/>
      <w:divBdr>
        <w:top w:val="none" w:sz="0" w:space="0" w:color="auto"/>
        <w:left w:val="none" w:sz="0" w:space="0" w:color="auto"/>
        <w:bottom w:val="none" w:sz="0" w:space="0" w:color="auto"/>
        <w:right w:val="none" w:sz="0" w:space="0" w:color="auto"/>
      </w:divBdr>
    </w:div>
    <w:div w:id="1017191529">
      <w:bodyDiv w:val="1"/>
      <w:marLeft w:val="0"/>
      <w:marRight w:val="0"/>
      <w:marTop w:val="0"/>
      <w:marBottom w:val="0"/>
      <w:divBdr>
        <w:top w:val="none" w:sz="0" w:space="0" w:color="auto"/>
        <w:left w:val="none" w:sz="0" w:space="0" w:color="auto"/>
        <w:bottom w:val="none" w:sz="0" w:space="0" w:color="auto"/>
        <w:right w:val="none" w:sz="0" w:space="0" w:color="auto"/>
      </w:divBdr>
    </w:div>
    <w:div w:id="1040592185">
      <w:bodyDiv w:val="1"/>
      <w:marLeft w:val="0"/>
      <w:marRight w:val="0"/>
      <w:marTop w:val="0"/>
      <w:marBottom w:val="0"/>
      <w:divBdr>
        <w:top w:val="none" w:sz="0" w:space="0" w:color="auto"/>
        <w:left w:val="none" w:sz="0" w:space="0" w:color="auto"/>
        <w:bottom w:val="none" w:sz="0" w:space="0" w:color="auto"/>
        <w:right w:val="none" w:sz="0" w:space="0" w:color="auto"/>
      </w:divBdr>
    </w:div>
    <w:div w:id="1046418621">
      <w:bodyDiv w:val="1"/>
      <w:marLeft w:val="0"/>
      <w:marRight w:val="0"/>
      <w:marTop w:val="0"/>
      <w:marBottom w:val="0"/>
      <w:divBdr>
        <w:top w:val="none" w:sz="0" w:space="0" w:color="auto"/>
        <w:left w:val="none" w:sz="0" w:space="0" w:color="auto"/>
        <w:bottom w:val="none" w:sz="0" w:space="0" w:color="auto"/>
        <w:right w:val="none" w:sz="0" w:space="0" w:color="auto"/>
      </w:divBdr>
    </w:div>
    <w:div w:id="1047948028">
      <w:bodyDiv w:val="1"/>
      <w:marLeft w:val="0"/>
      <w:marRight w:val="0"/>
      <w:marTop w:val="0"/>
      <w:marBottom w:val="0"/>
      <w:divBdr>
        <w:top w:val="none" w:sz="0" w:space="0" w:color="auto"/>
        <w:left w:val="none" w:sz="0" w:space="0" w:color="auto"/>
        <w:bottom w:val="none" w:sz="0" w:space="0" w:color="auto"/>
        <w:right w:val="none" w:sz="0" w:space="0" w:color="auto"/>
      </w:divBdr>
    </w:div>
    <w:div w:id="1051420414">
      <w:bodyDiv w:val="1"/>
      <w:marLeft w:val="0"/>
      <w:marRight w:val="0"/>
      <w:marTop w:val="0"/>
      <w:marBottom w:val="0"/>
      <w:divBdr>
        <w:top w:val="none" w:sz="0" w:space="0" w:color="auto"/>
        <w:left w:val="none" w:sz="0" w:space="0" w:color="auto"/>
        <w:bottom w:val="none" w:sz="0" w:space="0" w:color="auto"/>
        <w:right w:val="none" w:sz="0" w:space="0" w:color="auto"/>
      </w:divBdr>
    </w:div>
    <w:div w:id="1052846644">
      <w:bodyDiv w:val="1"/>
      <w:marLeft w:val="0"/>
      <w:marRight w:val="0"/>
      <w:marTop w:val="0"/>
      <w:marBottom w:val="0"/>
      <w:divBdr>
        <w:top w:val="none" w:sz="0" w:space="0" w:color="auto"/>
        <w:left w:val="none" w:sz="0" w:space="0" w:color="auto"/>
        <w:bottom w:val="none" w:sz="0" w:space="0" w:color="auto"/>
        <w:right w:val="none" w:sz="0" w:space="0" w:color="auto"/>
      </w:divBdr>
      <w:divsChild>
        <w:div w:id="277031003">
          <w:marLeft w:val="0"/>
          <w:marRight w:val="0"/>
          <w:marTop w:val="0"/>
          <w:marBottom w:val="0"/>
          <w:divBdr>
            <w:top w:val="none" w:sz="0" w:space="0" w:color="auto"/>
            <w:left w:val="none" w:sz="0" w:space="0" w:color="auto"/>
            <w:bottom w:val="none" w:sz="0" w:space="0" w:color="auto"/>
            <w:right w:val="none" w:sz="0" w:space="0" w:color="auto"/>
          </w:divBdr>
          <w:divsChild>
            <w:div w:id="471216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9205354">
      <w:bodyDiv w:val="1"/>
      <w:marLeft w:val="0"/>
      <w:marRight w:val="0"/>
      <w:marTop w:val="0"/>
      <w:marBottom w:val="0"/>
      <w:divBdr>
        <w:top w:val="none" w:sz="0" w:space="0" w:color="auto"/>
        <w:left w:val="none" w:sz="0" w:space="0" w:color="auto"/>
        <w:bottom w:val="none" w:sz="0" w:space="0" w:color="auto"/>
        <w:right w:val="none" w:sz="0" w:space="0" w:color="auto"/>
      </w:divBdr>
    </w:div>
    <w:div w:id="1120690042">
      <w:bodyDiv w:val="1"/>
      <w:marLeft w:val="0"/>
      <w:marRight w:val="0"/>
      <w:marTop w:val="0"/>
      <w:marBottom w:val="0"/>
      <w:divBdr>
        <w:top w:val="none" w:sz="0" w:space="0" w:color="auto"/>
        <w:left w:val="none" w:sz="0" w:space="0" w:color="auto"/>
        <w:bottom w:val="none" w:sz="0" w:space="0" w:color="auto"/>
        <w:right w:val="none" w:sz="0" w:space="0" w:color="auto"/>
      </w:divBdr>
    </w:div>
    <w:div w:id="1147429737">
      <w:bodyDiv w:val="1"/>
      <w:marLeft w:val="0"/>
      <w:marRight w:val="0"/>
      <w:marTop w:val="0"/>
      <w:marBottom w:val="0"/>
      <w:divBdr>
        <w:top w:val="none" w:sz="0" w:space="0" w:color="auto"/>
        <w:left w:val="none" w:sz="0" w:space="0" w:color="auto"/>
        <w:bottom w:val="none" w:sz="0" w:space="0" w:color="auto"/>
        <w:right w:val="none" w:sz="0" w:space="0" w:color="auto"/>
      </w:divBdr>
    </w:div>
    <w:div w:id="1150511983">
      <w:bodyDiv w:val="1"/>
      <w:marLeft w:val="0"/>
      <w:marRight w:val="0"/>
      <w:marTop w:val="0"/>
      <w:marBottom w:val="0"/>
      <w:divBdr>
        <w:top w:val="none" w:sz="0" w:space="0" w:color="auto"/>
        <w:left w:val="none" w:sz="0" w:space="0" w:color="auto"/>
        <w:bottom w:val="none" w:sz="0" w:space="0" w:color="auto"/>
        <w:right w:val="none" w:sz="0" w:space="0" w:color="auto"/>
      </w:divBdr>
    </w:div>
    <w:div w:id="1167208578">
      <w:bodyDiv w:val="1"/>
      <w:marLeft w:val="0"/>
      <w:marRight w:val="0"/>
      <w:marTop w:val="0"/>
      <w:marBottom w:val="0"/>
      <w:divBdr>
        <w:top w:val="none" w:sz="0" w:space="0" w:color="auto"/>
        <w:left w:val="none" w:sz="0" w:space="0" w:color="auto"/>
        <w:bottom w:val="none" w:sz="0" w:space="0" w:color="auto"/>
        <w:right w:val="none" w:sz="0" w:space="0" w:color="auto"/>
      </w:divBdr>
    </w:div>
    <w:div w:id="1169373641">
      <w:bodyDiv w:val="1"/>
      <w:marLeft w:val="0"/>
      <w:marRight w:val="0"/>
      <w:marTop w:val="0"/>
      <w:marBottom w:val="0"/>
      <w:divBdr>
        <w:top w:val="none" w:sz="0" w:space="0" w:color="auto"/>
        <w:left w:val="none" w:sz="0" w:space="0" w:color="auto"/>
        <w:bottom w:val="none" w:sz="0" w:space="0" w:color="auto"/>
        <w:right w:val="none" w:sz="0" w:space="0" w:color="auto"/>
      </w:divBdr>
    </w:div>
    <w:div w:id="1173647725">
      <w:bodyDiv w:val="1"/>
      <w:marLeft w:val="0"/>
      <w:marRight w:val="0"/>
      <w:marTop w:val="0"/>
      <w:marBottom w:val="0"/>
      <w:divBdr>
        <w:top w:val="none" w:sz="0" w:space="0" w:color="auto"/>
        <w:left w:val="none" w:sz="0" w:space="0" w:color="auto"/>
        <w:bottom w:val="none" w:sz="0" w:space="0" w:color="auto"/>
        <w:right w:val="none" w:sz="0" w:space="0" w:color="auto"/>
      </w:divBdr>
    </w:div>
    <w:div w:id="1186560993">
      <w:bodyDiv w:val="1"/>
      <w:marLeft w:val="0"/>
      <w:marRight w:val="0"/>
      <w:marTop w:val="0"/>
      <w:marBottom w:val="0"/>
      <w:divBdr>
        <w:top w:val="none" w:sz="0" w:space="0" w:color="auto"/>
        <w:left w:val="none" w:sz="0" w:space="0" w:color="auto"/>
        <w:bottom w:val="none" w:sz="0" w:space="0" w:color="auto"/>
        <w:right w:val="none" w:sz="0" w:space="0" w:color="auto"/>
      </w:divBdr>
    </w:div>
    <w:div w:id="1197960937">
      <w:bodyDiv w:val="1"/>
      <w:marLeft w:val="0"/>
      <w:marRight w:val="0"/>
      <w:marTop w:val="0"/>
      <w:marBottom w:val="0"/>
      <w:divBdr>
        <w:top w:val="none" w:sz="0" w:space="0" w:color="auto"/>
        <w:left w:val="none" w:sz="0" w:space="0" w:color="auto"/>
        <w:bottom w:val="none" w:sz="0" w:space="0" w:color="auto"/>
        <w:right w:val="none" w:sz="0" w:space="0" w:color="auto"/>
      </w:divBdr>
    </w:div>
    <w:div w:id="1218978637">
      <w:bodyDiv w:val="1"/>
      <w:marLeft w:val="0"/>
      <w:marRight w:val="0"/>
      <w:marTop w:val="0"/>
      <w:marBottom w:val="0"/>
      <w:divBdr>
        <w:top w:val="none" w:sz="0" w:space="0" w:color="auto"/>
        <w:left w:val="none" w:sz="0" w:space="0" w:color="auto"/>
        <w:bottom w:val="none" w:sz="0" w:space="0" w:color="auto"/>
        <w:right w:val="none" w:sz="0" w:space="0" w:color="auto"/>
      </w:divBdr>
    </w:div>
    <w:div w:id="1270504784">
      <w:bodyDiv w:val="1"/>
      <w:marLeft w:val="0"/>
      <w:marRight w:val="0"/>
      <w:marTop w:val="0"/>
      <w:marBottom w:val="0"/>
      <w:divBdr>
        <w:top w:val="none" w:sz="0" w:space="0" w:color="auto"/>
        <w:left w:val="none" w:sz="0" w:space="0" w:color="auto"/>
        <w:bottom w:val="none" w:sz="0" w:space="0" w:color="auto"/>
        <w:right w:val="none" w:sz="0" w:space="0" w:color="auto"/>
      </w:divBdr>
    </w:div>
    <w:div w:id="1288975834">
      <w:bodyDiv w:val="1"/>
      <w:marLeft w:val="0"/>
      <w:marRight w:val="0"/>
      <w:marTop w:val="0"/>
      <w:marBottom w:val="0"/>
      <w:divBdr>
        <w:top w:val="none" w:sz="0" w:space="0" w:color="auto"/>
        <w:left w:val="none" w:sz="0" w:space="0" w:color="auto"/>
        <w:bottom w:val="none" w:sz="0" w:space="0" w:color="auto"/>
        <w:right w:val="none" w:sz="0" w:space="0" w:color="auto"/>
      </w:divBdr>
    </w:div>
    <w:div w:id="1309434711">
      <w:bodyDiv w:val="1"/>
      <w:marLeft w:val="0"/>
      <w:marRight w:val="0"/>
      <w:marTop w:val="0"/>
      <w:marBottom w:val="0"/>
      <w:divBdr>
        <w:top w:val="none" w:sz="0" w:space="0" w:color="auto"/>
        <w:left w:val="none" w:sz="0" w:space="0" w:color="auto"/>
        <w:bottom w:val="none" w:sz="0" w:space="0" w:color="auto"/>
        <w:right w:val="none" w:sz="0" w:space="0" w:color="auto"/>
      </w:divBdr>
    </w:div>
    <w:div w:id="1333995042">
      <w:bodyDiv w:val="1"/>
      <w:marLeft w:val="0"/>
      <w:marRight w:val="0"/>
      <w:marTop w:val="0"/>
      <w:marBottom w:val="0"/>
      <w:divBdr>
        <w:top w:val="none" w:sz="0" w:space="0" w:color="auto"/>
        <w:left w:val="none" w:sz="0" w:space="0" w:color="auto"/>
        <w:bottom w:val="none" w:sz="0" w:space="0" w:color="auto"/>
        <w:right w:val="none" w:sz="0" w:space="0" w:color="auto"/>
      </w:divBdr>
    </w:div>
    <w:div w:id="1335569114">
      <w:bodyDiv w:val="1"/>
      <w:marLeft w:val="0"/>
      <w:marRight w:val="0"/>
      <w:marTop w:val="0"/>
      <w:marBottom w:val="0"/>
      <w:divBdr>
        <w:top w:val="none" w:sz="0" w:space="0" w:color="auto"/>
        <w:left w:val="none" w:sz="0" w:space="0" w:color="auto"/>
        <w:bottom w:val="none" w:sz="0" w:space="0" w:color="auto"/>
        <w:right w:val="none" w:sz="0" w:space="0" w:color="auto"/>
      </w:divBdr>
    </w:div>
    <w:div w:id="1375538105">
      <w:bodyDiv w:val="1"/>
      <w:marLeft w:val="0"/>
      <w:marRight w:val="0"/>
      <w:marTop w:val="0"/>
      <w:marBottom w:val="0"/>
      <w:divBdr>
        <w:top w:val="none" w:sz="0" w:space="0" w:color="auto"/>
        <w:left w:val="none" w:sz="0" w:space="0" w:color="auto"/>
        <w:bottom w:val="none" w:sz="0" w:space="0" w:color="auto"/>
        <w:right w:val="none" w:sz="0" w:space="0" w:color="auto"/>
      </w:divBdr>
    </w:div>
    <w:div w:id="1408648508">
      <w:bodyDiv w:val="1"/>
      <w:marLeft w:val="0"/>
      <w:marRight w:val="0"/>
      <w:marTop w:val="0"/>
      <w:marBottom w:val="0"/>
      <w:divBdr>
        <w:top w:val="none" w:sz="0" w:space="0" w:color="auto"/>
        <w:left w:val="none" w:sz="0" w:space="0" w:color="auto"/>
        <w:bottom w:val="none" w:sz="0" w:space="0" w:color="auto"/>
        <w:right w:val="none" w:sz="0" w:space="0" w:color="auto"/>
      </w:divBdr>
    </w:div>
    <w:div w:id="1414353585">
      <w:bodyDiv w:val="1"/>
      <w:marLeft w:val="0"/>
      <w:marRight w:val="0"/>
      <w:marTop w:val="0"/>
      <w:marBottom w:val="0"/>
      <w:divBdr>
        <w:top w:val="none" w:sz="0" w:space="0" w:color="auto"/>
        <w:left w:val="none" w:sz="0" w:space="0" w:color="auto"/>
        <w:bottom w:val="none" w:sz="0" w:space="0" w:color="auto"/>
        <w:right w:val="none" w:sz="0" w:space="0" w:color="auto"/>
      </w:divBdr>
    </w:div>
    <w:div w:id="1421289265">
      <w:bodyDiv w:val="1"/>
      <w:marLeft w:val="0"/>
      <w:marRight w:val="0"/>
      <w:marTop w:val="0"/>
      <w:marBottom w:val="0"/>
      <w:divBdr>
        <w:top w:val="none" w:sz="0" w:space="0" w:color="auto"/>
        <w:left w:val="none" w:sz="0" w:space="0" w:color="auto"/>
        <w:bottom w:val="none" w:sz="0" w:space="0" w:color="auto"/>
        <w:right w:val="none" w:sz="0" w:space="0" w:color="auto"/>
      </w:divBdr>
    </w:div>
    <w:div w:id="1470248043">
      <w:bodyDiv w:val="1"/>
      <w:marLeft w:val="0"/>
      <w:marRight w:val="0"/>
      <w:marTop w:val="0"/>
      <w:marBottom w:val="0"/>
      <w:divBdr>
        <w:top w:val="none" w:sz="0" w:space="0" w:color="auto"/>
        <w:left w:val="none" w:sz="0" w:space="0" w:color="auto"/>
        <w:bottom w:val="none" w:sz="0" w:space="0" w:color="auto"/>
        <w:right w:val="none" w:sz="0" w:space="0" w:color="auto"/>
      </w:divBdr>
    </w:div>
    <w:div w:id="1487819717">
      <w:bodyDiv w:val="1"/>
      <w:marLeft w:val="0"/>
      <w:marRight w:val="0"/>
      <w:marTop w:val="0"/>
      <w:marBottom w:val="0"/>
      <w:divBdr>
        <w:top w:val="none" w:sz="0" w:space="0" w:color="auto"/>
        <w:left w:val="none" w:sz="0" w:space="0" w:color="auto"/>
        <w:bottom w:val="none" w:sz="0" w:space="0" w:color="auto"/>
        <w:right w:val="none" w:sz="0" w:space="0" w:color="auto"/>
      </w:divBdr>
    </w:div>
    <w:div w:id="1498351094">
      <w:bodyDiv w:val="1"/>
      <w:marLeft w:val="0"/>
      <w:marRight w:val="0"/>
      <w:marTop w:val="0"/>
      <w:marBottom w:val="0"/>
      <w:divBdr>
        <w:top w:val="none" w:sz="0" w:space="0" w:color="auto"/>
        <w:left w:val="none" w:sz="0" w:space="0" w:color="auto"/>
        <w:bottom w:val="none" w:sz="0" w:space="0" w:color="auto"/>
        <w:right w:val="none" w:sz="0" w:space="0" w:color="auto"/>
      </w:divBdr>
      <w:divsChild>
        <w:div w:id="667899733">
          <w:marLeft w:val="0"/>
          <w:marRight w:val="0"/>
          <w:marTop w:val="0"/>
          <w:marBottom w:val="0"/>
          <w:divBdr>
            <w:top w:val="none" w:sz="0" w:space="0" w:color="auto"/>
            <w:left w:val="none" w:sz="0" w:space="0" w:color="auto"/>
            <w:bottom w:val="none" w:sz="0" w:space="0" w:color="auto"/>
            <w:right w:val="none" w:sz="0" w:space="0" w:color="auto"/>
          </w:divBdr>
        </w:div>
        <w:div w:id="199783985">
          <w:marLeft w:val="0"/>
          <w:marRight w:val="0"/>
          <w:marTop w:val="120"/>
          <w:marBottom w:val="0"/>
          <w:divBdr>
            <w:top w:val="none" w:sz="0" w:space="0" w:color="auto"/>
            <w:left w:val="none" w:sz="0" w:space="0" w:color="auto"/>
            <w:bottom w:val="none" w:sz="0" w:space="0" w:color="auto"/>
            <w:right w:val="none" w:sz="0" w:space="0" w:color="auto"/>
          </w:divBdr>
          <w:divsChild>
            <w:div w:id="1842963101">
              <w:marLeft w:val="0"/>
              <w:marRight w:val="0"/>
              <w:marTop w:val="0"/>
              <w:marBottom w:val="0"/>
              <w:divBdr>
                <w:top w:val="none" w:sz="0" w:space="0" w:color="auto"/>
                <w:left w:val="none" w:sz="0" w:space="0" w:color="auto"/>
                <w:bottom w:val="none" w:sz="0" w:space="0" w:color="auto"/>
                <w:right w:val="none" w:sz="0" w:space="0" w:color="auto"/>
              </w:divBdr>
            </w:div>
            <w:div w:id="1413624252">
              <w:marLeft w:val="0"/>
              <w:marRight w:val="0"/>
              <w:marTop w:val="0"/>
              <w:marBottom w:val="0"/>
              <w:divBdr>
                <w:top w:val="none" w:sz="0" w:space="0" w:color="auto"/>
                <w:left w:val="none" w:sz="0" w:space="0" w:color="auto"/>
                <w:bottom w:val="none" w:sz="0" w:space="0" w:color="auto"/>
                <w:right w:val="none" w:sz="0" w:space="0" w:color="auto"/>
              </w:divBdr>
            </w:div>
            <w:div w:id="375157410">
              <w:marLeft w:val="0"/>
              <w:marRight w:val="0"/>
              <w:marTop w:val="0"/>
              <w:marBottom w:val="0"/>
              <w:divBdr>
                <w:top w:val="none" w:sz="0" w:space="0" w:color="auto"/>
                <w:left w:val="none" w:sz="0" w:space="0" w:color="auto"/>
                <w:bottom w:val="none" w:sz="0" w:space="0" w:color="auto"/>
                <w:right w:val="none" w:sz="0" w:space="0" w:color="auto"/>
              </w:divBdr>
            </w:div>
            <w:div w:id="1754857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1410386">
      <w:bodyDiv w:val="1"/>
      <w:marLeft w:val="0"/>
      <w:marRight w:val="0"/>
      <w:marTop w:val="0"/>
      <w:marBottom w:val="0"/>
      <w:divBdr>
        <w:top w:val="none" w:sz="0" w:space="0" w:color="auto"/>
        <w:left w:val="none" w:sz="0" w:space="0" w:color="auto"/>
        <w:bottom w:val="none" w:sz="0" w:space="0" w:color="auto"/>
        <w:right w:val="none" w:sz="0" w:space="0" w:color="auto"/>
      </w:divBdr>
    </w:div>
    <w:div w:id="1520506622">
      <w:bodyDiv w:val="1"/>
      <w:marLeft w:val="0"/>
      <w:marRight w:val="0"/>
      <w:marTop w:val="0"/>
      <w:marBottom w:val="0"/>
      <w:divBdr>
        <w:top w:val="none" w:sz="0" w:space="0" w:color="auto"/>
        <w:left w:val="none" w:sz="0" w:space="0" w:color="auto"/>
        <w:bottom w:val="none" w:sz="0" w:space="0" w:color="auto"/>
        <w:right w:val="none" w:sz="0" w:space="0" w:color="auto"/>
      </w:divBdr>
    </w:div>
    <w:div w:id="1552231754">
      <w:bodyDiv w:val="1"/>
      <w:marLeft w:val="0"/>
      <w:marRight w:val="0"/>
      <w:marTop w:val="0"/>
      <w:marBottom w:val="0"/>
      <w:divBdr>
        <w:top w:val="none" w:sz="0" w:space="0" w:color="auto"/>
        <w:left w:val="none" w:sz="0" w:space="0" w:color="auto"/>
        <w:bottom w:val="none" w:sz="0" w:space="0" w:color="auto"/>
        <w:right w:val="none" w:sz="0" w:space="0" w:color="auto"/>
      </w:divBdr>
    </w:div>
    <w:div w:id="1576472076">
      <w:bodyDiv w:val="1"/>
      <w:marLeft w:val="0"/>
      <w:marRight w:val="0"/>
      <w:marTop w:val="0"/>
      <w:marBottom w:val="0"/>
      <w:divBdr>
        <w:top w:val="none" w:sz="0" w:space="0" w:color="auto"/>
        <w:left w:val="none" w:sz="0" w:space="0" w:color="auto"/>
        <w:bottom w:val="none" w:sz="0" w:space="0" w:color="auto"/>
        <w:right w:val="none" w:sz="0" w:space="0" w:color="auto"/>
      </w:divBdr>
    </w:div>
    <w:div w:id="1596131684">
      <w:bodyDiv w:val="1"/>
      <w:marLeft w:val="0"/>
      <w:marRight w:val="0"/>
      <w:marTop w:val="0"/>
      <w:marBottom w:val="0"/>
      <w:divBdr>
        <w:top w:val="none" w:sz="0" w:space="0" w:color="auto"/>
        <w:left w:val="none" w:sz="0" w:space="0" w:color="auto"/>
        <w:bottom w:val="none" w:sz="0" w:space="0" w:color="auto"/>
        <w:right w:val="none" w:sz="0" w:space="0" w:color="auto"/>
      </w:divBdr>
    </w:div>
    <w:div w:id="1601983789">
      <w:bodyDiv w:val="1"/>
      <w:marLeft w:val="0"/>
      <w:marRight w:val="0"/>
      <w:marTop w:val="0"/>
      <w:marBottom w:val="0"/>
      <w:divBdr>
        <w:top w:val="none" w:sz="0" w:space="0" w:color="auto"/>
        <w:left w:val="none" w:sz="0" w:space="0" w:color="auto"/>
        <w:bottom w:val="none" w:sz="0" w:space="0" w:color="auto"/>
        <w:right w:val="none" w:sz="0" w:space="0" w:color="auto"/>
      </w:divBdr>
    </w:div>
    <w:div w:id="1619675509">
      <w:bodyDiv w:val="1"/>
      <w:marLeft w:val="0"/>
      <w:marRight w:val="0"/>
      <w:marTop w:val="0"/>
      <w:marBottom w:val="0"/>
      <w:divBdr>
        <w:top w:val="none" w:sz="0" w:space="0" w:color="auto"/>
        <w:left w:val="none" w:sz="0" w:space="0" w:color="auto"/>
        <w:bottom w:val="none" w:sz="0" w:space="0" w:color="auto"/>
        <w:right w:val="none" w:sz="0" w:space="0" w:color="auto"/>
      </w:divBdr>
    </w:div>
    <w:div w:id="1634939973">
      <w:bodyDiv w:val="1"/>
      <w:marLeft w:val="0"/>
      <w:marRight w:val="0"/>
      <w:marTop w:val="0"/>
      <w:marBottom w:val="0"/>
      <w:divBdr>
        <w:top w:val="none" w:sz="0" w:space="0" w:color="auto"/>
        <w:left w:val="none" w:sz="0" w:space="0" w:color="auto"/>
        <w:bottom w:val="none" w:sz="0" w:space="0" w:color="auto"/>
        <w:right w:val="none" w:sz="0" w:space="0" w:color="auto"/>
      </w:divBdr>
    </w:div>
    <w:div w:id="1663389042">
      <w:bodyDiv w:val="1"/>
      <w:marLeft w:val="0"/>
      <w:marRight w:val="0"/>
      <w:marTop w:val="0"/>
      <w:marBottom w:val="0"/>
      <w:divBdr>
        <w:top w:val="none" w:sz="0" w:space="0" w:color="auto"/>
        <w:left w:val="none" w:sz="0" w:space="0" w:color="auto"/>
        <w:bottom w:val="none" w:sz="0" w:space="0" w:color="auto"/>
        <w:right w:val="none" w:sz="0" w:space="0" w:color="auto"/>
      </w:divBdr>
    </w:div>
    <w:div w:id="1666132941">
      <w:bodyDiv w:val="1"/>
      <w:marLeft w:val="0"/>
      <w:marRight w:val="0"/>
      <w:marTop w:val="0"/>
      <w:marBottom w:val="0"/>
      <w:divBdr>
        <w:top w:val="none" w:sz="0" w:space="0" w:color="auto"/>
        <w:left w:val="none" w:sz="0" w:space="0" w:color="auto"/>
        <w:bottom w:val="none" w:sz="0" w:space="0" w:color="auto"/>
        <w:right w:val="none" w:sz="0" w:space="0" w:color="auto"/>
      </w:divBdr>
    </w:div>
    <w:div w:id="1666277676">
      <w:bodyDiv w:val="1"/>
      <w:marLeft w:val="0"/>
      <w:marRight w:val="0"/>
      <w:marTop w:val="0"/>
      <w:marBottom w:val="0"/>
      <w:divBdr>
        <w:top w:val="none" w:sz="0" w:space="0" w:color="auto"/>
        <w:left w:val="none" w:sz="0" w:space="0" w:color="auto"/>
        <w:bottom w:val="none" w:sz="0" w:space="0" w:color="auto"/>
        <w:right w:val="none" w:sz="0" w:space="0" w:color="auto"/>
      </w:divBdr>
    </w:div>
    <w:div w:id="1673947918">
      <w:bodyDiv w:val="1"/>
      <w:marLeft w:val="0"/>
      <w:marRight w:val="0"/>
      <w:marTop w:val="0"/>
      <w:marBottom w:val="0"/>
      <w:divBdr>
        <w:top w:val="none" w:sz="0" w:space="0" w:color="auto"/>
        <w:left w:val="none" w:sz="0" w:space="0" w:color="auto"/>
        <w:bottom w:val="none" w:sz="0" w:space="0" w:color="auto"/>
        <w:right w:val="none" w:sz="0" w:space="0" w:color="auto"/>
      </w:divBdr>
    </w:div>
    <w:div w:id="1720397510">
      <w:bodyDiv w:val="1"/>
      <w:marLeft w:val="0"/>
      <w:marRight w:val="0"/>
      <w:marTop w:val="0"/>
      <w:marBottom w:val="0"/>
      <w:divBdr>
        <w:top w:val="none" w:sz="0" w:space="0" w:color="auto"/>
        <w:left w:val="none" w:sz="0" w:space="0" w:color="auto"/>
        <w:bottom w:val="none" w:sz="0" w:space="0" w:color="auto"/>
        <w:right w:val="none" w:sz="0" w:space="0" w:color="auto"/>
      </w:divBdr>
    </w:div>
    <w:div w:id="1736590038">
      <w:bodyDiv w:val="1"/>
      <w:marLeft w:val="0"/>
      <w:marRight w:val="0"/>
      <w:marTop w:val="0"/>
      <w:marBottom w:val="0"/>
      <w:divBdr>
        <w:top w:val="none" w:sz="0" w:space="0" w:color="auto"/>
        <w:left w:val="none" w:sz="0" w:space="0" w:color="auto"/>
        <w:bottom w:val="none" w:sz="0" w:space="0" w:color="auto"/>
        <w:right w:val="none" w:sz="0" w:space="0" w:color="auto"/>
      </w:divBdr>
    </w:div>
    <w:div w:id="1737506612">
      <w:bodyDiv w:val="1"/>
      <w:marLeft w:val="0"/>
      <w:marRight w:val="0"/>
      <w:marTop w:val="0"/>
      <w:marBottom w:val="0"/>
      <w:divBdr>
        <w:top w:val="none" w:sz="0" w:space="0" w:color="auto"/>
        <w:left w:val="none" w:sz="0" w:space="0" w:color="auto"/>
        <w:bottom w:val="none" w:sz="0" w:space="0" w:color="auto"/>
        <w:right w:val="none" w:sz="0" w:space="0" w:color="auto"/>
      </w:divBdr>
    </w:div>
    <w:div w:id="1741756105">
      <w:bodyDiv w:val="1"/>
      <w:marLeft w:val="0"/>
      <w:marRight w:val="0"/>
      <w:marTop w:val="0"/>
      <w:marBottom w:val="0"/>
      <w:divBdr>
        <w:top w:val="none" w:sz="0" w:space="0" w:color="auto"/>
        <w:left w:val="none" w:sz="0" w:space="0" w:color="auto"/>
        <w:bottom w:val="none" w:sz="0" w:space="0" w:color="auto"/>
        <w:right w:val="none" w:sz="0" w:space="0" w:color="auto"/>
      </w:divBdr>
    </w:div>
    <w:div w:id="1813207305">
      <w:bodyDiv w:val="1"/>
      <w:marLeft w:val="0"/>
      <w:marRight w:val="0"/>
      <w:marTop w:val="0"/>
      <w:marBottom w:val="0"/>
      <w:divBdr>
        <w:top w:val="none" w:sz="0" w:space="0" w:color="auto"/>
        <w:left w:val="none" w:sz="0" w:space="0" w:color="auto"/>
        <w:bottom w:val="none" w:sz="0" w:space="0" w:color="auto"/>
        <w:right w:val="none" w:sz="0" w:space="0" w:color="auto"/>
      </w:divBdr>
    </w:div>
    <w:div w:id="1822116915">
      <w:bodyDiv w:val="1"/>
      <w:marLeft w:val="0"/>
      <w:marRight w:val="0"/>
      <w:marTop w:val="0"/>
      <w:marBottom w:val="0"/>
      <w:divBdr>
        <w:top w:val="none" w:sz="0" w:space="0" w:color="auto"/>
        <w:left w:val="none" w:sz="0" w:space="0" w:color="auto"/>
        <w:bottom w:val="none" w:sz="0" w:space="0" w:color="auto"/>
        <w:right w:val="none" w:sz="0" w:space="0" w:color="auto"/>
      </w:divBdr>
    </w:div>
    <w:div w:id="1857575301">
      <w:bodyDiv w:val="1"/>
      <w:marLeft w:val="0"/>
      <w:marRight w:val="0"/>
      <w:marTop w:val="0"/>
      <w:marBottom w:val="0"/>
      <w:divBdr>
        <w:top w:val="none" w:sz="0" w:space="0" w:color="auto"/>
        <w:left w:val="none" w:sz="0" w:space="0" w:color="auto"/>
        <w:bottom w:val="none" w:sz="0" w:space="0" w:color="auto"/>
        <w:right w:val="none" w:sz="0" w:space="0" w:color="auto"/>
      </w:divBdr>
    </w:div>
    <w:div w:id="1866283033">
      <w:bodyDiv w:val="1"/>
      <w:marLeft w:val="0"/>
      <w:marRight w:val="0"/>
      <w:marTop w:val="0"/>
      <w:marBottom w:val="0"/>
      <w:divBdr>
        <w:top w:val="none" w:sz="0" w:space="0" w:color="auto"/>
        <w:left w:val="none" w:sz="0" w:space="0" w:color="auto"/>
        <w:bottom w:val="none" w:sz="0" w:space="0" w:color="auto"/>
        <w:right w:val="none" w:sz="0" w:space="0" w:color="auto"/>
      </w:divBdr>
    </w:div>
    <w:div w:id="1869445067">
      <w:bodyDiv w:val="1"/>
      <w:marLeft w:val="0"/>
      <w:marRight w:val="0"/>
      <w:marTop w:val="0"/>
      <w:marBottom w:val="0"/>
      <w:divBdr>
        <w:top w:val="none" w:sz="0" w:space="0" w:color="auto"/>
        <w:left w:val="none" w:sz="0" w:space="0" w:color="auto"/>
        <w:bottom w:val="none" w:sz="0" w:space="0" w:color="auto"/>
        <w:right w:val="none" w:sz="0" w:space="0" w:color="auto"/>
      </w:divBdr>
    </w:div>
    <w:div w:id="1897889474">
      <w:bodyDiv w:val="1"/>
      <w:marLeft w:val="0"/>
      <w:marRight w:val="0"/>
      <w:marTop w:val="0"/>
      <w:marBottom w:val="0"/>
      <w:divBdr>
        <w:top w:val="none" w:sz="0" w:space="0" w:color="auto"/>
        <w:left w:val="none" w:sz="0" w:space="0" w:color="auto"/>
        <w:bottom w:val="none" w:sz="0" w:space="0" w:color="auto"/>
        <w:right w:val="none" w:sz="0" w:space="0" w:color="auto"/>
      </w:divBdr>
    </w:div>
    <w:div w:id="1969117709">
      <w:bodyDiv w:val="1"/>
      <w:marLeft w:val="0"/>
      <w:marRight w:val="0"/>
      <w:marTop w:val="0"/>
      <w:marBottom w:val="0"/>
      <w:divBdr>
        <w:top w:val="none" w:sz="0" w:space="0" w:color="auto"/>
        <w:left w:val="none" w:sz="0" w:space="0" w:color="auto"/>
        <w:bottom w:val="none" w:sz="0" w:space="0" w:color="auto"/>
        <w:right w:val="none" w:sz="0" w:space="0" w:color="auto"/>
      </w:divBdr>
    </w:div>
    <w:div w:id="1983466626">
      <w:bodyDiv w:val="1"/>
      <w:marLeft w:val="0"/>
      <w:marRight w:val="0"/>
      <w:marTop w:val="0"/>
      <w:marBottom w:val="0"/>
      <w:divBdr>
        <w:top w:val="none" w:sz="0" w:space="0" w:color="auto"/>
        <w:left w:val="none" w:sz="0" w:space="0" w:color="auto"/>
        <w:bottom w:val="none" w:sz="0" w:space="0" w:color="auto"/>
        <w:right w:val="none" w:sz="0" w:space="0" w:color="auto"/>
      </w:divBdr>
    </w:div>
    <w:div w:id="1987397338">
      <w:bodyDiv w:val="1"/>
      <w:marLeft w:val="0"/>
      <w:marRight w:val="0"/>
      <w:marTop w:val="0"/>
      <w:marBottom w:val="0"/>
      <w:divBdr>
        <w:top w:val="none" w:sz="0" w:space="0" w:color="auto"/>
        <w:left w:val="none" w:sz="0" w:space="0" w:color="auto"/>
        <w:bottom w:val="none" w:sz="0" w:space="0" w:color="auto"/>
        <w:right w:val="none" w:sz="0" w:space="0" w:color="auto"/>
      </w:divBdr>
    </w:div>
    <w:div w:id="2003965911">
      <w:bodyDiv w:val="1"/>
      <w:marLeft w:val="0"/>
      <w:marRight w:val="0"/>
      <w:marTop w:val="0"/>
      <w:marBottom w:val="0"/>
      <w:divBdr>
        <w:top w:val="none" w:sz="0" w:space="0" w:color="auto"/>
        <w:left w:val="none" w:sz="0" w:space="0" w:color="auto"/>
        <w:bottom w:val="none" w:sz="0" w:space="0" w:color="auto"/>
        <w:right w:val="none" w:sz="0" w:space="0" w:color="auto"/>
      </w:divBdr>
    </w:div>
    <w:div w:id="2012751491">
      <w:bodyDiv w:val="1"/>
      <w:marLeft w:val="0"/>
      <w:marRight w:val="0"/>
      <w:marTop w:val="0"/>
      <w:marBottom w:val="0"/>
      <w:divBdr>
        <w:top w:val="none" w:sz="0" w:space="0" w:color="auto"/>
        <w:left w:val="none" w:sz="0" w:space="0" w:color="auto"/>
        <w:bottom w:val="none" w:sz="0" w:space="0" w:color="auto"/>
        <w:right w:val="none" w:sz="0" w:space="0" w:color="auto"/>
      </w:divBdr>
    </w:div>
    <w:div w:id="2020618659">
      <w:bodyDiv w:val="1"/>
      <w:marLeft w:val="0"/>
      <w:marRight w:val="0"/>
      <w:marTop w:val="0"/>
      <w:marBottom w:val="0"/>
      <w:divBdr>
        <w:top w:val="none" w:sz="0" w:space="0" w:color="auto"/>
        <w:left w:val="none" w:sz="0" w:space="0" w:color="auto"/>
        <w:bottom w:val="none" w:sz="0" w:space="0" w:color="auto"/>
        <w:right w:val="none" w:sz="0" w:space="0" w:color="auto"/>
      </w:divBdr>
    </w:div>
    <w:div w:id="2037462195">
      <w:bodyDiv w:val="1"/>
      <w:marLeft w:val="0"/>
      <w:marRight w:val="0"/>
      <w:marTop w:val="0"/>
      <w:marBottom w:val="0"/>
      <w:divBdr>
        <w:top w:val="none" w:sz="0" w:space="0" w:color="auto"/>
        <w:left w:val="none" w:sz="0" w:space="0" w:color="auto"/>
        <w:bottom w:val="none" w:sz="0" w:space="0" w:color="auto"/>
        <w:right w:val="none" w:sz="0" w:space="0" w:color="auto"/>
      </w:divBdr>
    </w:div>
    <w:div w:id="2071227955">
      <w:bodyDiv w:val="1"/>
      <w:marLeft w:val="0"/>
      <w:marRight w:val="0"/>
      <w:marTop w:val="0"/>
      <w:marBottom w:val="0"/>
      <w:divBdr>
        <w:top w:val="none" w:sz="0" w:space="0" w:color="auto"/>
        <w:left w:val="none" w:sz="0" w:space="0" w:color="auto"/>
        <w:bottom w:val="none" w:sz="0" w:space="0" w:color="auto"/>
        <w:right w:val="none" w:sz="0" w:space="0" w:color="auto"/>
      </w:divBdr>
    </w:div>
    <w:div w:id="2106071524">
      <w:bodyDiv w:val="1"/>
      <w:marLeft w:val="0"/>
      <w:marRight w:val="0"/>
      <w:marTop w:val="0"/>
      <w:marBottom w:val="0"/>
      <w:divBdr>
        <w:top w:val="none" w:sz="0" w:space="0" w:color="auto"/>
        <w:left w:val="none" w:sz="0" w:space="0" w:color="auto"/>
        <w:bottom w:val="none" w:sz="0" w:space="0" w:color="auto"/>
        <w:right w:val="none" w:sz="0" w:space="0" w:color="auto"/>
      </w:divBdr>
    </w:div>
    <w:div w:id="2124493337">
      <w:bodyDiv w:val="1"/>
      <w:marLeft w:val="0"/>
      <w:marRight w:val="0"/>
      <w:marTop w:val="0"/>
      <w:marBottom w:val="0"/>
      <w:divBdr>
        <w:top w:val="none" w:sz="0" w:space="0" w:color="auto"/>
        <w:left w:val="none" w:sz="0" w:space="0" w:color="auto"/>
        <w:bottom w:val="none" w:sz="0" w:space="0" w:color="auto"/>
        <w:right w:val="none" w:sz="0" w:space="0" w:color="auto"/>
      </w:divBdr>
    </w:div>
    <w:div w:id="2126269309">
      <w:bodyDiv w:val="1"/>
      <w:marLeft w:val="0"/>
      <w:marRight w:val="0"/>
      <w:marTop w:val="0"/>
      <w:marBottom w:val="0"/>
      <w:divBdr>
        <w:top w:val="none" w:sz="0" w:space="0" w:color="auto"/>
        <w:left w:val="none" w:sz="0" w:space="0" w:color="auto"/>
        <w:bottom w:val="none" w:sz="0" w:space="0" w:color="auto"/>
        <w:right w:val="none" w:sz="0" w:space="0" w:color="auto"/>
      </w:divBdr>
    </w:div>
    <w:div w:id="2132672906">
      <w:bodyDiv w:val="1"/>
      <w:marLeft w:val="0"/>
      <w:marRight w:val="0"/>
      <w:marTop w:val="0"/>
      <w:marBottom w:val="0"/>
      <w:divBdr>
        <w:top w:val="none" w:sz="0" w:space="0" w:color="auto"/>
        <w:left w:val="none" w:sz="0" w:space="0" w:color="auto"/>
        <w:bottom w:val="none" w:sz="0" w:space="0" w:color="auto"/>
        <w:right w:val="none" w:sz="0" w:space="0" w:color="auto"/>
      </w:divBdr>
    </w:div>
    <w:div w:id="2138722591">
      <w:bodyDiv w:val="1"/>
      <w:marLeft w:val="0"/>
      <w:marRight w:val="0"/>
      <w:marTop w:val="0"/>
      <w:marBottom w:val="0"/>
      <w:divBdr>
        <w:top w:val="none" w:sz="0" w:space="0" w:color="auto"/>
        <w:left w:val="none" w:sz="0" w:space="0" w:color="auto"/>
        <w:bottom w:val="none" w:sz="0" w:space="0" w:color="auto"/>
        <w:right w:val="none" w:sz="0" w:space="0" w:color="auto"/>
      </w:divBdr>
    </w:div>
    <w:div w:id="2139905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footer" Target="footer2.xml"/></Relationships>
</file>

<file path=word/charts/_rels/chart1.xml.rels><?xml version="1.0" encoding="UTF-8" standalone="yes"?>
<Relationships xmlns="http://schemas.openxmlformats.org/package/2006/relationships"><Relationship Id="rId3" Type="http://schemas.openxmlformats.org/officeDocument/2006/relationships/oleObject" Target="file:///E:\Assignments\Prime\2023\3.%20March\Work%201\Book1.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80" b="0" i="0" u="none" strike="noStrike" kern="1200" spc="0" baseline="0">
              <a:solidFill>
                <a:sysClr val="windowText" lastClr="000000"/>
              </a:solidFill>
              <a:latin typeface="Garamond" panose="02020404030301010803" pitchFamily="18" charset="0"/>
              <a:ea typeface="+mn-ea"/>
              <a:cs typeface="+mn-cs"/>
            </a:defRPr>
          </a:pPr>
          <a:endParaRPr lang="en-US"/>
        </a:p>
      </c:txPr>
    </c:title>
    <c:autoTitleDeleted val="0"/>
    <c:plotArea>
      <c:layout/>
      <c:lineChart>
        <c:grouping val="standard"/>
        <c:varyColors val="0"/>
        <c:ser>
          <c:idx val="0"/>
          <c:order val="0"/>
          <c:tx>
            <c:strRef>
              <c:f>Sheet1!$D$1</c:f>
              <c:strCache>
                <c:ptCount val="1"/>
                <c:pt idx="0">
                  <c:v>Payout Ratio</c:v>
                </c:pt>
              </c:strCache>
            </c:strRef>
          </c:tx>
          <c:spPr>
            <a:ln w="38100" cap="rnd">
              <a:solidFill>
                <a:schemeClr val="accent2"/>
              </a:solidFill>
              <a:round/>
            </a:ln>
            <a:effectLst/>
          </c:spPr>
          <c:marker>
            <c:symbol val="circle"/>
            <c:size val="10"/>
            <c:spPr>
              <a:solidFill>
                <a:schemeClr val="bg1"/>
              </a:solidFill>
              <a:ln w="38100">
                <a:solidFill>
                  <a:schemeClr val="accent2"/>
                </a:solidFill>
              </a:ln>
              <a:effectLst/>
            </c:spPr>
          </c:marker>
          <c:cat>
            <c:numRef>
              <c:f>Sheet1!$A$2:$A$6</c:f>
              <c:numCache>
                <c:formatCode>General</c:formatCode>
                <c:ptCount val="5"/>
                <c:pt idx="0">
                  <c:v>2018</c:v>
                </c:pt>
                <c:pt idx="1">
                  <c:v>2019</c:v>
                </c:pt>
                <c:pt idx="2">
                  <c:v>2020</c:v>
                </c:pt>
                <c:pt idx="3">
                  <c:v>2021</c:v>
                </c:pt>
                <c:pt idx="4">
                  <c:v>2022</c:v>
                </c:pt>
              </c:numCache>
            </c:numRef>
          </c:cat>
          <c:val>
            <c:numRef>
              <c:f>Sheet1!$D$2:$D$6</c:f>
              <c:numCache>
                <c:formatCode>0.0%</c:formatCode>
                <c:ptCount val="5"/>
                <c:pt idx="0">
                  <c:v>0.43839541547277933</c:v>
                </c:pt>
                <c:pt idx="1">
                  <c:v>0.74883720930232567</c:v>
                </c:pt>
                <c:pt idx="2">
                  <c:v>0.784037558685446</c:v>
                </c:pt>
                <c:pt idx="3">
                  <c:v>0.70815450643776823</c:v>
                </c:pt>
                <c:pt idx="4">
                  <c:v>0.55333333333333334</c:v>
                </c:pt>
              </c:numCache>
            </c:numRef>
          </c:val>
          <c:smooth val="0"/>
          <c:extLst>
            <c:ext xmlns:c16="http://schemas.microsoft.com/office/drawing/2014/chart" uri="{C3380CC4-5D6E-409C-BE32-E72D297353CC}">
              <c16:uniqueId val="{00000000-28B1-464F-B1A9-CE54B8016A16}"/>
            </c:ext>
          </c:extLst>
        </c:ser>
        <c:dLbls>
          <c:showLegendKey val="0"/>
          <c:showVal val="0"/>
          <c:showCatName val="0"/>
          <c:showSerName val="0"/>
          <c:showPercent val="0"/>
          <c:showBubbleSize val="0"/>
        </c:dLbls>
        <c:marker val="1"/>
        <c:smooth val="0"/>
        <c:axId val="624529744"/>
        <c:axId val="624538480"/>
      </c:lineChart>
      <c:catAx>
        <c:axId val="6245297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400" b="0" i="0" u="none" strike="noStrike" kern="1200" baseline="0">
                <a:solidFill>
                  <a:sysClr val="windowText" lastClr="000000"/>
                </a:solidFill>
                <a:latin typeface="Garamond" panose="02020404030301010803" pitchFamily="18" charset="0"/>
                <a:ea typeface="+mn-ea"/>
                <a:cs typeface="+mn-cs"/>
              </a:defRPr>
            </a:pPr>
            <a:endParaRPr lang="en-US"/>
          </a:p>
        </c:txPr>
        <c:crossAx val="624538480"/>
        <c:crosses val="autoZero"/>
        <c:auto val="1"/>
        <c:lblAlgn val="ctr"/>
        <c:lblOffset val="100"/>
        <c:noMultiLvlLbl val="0"/>
      </c:catAx>
      <c:valAx>
        <c:axId val="624538480"/>
        <c:scaling>
          <c:orientation val="minMax"/>
          <c:min val="0.4"/>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1400" b="0" i="0" u="none" strike="noStrike" kern="1200" baseline="0">
                <a:solidFill>
                  <a:sysClr val="windowText" lastClr="000000"/>
                </a:solidFill>
                <a:latin typeface="Garamond" panose="02020404030301010803" pitchFamily="18" charset="0"/>
                <a:ea typeface="+mn-ea"/>
                <a:cs typeface="+mn-cs"/>
              </a:defRPr>
            </a:pPr>
            <a:endParaRPr lang="en-US"/>
          </a:p>
        </c:txPr>
        <c:crossAx val="624529744"/>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sz="1400">
          <a:solidFill>
            <a:sysClr val="windowText" lastClr="000000"/>
          </a:solidFill>
          <a:latin typeface="Garamond" panose="02020404030301010803" pitchFamily="18" charset="0"/>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The19</b:Tag>
    <b:SourceType>InternetSite</b:SourceType>
    <b:Guid>{7F9431FF-E100-4447-A3B6-74D0A9603D43}</b:Guid>
    <b:Title>Keynesian Economic Theory</b:Title>
    <b:Author>
      <b:Author>
        <b:NameList>
          <b:Person>
            <b:Last>Balance</b:Last>
            <b:First>The</b:First>
          </b:Person>
        </b:NameList>
      </b:Author>
    </b:Author>
    <b:YearAccessed>2019</b:YearAccessed>
    <b:MonthAccessed>November</b:MonthAccessed>
    <b:DayAccessed>23</b:DayAccessed>
    <b:URL>https://www.thebalance.com/keynesian-economics-theory-definition-4159776#new-keynesian-theory</b:URL>
    <b:RefOrder>1</b:RefOrder>
  </b:Source>
  <b:Source>
    <b:Tag>Inv19</b:Tag>
    <b:SourceType>InternetSite</b:SourceType>
    <b:Guid>{2A7D1163-C85A-455B-B92B-C2CF2BD5C156}</b:Guid>
    <b:Author>
      <b:Author>
        <b:NameList>
          <b:Person>
            <b:Last>Investopedia</b:Last>
          </b:Person>
        </b:NameList>
      </b:Author>
    </b:Author>
    <b:Title>Chicago School of Economics</b:Title>
    <b:YearAccessed>2019</b:YearAccessed>
    <b:MonthAccessed>November</b:MonthAccessed>
    <b:DayAccessed>23</b:DayAccessed>
    <b:URL>https://www.investopedia.com/terms/c/chicago_school.asp</b:URL>
    <b:RefOrder>2</b:RefOrder>
  </b:Source>
  <b:Source>
    <b:Tag>Inv191</b:Tag>
    <b:SourceType>InternetSite</b:SourceType>
    <b:Guid>{343A8DB4-6FD5-45E4-996E-FF99365D65AE}</b:Guid>
    <b:Author>
      <b:Author>
        <b:NameList>
          <b:Person>
            <b:Last>Investopedia</b:Last>
          </b:Person>
        </b:NameList>
      </b:Author>
    </b:Author>
    <b:Title>Keynesian vs. Neo-Keynesian Economics: What's the Difference?</b:Title>
    <b:YearAccessed>2019</b:YearAccessed>
    <b:MonthAccessed>November</b:MonthAccessed>
    <b:DayAccessed>23</b:DayAccessed>
    <b:URL>https://www.investopedia.com/ask/answers/012615/what-difference-between-keynesian-and-neokeynesian-economics.asp</b:URL>
    <b:RefOrder>3</b:RefOrder>
  </b:Source>
  <b:Source>
    <b:Tag>ITI19</b:Tag>
    <b:SourceType>InternetSite</b:SourceType>
    <b:Guid>{04451FC8-03B1-421C-BD74-62F33DACC8CA}</b:Guid>
    <b:Author>
      <b:Author>
        <b:NameList>
          <b:Person>
            <b:Last>ITIF</b:Last>
          </b:Person>
        </b:NameList>
      </b:Author>
    </b:Author>
    <b:Title>Innovation Economics: The Economic Doctrine for the 21st Century</b:Title>
    <b:YearAccessed>2019</b:YearAccessed>
    <b:MonthAccessed>November </b:MonthAccessed>
    <b:DayAccessed>23</b:DayAccessed>
    <b:URL>https://itif.org/innovation-economics-economic-doctrine-21st-century</b:URL>
    <b:RefOrder>4</b:RefOrder>
  </b:Source>
</b:Sources>
</file>

<file path=customXml/itemProps1.xml><?xml version="1.0" encoding="utf-8"?>
<ds:datastoreItem xmlns:ds="http://schemas.openxmlformats.org/officeDocument/2006/customXml" ds:itemID="{26ABE968-7061-43F3-9A51-54C172B482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1730</Words>
  <Characters>9863</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2020-05-13T08:54:00Z</dcterms:created>
  <dcterms:modified xsi:type="dcterms:W3CDTF">2023-04-25T17:09:00Z</dcterms:modified>
</cp:coreProperties>
</file>