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A86C0C" w14:textId="77443AB8" w:rsidR="004D0EAB" w:rsidRDefault="00211677" w:rsidP="004D0EAB">
      <w:pPr>
        <w:rPr>
          <w:b/>
          <w:color w:val="000000"/>
        </w:rPr>
      </w:pPr>
      <w:r>
        <w:rPr>
          <w:b/>
          <w:noProof/>
          <w:color w:val="000000"/>
          <w14:ligatures w14:val="standardContextual"/>
        </w:rPr>
        <w:drawing>
          <wp:inline distT="0" distB="0" distL="0" distR="0" wp14:anchorId="0F8DAC51" wp14:editId="38DAB567">
            <wp:extent cx="4514850" cy="1800225"/>
            <wp:effectExtent l="0" t="0" r="0" b="9525"/>
            <wp:docPr id="565031817"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31817" name="Picture 2"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79A2DBED" w14:textId="77777777" w:rsidR="004D0EAB" w:rsidRDefault="004D0EAB" w:rsidP="004D0EAB">
      <w:pPr>
        <w:rPr>
          <w:b/>
          <w:color w:val="000000"/>
        </w:rPr>
      </w:pPr>
    </w:p>
    <w:p w14:paraId="5141DE44" w14:textId="77777777" w:rsidR="004D0EAB" w:rsidRDefault="004D0EAB" w:rsidP="004D0EAB">
      <w:pPr>
        <w:rPr>
          <w:b/>
          <w:color w:val="000000"/>
        </w:rPr>
      </w:pPr>
    </w:p>
    <w:p w14:paraId="1CD52A93" w14:textId="0093C535" w:rsidR="00700C68" w:rsidRDefault="00700C68" w:rsidP="00700C68">
      <w:pPr>
        <w:pStyle w:val="NoSpacing"/>
        <w:rPr>
          <w:rFonts w:ascii="Arial" w:eastAsiaTheme="majorEastAsia" w:hAnsi="Arial" w:cs="Arial"/>
          <w:b/>
          <w:sz w:val="40"/>
          <w:szCs w:val="40"/>
        </w:rPr>
      </w:pPr>
      <w:r>
        <w:rPr>
          <w:rFonts w:ascii="Arial" w:eastAsiaTheme="majorEastAsia" w:hAnsi="Arial" w:cs="Arial"/>
          <w:b/>
          <w:sz w:val="40"/>
          <w:szCs w:val="40"/>
        </w:rPr>
        <w:t xml:space="preserve">Module: </w:t>
      </w:r>
      <w:r w:rsidR="009C163E">
        <w:rPr>
          <w:rFonts w:ascii="Arial" w:eastAsiaTheme="majorEastAsia" w:hAnsi="Arial" w:cs="Arial"/>
          <w:b/>
          <w:sz w:val="40"/>
          <w:szCs w:val="40"/>
        </w:rPr>
        <w:t xml:space="preserve">International Business Communications </w:t>
      </w:r>
    </w:p>
    <w:p w14:paraId="38CF0C77" w14:textId="648528EE" w:rsidR="00700C68" w:rsidRDefault="00700C68" w:rsidP="00700C68">
      <w:pPr>
        <w:pStyle w:val="NoSpacing"/>
        <w:rPr>
          <w:rFonts w:ascii="Arial" w:hAnsi="Arial" w:cs="Arial"/>
          <w:sz w:val="36"/>
          <w:szCs w:val="36"/>
        </w:rPr>
      </w:pPr>
      <w:r>
        <w:rPr>
          <w:rFonts w:ascii="Arial" w:hAnsi="Arial" w:cs="Arial"/>
          <w:sz w:val="36"/>
          <w:szCs w:val="36"/>
        </w:rPr>
        <w:t>Code: LCBB</w:t>
      </w:r>
      <w:r w:rsidR="009C163E">
        <w:rPr>
          <w:rFonts w:ascii="Arial" w:hAnsi="Arial" w:cs="Arial"/>
          <w:sz w:val="36"/>
          <w:szCs w:val="36"/>
        </w:rPr>
        <w:t>6</w:t>
      </w:r>
      <w:r>
        <w:rPr>
          <w:rFonts w:ascii="Arial" w:hAnsi="Arial" w:cs="Arial"/>
          <w:sz w:val="36"/>
          <w:szCs w:val="36"/>
        </w:rPr>
        <w:t>00</w:t>
      </w:r>
      <w:r w:rsidR="009C163E">
        <w:rPr>
          <w:rFonts w:ascii="Arial" w:hAnsi="Arial" w:cs="Arial"/>
          <w:sz w:val="36"/>
          <w:szCs w:val="36"/>
        </w:rPr>
        <w:t>1</w:t>
      </w:r>
    </w:p>
    <w:p w14:paraId="7A1DFA82" w14:textId="477814F8" w:rsidR="00700C68" w:rsidRDefault="00700C68" w:rsidP="00700C68">
      <w:pPr>
        <w:pStyle w:val="NoSpacing"/>
        <w:rPr>
          <w:rFonts w:ascii="Arial" w:hAnsi="Arial" w:cs="Arial"/>
          <w:sz w:val="36"/>
          <w:szCs w:val="36"/>
        </w:rPr>
      </w:pPr>
      <w:r>
        <w:rPr>
          <w:rFonts w:ascii="Arial" w:hAnsi="Arial" w:cs="Arial"/>
          <w:sz w:val="36"/>
          <w:szCs w:val="36"/>
        </w:rPr>
        <w:t xml:space="preserve">Lecturer: </w:t>
      </w:r>
      <w:r w:rsidR="00D02E94" w:rsidRPr="00D02E94">
        <w:rPr>
          <w:rFonts w:ascii="Arial" w:hAnsi="Arial" w:cs="Arial"/>
          <w:sz w:val="36"/>
          <w:szCs w:val="36"/>
        </w:rPr>
        <w:t>Alfred Mensah</w:t>
      </w:r>
    </w:p>
    <w:p w14:paraId="6B203FCA" w14:textId="77777777" w:rsidR="00700C68" w:rsidRDefault="00700C68" w:rsidP="00700C68">
      <w:pPr>
        <w:pStyle w:val="NoSpacing"/>
        <w:rPr>
          <w:rFonts w:ascii="Arial" w:hAnsi="Arial" w:cs="Arial"/>
          <w:sz w:val="36"/>
          <w:szCs w:val="36"/>
        </w:rPr>
      </w:pPr>
      <w:r>
        <w:rPr>
          <w:rFonts w:ascii="Arial" w:hAnsi="Arial" w:cs="Arial"/>
          <w:sz w:val="36"/>
          <w:szCs w:val="36"/>
        </w:rPr>
        <w:t>Submitted by: Nikol Stoyanova</w:t>
      </w:r>
    </w:p>
    <w:p w14:paraId="4F3C1E3F" w14:textId="77777777" w:rsidR="00700C68" w:rsidRDefault="00700C68" w:rsidP="00700C68">
      <w:pPr>
        <w:pStyle w:val="NoSpacing"/>
        <w:rPr>
          <w:rFonts w:ascii="Arial" w:hAnsi="Arial" w:cs="Arial"/>
          <w:sz w:val="36"/>
          <w:szCs w:val="36"/>
        </w:rPr>
      </w:pPr>
      <w:r>
        <w:rPr>
          <w:rFonts w:ascii="Arial" w:hAnsi="Arial" w:cs="Arial"/>
          <w:sz w:val="36"/>
          <w:szCs w:val="36"/>
        </w:rPr>
        <w:t>Student ID: 2130583</w:t>
      </w:r>
    </w:p>
    <w:p w14:paraId="71036EDA" w14:textId="77777777" w:rsidR="004D0EAB" w:rsidRDefault="004D0EAB" w:rsidP="004D0EAB">
      <w:pPr>
        <w:rPr>
          <w:b/>
          <w:color w:val="000000"/>
        </w:rPr>
      </w:pPr>
    </w:p>
    <w:p w14:paraId="14258409" w14:textId="77777777" w:rsidR="004D0EAB" w:rsidRDefault="004D0EAB" w:rsidP="004D0EAB">
      <w:pPr>
        <w:rPr>
          <w:b/>
          <w:color w:val="000000"/>
        </w:rPr>
      </w:pPr>
    </w:p>
    <w:p w14:paraId="032E8608" w14:textId="77777777" w:rsidR="00155768" w:rsidRPr="00CB2B65" w:rsidRDefault="00155768" w:rsidP="00155768">
      <w:pPr>
        <w:tabs>
          <w:tab w:val="left" w:pos="630"/>
        </w:tabs>
        <w:spacing w:line="480" w:lineRule="auto"/>
        <w:jc w:val="center"/>
        <w:rPr>
          <w:b/>
          <w:bCs/>
        </w:rPr>
      </w:pPr>
      <w:r w:rsidRPr="000A7DF0">
        <w:rPr>
          <w:b/>
          <w:bCs/>
          <w:sz w:val="36"/>
          <w:szCs w:val="36"/>
        </w:rPr>
        <w:t>Table of content</w:t>
      </w:r>
    </w:p>
    <w:p w14:paraId="2AD883D3" w14:textId="1091BE9F" w:rsidR="00155768" w:rsidRPr="00DB2C82" w:rsidRDefault="00155768" w:rsidP="00155768">
      <w:pPr>
        <w:spacing w:line="480" w:lineRule="auto"/>
      </w:pPr>
      <w:r w:rsidRPr="00DB2C82">
        <w:t>1.Introduction………………………………………………………………………....……</w:t>
      </w:r>
      <w:r w:rsidR="005E7D7E">
        <w:t>2</w:t>
      </w:r>
    </w:p>
    <w:p w14:paraId="4F4601DB" w14:textId="43327FF3" w:rsidR="00155768" w:rsidRDefault="00155768" w:rsidP="00155768">
      <w:pPr>
        <w:pStyle w:val="NoSpacing"/>
        <w:spacing w:line="480" w:lineRule="auto"/>
      </w:pPr>
      <w:r w:rsidRPr="00DB2C82">
        <w:t>2</w:t>
      </w:r>
      <w:r w:rsidR="005E7D7E" w:rsidRPr="005E7D7E">
        <w:t xml:space="preserve"> </w:t>
      </w:r>
      <w:r w:rsidR="005E7D7E" w:rsidRPr="005E7D7E">
        <w:t>Discussion</w:t>
      </w:r>
      <w:r w:rsidRPr="00DB2C82">
        <w:t>.</w:t>
      </w:r>
      <w:r w:rsidRPr="00DB2C82">
        <w:rPr>
          <w:b/>
        </w:rPr>
        <w:t xml:space="preserve"> </w:t>
      </w:r>
      <w:r w:rsidRPr="00DB2C82">
        <w:t>……………</w:t>
      </w:r>
      <w:r w:rsidR="005E7D7E">
        <w:t>…………………………………………………</w:t>
      </w:r>
      <w:r w:rsidR="002A7632">
        <w:t>..</w:t>
      </w:r>
      <w:r w:rsidR="005E7D7E">
        <w:t>………….</w:t>
      </w:r>
      <w:r w:rsidRPr="00DB2C82">
        <w:t>….</w:t>
      </w:r>
      <w:r w:rsidR="005E7D7E">
        <w:t>2</w:t>
      </w:r>
    </w:p>
    <w:p w14:paraId="78AA381F" w14:textId="183FDE19" w:rsidR="007313B4" w:rsidRDefault="007313B4" w:rsidP="007313B4">
      <w:pPr>
        <w:pStyle w:val="NoSpacing"/>
        <w:numPr>
          <w:ilvl w:val="0"/>
          <w:numId w:val="1"/>
        </w:numPr>
        <w:spacing w:line="480" w:lineRule="auto"/>
        <w:rPr>
          <w:bCs/>
        </w:rPr>
      </w:pPr>
      <w:r w:rsidRPr="007313B4">
        <w:rPr>
          <w:bCs/>
        </w:rPr>
        <w:t>Overview of the organisation</w:t>
      </w:r>
    </w:p>
    <w:p w14:paraId="6E2A0B89" w14:textId="1D917A24" w:rsidR="008B5A1D" w:rsidRDefault="00AD3675" w:rsidP="007313B4">
      <w:pPr>
        <w:pStyle w:val="NoSpacing"/>
        <w:numPr>
          <w:ilvl w:val="0"/>
          <w:numId w:val="1"/>
        </w:numPr>
        <w:spacing w:line="480" w:lineRule="auto"/>
        <w:rPr>
          <w:bCs/>
        </w:rPr>
      </w:pPr>
      <w:r w:rsidRPr="00AD3675">
        <w:rPr>
          <w:bCs/>
        </w:rPr>
        <w:t>Evaluating the cultural differences between two EU countries</w:t>
      </w:r>
    </w:p>
    <w:p w14:paraId="3C3A3888" w14:textId="17B8AA03" w:rsidR="00AD3675" w:rsidRDefault="00AD3675" w:rsidP="007313B4">
      <w:pPr>
        <w:pStyle w:val="NoSpacing"/>
        <w:numPr>
          <w:ilvl w:val="0"/>
          <w:numId w:val="1"/>
        </w:numPr>
        <w:spacing w:line="480" w:lineRule="auto"/>
        <w:rPr>
          <w:bCs/>
        </w:rPr>
      </w:pPr>
      <w:r w:rsidRPr="00AD3675">
        <w:rPr>
          <w:bCs/>
        </w:rPr>
        <w:t>Analysing the barriers of communication in the business</w:t>
      </w:r>
    </w:p>
    <w:p w14:paraId="48C3A936" w14:textId="189339F3" w:rsidR="00AD3675" w:rsidRDefault="00AD3675" w:rsidP="007313B4">
      <w:pPr>
        <w:pStyle w:val="NoSpacing"/>
        <w:numPr>
          <w:ilvl w:val="0"/>
          <w:numId w:val="1"/>
        </w:numPr>
        <w:spacing w:line="480" w:lineRule="auto"/>
        <w:rPr>
          <w:bCs/>
        </w:rPr>
      </w:pPr>
      <w:r w:rsidRPr="00AD3675">
        <w:rPr>
          <w:bCs/>
        </w:rPr>
        <w:t xml:space="preserve">Recommendation to expand British </w:t>
      </w:r>
      <w:r w:rsidRPr="00AD3675">
        <w:rPr>
          <w:bCs/>
        </w:rPr>
        <w:t>business.</w:t>
      </w:r>
    </w:p>
    <w:p w14:paraId="21C14E33" w14:textId="5E9262CA" w:rsidR="00AD3675" w:rsidRDefault="00AD3675" w:rsidP="007313B4">
      <w:pPr>
        <w:pStyle w:val="NoSpacing"/>
        <w:numPr>
          <w:ilvl w:val="0"/>
          <w:numId w:val="1"/>
        </w:numPr>
        <w:spacing w:line="480" w:lineRule="auto"/>
        <w:rPr>
          <w:bCs/>
        </w:rPr>
      </w:pPr>
      <w:r w:rsidRPr="00AD3675">
        <w:rPr>
          <w:bCs/>
        </w:rPr>
        <w:t xml:space="preserve">Analysing strategies to mitigate the challenges of communication and making a good work </w:t>
      </w:r>
      <w:r w:rsidRPr="00AD3675">
        <w:rPr>
          <w:bCs/>
        </w:rPr>
        <w:t>environment.</w:t>
      </w:r>
    </w:p>
    <w:p w14:paraId="74448775" w14:textId="635C429E" w:rsidR="00AD3675" w:rsidRPr="00DB2C82" w:rsidRDefault="002A7632" w:rsidP="00AD3675">
      <w:pPr>
        <w:pStyle w:val="NoSpacing"/>
        <w:spacing w:line="480" w:lineRule="auto"/>
        <w:rPr>
          <w:bCs/>
        </w:rPr>
      </w:pPr>
      <w:r>
        <w:rPr>
          <w:bCs/>
        </w:rPr>
        <w:t>3.</w:t>
      </w:r>
      <w:r w:rsidRPr="002A7632">
        <w:rPr>
          <w:bCs/>
        </w:rPr>
        <w:t>Conclusion</w:t>
      </w:r>
      <w:r>
        <w:rPr>
          <w:bCs/>
        </w:rPr>
        <w:t>……………………………………………………………………………….7</w:t>
      </w:r>
    </w:p>
    <w:p w14:paraId="346E69D6" w14:textId="0FB979B9" w:rsidR="00155768" w:rsidRPr="00DB2C82" w:rsidRDefault="00155768" w:rsidP="00AD3675">
      <w:pPr>
        <w:pStyle w:val="NoSpacing"/>
        <w:spacing w:line="480" w:lineRule="auto"/>
      </w:pPr>
    </w:p>
    <w:p w14:paraId="60036255" w14:textId="77777777" w:rsidR="002A7632" w:rsidRDefault="002A7632" w:rsidP="004D0EAB">
      <w:pPr>
        <w:rPr>
          <w:b/>
          <w:color w:val="000000"/>
        </w:rPr>
      </w:pPr>
    </w:p>
    <w:p w14:paraId="2F1BA546" w14:textId="72CA9001" w:rsidR="004D0EAB" w:rsidRDefault="004D0EAB" w:rsidP="004D0EAB">
      <w:pPr>
        <w:rPr>
          <w:b/>
          <w:color w:val="000000"/>
        </w:rPr>
      </w:pPr>
      <w:r>
        <w:rPr>
          <w:b/>
          <w:color w:val="000000"/>
        </w:rPr>
        <w:lastRenderedPageBreak/>
        <w:t>Introduction</w:t>
      </w:r>
    </w:p>
    <w:p w14:paraId="52A04053" w14:textId="77777777" w:rsidR="004D0EAB" w:rsidRDefault="004D0EAB" w:rsidP="004D0EAB">
      <w:pPr>
        <w:rPr>
          <w:color w:val="000000"/>
        </w:rPr>
      </w:pPr>
      <w:r>
        <w:rPr>
          <w:color w:val="000000"/>
        </w:rPr>
        <w:t xml:space="preserve">This essay will describe the business communication of British business. The cultural difference between the two different European countries will be described in the context of the study. The barriers of communication associated with British business will be described here exquisitely. This study will recommend the strategies to expand the business. This is associated with the development of an organisation. British business communication are ways to expand the business globally. The business communication of British is considered to be associated with the various trends of businesses which are considered to be professional. This must be balanced with the basic politeness and strategy to mitigate all drawbacks associated with communication. The business communication which is called British business communication is considered to be a kind of communication which is found to be intended to avail business to meet goals.  By communicating, the organisations of Britain can share their values, vision and mission with their employees.   </w:t>
      </w:r>
    </w:p>
    <w:p w14:paraId="3B6764DE" w14:textId="77777777" w:rsidR="004D0EAB" w:rsidRDefault="004D0EAB" w:rsidP="004D0EAB">
      <w:pPr>
        <w:rPr>
          <w:b/>
          <w:color w:val="000000"/>
        </w:rPr>
      </w:pPr>
    </w:p>
    <w:p w14:paraId="68029AD5" w14:textId="77777777" w:rsidR="004D0EAB" w:rsidRDefault="004D0EAB" w:rsidP="004D0EAB">
      <w:pPr>
        <w:rPr>
          <w:b/>
          <w:color w:val="000000"/>
        </w:rPr>
      </w:pPr>
    </w:p>
    <w:p w14:paraId="68D09E72" w14:textId="08957051" w:rsidR="004D0EAB" w:rsidRDefault="004D0EAB" w:rsidP="004D0EAB">
      <w:pPr>
        <w:rPr>
          <w:b/>
          <w:color w:val="000000"/>
        </w:rPr>
      </w:pPr>
      <w:bookmarkStart w:id="0" w:name="_Hlk171882323"/>
      <w:r>
        <w:rPr>
          <w:b/>
          <w:color w:val="000000"/>
        </w:rPr>
        <w:t>Discussion</w:t>
      </w:r>
    </w:p>
    <w:p w14:paraId="265B63A4" w14:textId="77777777" w:rsidR="004D0EAB" w:rsidRDefault="004D0EAB" w:rsidP="004D0EAB">
      <w:pPr>
        <w:rPr>
          <w:b/>
          <w:i/>
          <w:color w:val="000000"/>
        </w:rPr>
      </w:pPr>
      <w:bookmarkStart w:id="1" w:name="_Hlk171882368"/>
      <w:bookmarkEnd w:id="0"/>
      <w:r>
        <w:rPr>
          <w:b/>
          <w:i/>
          <w:color w:val="000000"/>
        </w:rPr>
        <w:t xml:space="preserve">Overview of the organisation </w:t>
      </w:r>
    </w:p>
    <w:bookmarkEnd w:id="1"/>
    <w:p w14:paraId="1B0A5775" w14:textId="77777777" w:rsidR="004D0EAB" w:rsidRDefault="004D0EAB" w:rsidP="004D0EAB">
      <w:pPr>
        <w:rPr>
          <w:color w:val="000000"/>
        </w:rPr>
      </w:pPr>
      <w:r>
        <w:rPr>
          <w:color w:val="000000"/>
          <w:highlight w:val="white"/>
        </w:rPr>
        <w:t xml:space="preserve">Reckitt Benckiser Group plc is widely known as a consumer goods company of the UK. This company has headquarters in Slough, (Englandreckitt.com, 2024). This company is found to follow the hierarchical structure. The market structure of Reckitt Benckiser is completely oligopolistic. This company has some competitors which are: ASDA, Sainsbury Plc, Morrisons and others. The year of foundation of this Reckitt Benckiser was 1841. Isaac Reckitt is widely known as the creator of this specific company. This company is developed by the chairman whose name is Christopher A. Sinclair. This company wants to expand its business in the competitive markets of Finland and Greece. Kris Licht is the present CEO of this retail organisation. Of late, a total of 40,000 workers are permanently working in this company. The aim of the company is to provide consumer satisfaction and create profit. Reckitt Benckiser is found to target the working people and the people whose ages are between 18 to 55. This company is found to focuses on the several objectives such as to satisfy employees, to inches profit, to develop productivity and to improve the overall performance. </w:t>
      </w:r>
    </w:p>
    <w:p w14:paraId="76C9E4EA" w14:textId="77777777" w:rsidR="004D0EAB" w:rsidRDefault="004D0EAB" w:rsidP="004D0EAB">
      <w:pPr>
        <w:rPr>
          <w:b/>
          <w:i/>
          <w:color w:val="000000"/>
        </w:rPr>
      </w:pPr>
      <w:r>
        <w:rPr>
          <w:b/>
          <w:i/>
          <w:color w:val="000000"/>
        </w:rPr>
        <w:t xml:space="preserve">Evaluating the cultural differences between two EU countries </w:t>
      </w:r>
    </w:p>
    <w:p w14:paraId="3A5FD4CD" w14:textId="77777777" w:rsidR="004D0EAB" w:rsidRDefault="004D0EAB" w:rsidP="004D0EAB">
      <w:pPr>
        <w:rPr>
          <w:color w:val="000000"/>
          <w:highlight w:val="white"/>
        </w:rPr>
      </w:pPr>
      <w:r>
        <w:rPr>
          <w:color w:val="000000"/>
          <w:highlight w:val="white"/>
        </w:rPr>
        <w:t xml:space="preserve">As acknowledged by Waton and Amelia (2022), Reckitt Benckiser is trying to expand its business into the markets of Finland and Greece. Finland is considered to be a country of northern Europe and Greece is a country of southern Europe. This difference of culture of these </w:t>
      </w:r>
      <w:r>
        <w:rPr>
          <w:color w:val="000000"/>
          <w:highlight w:val="white"/>
        </w:rPr>
        <w:lastRenderedPageBreak/>
        <w:t xml:space="preserve">two EU countries is dependent on the Hofstede model. This model is composed of six crucial dimensions. The power distance index is found to show the equality maintenance in the culture. The rate of the power distance in Greece is 60 and the rate of the power distance in Finland is 33. This is proving that the culture of Greece is maintaining equality more than Finland. The second index is the Uncertainty avoidance index. The rate of avoidance of uncertainty in Finland is 59 and the rate of Greece is 100. This is proving that the capability of Greece to avoid uncertainty associated with culture is more that the capability of Finland. Individualism is considered to be the index associated with the model of Hofstede. The rate of Finland connected to individualism is 75 and the rate of the individualism of Greece is 59. This proves that Finland is an individualist society than Greece which means this county is both masculinity and femininity oriented. The fourth index associated with this model is the motivation towards the basic achievement of and success. From this perspective the rate of Finland is 75 and the rate of Greece is 59. This means the rate of the motivation associated with culture is higher than that of Greece. The gift index is considered to be the orientation which is long term orientation. As per this perspective Finland is found to score 63 and Greece scores 51. As opined by Wang, Liu and Parker (2020), this is found to show that Finland has the ability to make itself stronger in the changing culture than that of Greece. The last and the final index of this model created by Hofstede is indulgence. The overall rate or score of Finland from this perspective is 57 and the score of Greece is 50. This is proving that the capability of Finland to undergo indulgence is more than the capability of Greece. </w:t>
      </w:r>
    </w:p>
    <w:p w14:paraId="0973969D" w14:textId="77777777" w:rsidR="004D0EAB" w:rsidRDefault="004D0EAB" w:rsidP="004D0EAB">
      <w:pPr>
        <w:rPr>
          <w:color w:val="000000"/>
          <w:highlight w:val="white"/>
        </w:rPr>
      </w:pPr>
      <w:r>
        <w:rPr>
          <w:color w:val="000000"/>
          <w:highlight w:val="white"/>
        </w:rPr>
        <w:t xml:space="preserve">This Reckitt Benckiser company is considering the option to enter Finland because this country maintains equality between both male and females and this is considered to be important for the market development of this company. In fact, this county has the capability to indulge and thus this county can develop its culture by creating proper environments which are good for the business. As reported by Mainga, Daniel and Alamil (2022), this environment is called the business environment. Hence, this company wants to enter Finland. Greece is considered to be a successful country for cultural motivation and this can attract consumers. Therefore, Reckitt Benckiser wants to enter into the Greek market Greece. This will be only for the positive culture and the business environment of Greece. This company is entering these two countries because of the high literacy rate of these two counties. The high literacy is convenient for Reckitt Benckiser because the company can target literate consumers and make them understand their products which can increase their sales.  </w:t>
      </w:r>
    </w:p>
    <w:p w14:paraId="3265CC38" w14:textId="77777777" w:rsidR="004D0EAB" w:rsidRDefault="004D0EAB" w:rsidP="004D0EAB">
      <w:pPr>
        <w:rPr>
          <w:color w:val="000000"/>
          <w:highlight w:val="white"/>
        </w:rPr>
      </w:pPr>
    </w:p>
    <w:p w14:paraId="06584941" w14:textId="77777777" w:rsidR="004D0EAB" w:rsidRDefault="004D0EAB" w:rsidP="004D0EAB">
      <w:pPr>
        <w:rPr>
          <w:color w:val="000000"/>
          <w:highlight w:val="white"/>
        </w:rPr>
      </w:pPr>
    </w:p>
    <w:p w14:paraId="03FEEBFA" w14:textId="77777777" w:rsidR="004D0EAB" w:rsidRDefault="004D0EAB" w:rsidP="004D0EAB">
      <w:pPr>
        <w:rPr>
          <w:color w:val="000000"/>
          <w:highlight w:val="white"/>
        </w:rPr>
      </w:pPr>
    </w:p>
    <w:p w14:paraId="65AF937C" w14:textId="77777777" w:rsidR="004D0EAB" w:rsidRDefault="004D0EAB" w:rsidP="004D0EAB">
      <w:pPr>
        <w:jc w:val="center"/>
        <w:rPr>
          <w:color w:val="000000"/>
        </w:rPr>
      </w:pPr>
      <w:r>
        <w:rPr>
          <w:noProof/>
          <w:color w:val="000000"/>
        </w:rPr>
        <w:drawing>
          <wp:inline distT="114300" distB="114300" distL="114300" distR="114300" wp14:anchorId="421C9E42" wp14:editId="2659B009">
            <wp:extent cx="4160155" cy="3027709"/>
            <wp:effectExtent l="12700" t="12700" r="12700" b="12700"/>
            <wp:docPr id="2" name="image1.png" descr="A graph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graph with text on it&#10;&#10;Description automatically generated"/>
                    <pic:cNvPicPr preferRelativeResize="0"/>
                  </pic:nvPicPr>
                  <pic:blipFill>
                    <a:blip r:embed="rId6"/>
                    <a:srcRect/>
                    <a:stretch>
                      <a:fillRect/>
                    </a:stretch>
                  </pic:blipFill>
                  <pic:spPr>
                    <a:xfrm>
                      <a:off x="0" y="0"/>
                      <a:ext cx="4160155" cy="3027709"/>
                    </a:xfrm>
                    <a:prstGeom prst="rect">
                      <a:avLst/>
                    </a:prstGeom>
                    <a:ln w="12700">
                      <a:solidFill>
                        <a:srgbClr val="000000"/>
                      </a:solidFill>
                      <a:prstDash val="solid"/>
                    </a:ln>
                  </pic:spPr>
                </pic:pic>
              </a:graphicData>
            </a:graphic>
          </wp:inline>
        </w:drawing>
      </w:r>
    </w:p>
    <w:p w14:paraId="1BB9E8B2" w14:textId="77777777" w:rsidR="004D0EAB" w:rsidRDefault="004D0EAB" w:rsidP="004D0EAB">
      <w:pPr>
        <w:jc w:val="center"/>
        <w:rPr>
          <w:b/>
          <w:color w:val="000000"/>
        </w:rPr>
      </w:pPr>
      <w:r>
        <w:rPr>
          <w:b/>
          <w:color w:val="000000"/>
        </w:rPr>
        <w:t>Figure: the cultural difference between Finland and Greece</w:t>
      </w:r>
    </w:p>
    <w:p w14:paraId="4620B6AD" w14:textId="77777777" w:rsidR="004D0EAB" w:rsidRDefault="004D0EAB" w:rsidP="004D0EAB">
      <w:pPr>
        <w:jc w:val="center"/>
        <w:rPr>
          <w:color w:val="000000"/>
        </w:rPr>
      </w:pPr>
      <w:r>
        <w:rPr>
          <w:color w:val="000000"/>
          <w:highlight w:val="white"/>
        </w:rPr>
        <w:t>(Source: hofstede-insights.com, 2024).</w:t>
      </w:r>
    </w:p>
    <w:p w14:paraId="700CE5A8" w14:textId="77777777" w:rsidR="004D0EAB" w:rsidRDefault="004D0EAB" w:rsidP="004D0EAB">
      <w:pPr>
        <w:rPr>
          <w:b/>
          <w:i/>
          <w:color w:val="000000"/>
        </w:rPr>
      </w:pPr>
      <w:r>
        <w:rPr>
          <w:color w:val="000000"/>
          <w:highlight w:val="white"/>
        </w:rPr>
        <w:t xml:space="preserve">As stated by Whittle, Vaara and Maitlis (2023), the Jandt model is found to show the basic communication which is called the intercultural communication. Integrating the ICC into a culture dimension, incorporating culture, material and the various approaches connected to the promotion of the skills associated with communication. This model is found to be used to reduce the stereotyping of the culture and help to boost culture by lessening the superstition, prejudice and misunderstanding. This model shows that Reckitt Benckiser is entering these two crucial countries by analysing the cultural factors of these two factors which are considered to be important. This model is found to be signified as the propaganda of these several cultural factors of Finland. This model is helping to identify the factors of the culture so that the difference of the cultures can be identified between the two countries which are: Finland and Greece. This model shows the interaction between the people of two different cultures.   </w:t>
      </w:r>
    </w:p>
    <w:p w14:paraId="39D363EE" w14:textId="77777777" w:rsidR="004D0EAB" w:rsidRDefault="004D0EAB" w:rsidP="004D0EAB">
      <w:pPr>
        <w:rPr>
          <w:b/>
          <w:i/>
          <w:color w:val="000000"/>
        </w:rPr>
      </w:pPr>
      <w:bookmarkStart w:id="2" w:name="_Hlk171882708"/>
      <w:r>
        <w:rPr>
          <w:b/>
          <w:i/>
          <w:color w:val="000000"/>
        </w:rPr>
        <w:t xml:space="preserve">Analysing the barriers of communication in the business </w:t>
      </w:r>
    </w:p>
    <w:bookmarkEnd w:id="2"/>
    <w:p w14:paraId="7DAD6BB6" w14:textId="77777777" w:rsidR="004D0EAB" w:rsidRDefault="004D0EAB" w:rsidP="004D0EAB">
      <w:pPr>
        <w:rPr>
          <w:color w:val="000000"/>
          <w:highlight w:val="white"/>
        </w:rPr>
      </w:pPr>
      <w:r>
        <w:rPr>
          <w:color w:val="000000"/>
          <w:highlight w:val="white"/>
        </w:rPr>
        <w:t xml:space="preserve">There are several barriers of communication for this British Business of Reckitt Benckiser Group Plc. The business sometimes will get impacted due to overloading of information. The complicated speeches and long emails can cause a lot of confusion. A lot of information will be unsegmented in a shorter time period. This business will suffer from the barriers of languages. As English is considered as the global business language so if the employees will interact in other languages, then this business will possess difficulty in understanding those.  Hence the information will not be conveyed and this will cause a lot of confusion (Adanlawo, </w:t>
      </w:r>
      <w:r>
        <w:rPr>
          <w:color w:val="000000"/>
          <w:highlight w:val="white"/>
        </w:rPr>
        <w:lastRenderedPageBreak/>
        <w:t xml:space="preserve">Reddy and Rugbeer, 2021). The miscommunication will arise due to severe language gaps and due to this the overall business productivity goes down. The productivity and business performance always depends on good communication so if there are language barriers that will cause hindrance in effective communication. As per the opinion of Yusof and Rahmat (2020), the emotions can also develop some miscommunication as the employees can process in a different way some information and feel anxious to share it with others. Hence, this causes less communication and downfall in the overall business performance. In addition to this, the physical barriers will also create some communication inefficiencies. For this business to interact with the remote employees it becomes difficult. Due to this less interaction process the remote employees will get impacted as they cannot understand the information clearly (Midha, 2020). The employee communication further will get affected due to the physiological barriers. There will be trouble for the employees to process the information effectively. The physiological barriers include - trees, social anxiety, anger, and self-esteem that will cause hindrances among the employees to express their opinions and ideas freely. Due to these physiological barriers the employees will not share their views in the company and the communication process will get disrupted. On the other hand, the employee disengagement is another factor which will cause barriers to efficient communication. As stated by McPhail </w:t>
      </w:r>
      <w:r>
        <w:rPr>
          <w:i/>
          <w:color w:val="000000"/>
          <w:highlight w:val="white"/>
        </w:rPr>
        <w:t>et al.</w:t>
      </w:r>
      <w:r>
        <w:rPr>
          <w:color w:val="000000"/>
          <w:highlight w:val="white"/>
        </w:rPr>
        <w:t xml:space="preserve"> (2022), the employees in Reckitt Benckiser Group Plc will feel disengaged to perform their task. Hence, due to this disengagement, they will not interact with their peers and managers efficiently and this is another communication barrier. Every employee has a unique culture so the differences in culture will affect the process of communication. The employees with various cultural backgrounds will communicate using various styles. Their language, words, gestures, and phrases might differ as the culture is shaping the employees’ attitudes as per the conflict. Several conflicting situations will tend to arise due to these cultural barriers which will impact on the interaction of the employees in this company. In order to efficiently communicate the employees will lack trust so this is another barrier for enabling the communication (Gurbanov, Mammedov and Beglekov, 2024). Due to mistrust several employees will not feel the need to communicate and perform the tasks. Lastly, the lack of a unified channel is another significant barrier for the employees to communicate essentially. If the company will be focusing on only one angle channel for interaction, several vital pieces of information will be missed which will negatively impact the performance of the employees. </w:t>
      </w:r>
    </w:p>
    <w:p w14:paraId="010A258C" w14:textId="77777777" w:rsidR="004D0EAB" w:rsidRDefault="004D0EAB" w:rsidP="004D0EAB">
      <w:pPr>
        <w:rPr>
          <w:b/>
          <w:i/>
          <w:color w:val="000000"/>
        </w:rPr>
      </w:pPr>
      <w:bookmarkStart w:id="3" w:name="_Hlk171882462"/>
      <w:r>
        <w:rPr>
          <w:b/>
          <w:i/>
          <w:color w:val="000000"/>
        </w:rPr>
        <w:t>Recommendation to expand British business</w:t>
      </w:r>
    </w:p>
    <w:bookmarkEnd w:id="3"/>
    <w:p w14:paraId="7D4F2C38" w14:textId="77777777" w:rsidR="004D0EAB" w:rsidRDefault="004D0EAB" w:rsidP="004D0EAB">
      <w:pPr>
        <w:rPr>
          <w:color w:val="000000"/>
        </w:rPr>
      </w:pPr>
      <w:r>
        <w:rPr>
          <w:color w:val="000000"/>
        </w:rPr>
        <w:t xml:space="preserve">As acknowledged by </w:t>
      </w:r>
      <w:r>
        <w:rPr>
          <w:color w:val="000000"/>
          <w:highlight w:val="white"/>
        </w:rPr>
        <w:t xml:space="preserve">Tursunovich (2023), </w:t>
      </w:r>
      <w:r>
        <w:rPr>
          <w:color w:val="000000"/>
        </w:rPr>
        <w:t xml:space="preserve">the business of this </w:t>
      </w:r>
      <w:r>
        <w:rPr>
          <w:color w:val="000000"/>
          <w:highlight w:val="white"/>
        </w:rPr>
        <w:t xml:space="preserve">Reckitt Benckiser company is trying to expand its business. Some recommendations are followed by this company to expand </w:t>
      </w:r>
      <w:r>
        <w:rPr>
          <w:color w:val="000000"/>
          <w:highlight w:val="white"/>
        </w:rPr>
        <w:lastRenderedPageBreak/>
        <w:t xml:space="preserve">business. Outsourcing the pivotal functions of the business can help this company to expand business in these two counties by the name of Finland and This is considered to be a vital recommendation which is considered to be followed by Reckitt Benckiser. Another recommendation to expand the business is to manage and hire staff from those countries in which this company is trying to enter. This recommendation is found to be followed by Reckitt Benckiser. As opined by Adisa, Ogbonnaya and Adekoya (2023), communicating with global staff can help this company to expand its business and this is recommended for this specific retail company by the name of Reckitt Benckiser. Understanding the consumers of both Finland can be a crucial recommendation for this consumer goods company to expand its business. Making connections to the remote employee can be an effective recommendation for expanding the business and this is being followed by Reckitt Benckiser. As opined by Abbasian and Modarresi (2022), acquiring business can be a vital recommendation for expanding business which is important. Exporting products to Finland and Greece can make the way of entering this company to these countries broad. This is called a vital recommendation for developing the expansion of this business. Franchising and the licensing are two recommendations for increasing followed by Reckitt Benckiser for expanding its business to the way of success. These are considered to be some recommendations which can help this business to expand and these all are inter associated with one another. These all recommendations are also used as strategies of the expansion of the business which is crucial.  </w:t>
      </w:r>
    </w:p>
    <w:p w14:paraId="616061AB" w14:textId="77777777" w:rsidR="004D0EAB" w:rsidRDefault="004D0EAB" w:rsidP="004D0EAB">
      <w:pPr>
        <w:rPr>
          <w:b/>
          <w:i/>
          <w:color w:val="000000"/>
        </w:rPr>
      </w:pPr>
      <w:bookmarkStart w:id="4" w:name="_Hlk171882776"/>
      <w:r>
        <w:rPr>
          <w:b/>
          <w:i/>
          <w:color w:val="000000"/>
        </w:rPr>
        <w:t xml:space="preserve">Analysing strategies to mitigate the challenges of communication and making a good work environment </w:t>
      </w:r>
    </w:p>
    <w:bookmarkEnd w:id="4"/>
    <w:p w14:paraId="498FD621" w14:textId="77777777" w:rsidR="004D0EAB" w:rsidRDefault="004D0EAB" w:rsidP="004D0EAB">
      <w:pPr>
        <w:rPr>
          <w:b/>
          <w:color w:val="000000"/>
        </w:rPr>
      </w:pPr>
      <w:r>
        <w:rPr>
          <w:color w:val="000000"/>
        </w:rPr>
        <w:t xml:space="preserve">As reported by </w:t>
      </w:r>
      <w:r>
        <w:rPr>
          <w:color w:val="000000"/>
          <w:highlight w:val="white"/>
        </w:rPr>
        <w:t xml:space="preserve">Wang </w:t>
      </w:r>
      <w:r>
        <w:rPr>
          <w:i/>
          <w:color w:val="000000"/>
          <w:highlight w:val="white"/>
        </w:rPr>
        <w:t>et al</w:t>
      </w:r>
      <w:r>
        <w:rPr>
          <w:color w:val="000000"/>
          <w:highlight w:val="white"/>
        </w:rPr>
        <w:t xml:space="preserve">. (2020), </w:t>
      </w:r>
      <w:r>
        <w:rPr>
          <w:color w:val="000000"/>
        </w:rPr>
        <w:t>providing feedback to all the workers to communicate with them is considered to be a strategy used by Reckitt</w:t>
      </w:r>
      <w:r>
        <w:rPr>
          <w:color w:val="000000"/>
          <w:highlight w:val="white"/>
        </w:rPr>
        <w:t xml:space="preserve"> Benckiser to overcome the problem associated with the business communication. Creating good relationships can help to improve communication and </w:t>
      </w:r>
      <w:r>
        <w:rPr>
          <w:color w:val="000000"/>
        </w:rPr>
        <w:t>Reckitt</w:t>
      </w:r>
      <w:r>
        <w:rPr>
          <w:color w:val="000000"/>
          <w:highlight w:val="white"/>
        </w:rPr>
        <w:t xml:space="preserve"> Benckiser is found to use this strategy to remove the obstacles connected to communication. Using communication tools such as AI and others can remove the barriers of communication. Managing conflict in a manner which is sophisticated and exquisite can help this company to obliterate the barriers or problems of communication. Using clear and well as concise language by </w:t>
      </w:r>
      <w:r>
        <w:rPr>
          <w:color w:val="000000"/>
        </w:rPr>
        <w:t>Reckitt</w:t>
      </w:r>
      <w:r>
        <w:rPr>
          <w:color w:val="000000"/>
          <w:highlight w:val="white"/>
        </w:rPr>
        <w:t xml:space="preserve"> Benckiser to communicate with others can make the communication associated with business prominent and eradicate the barriers of communication. As acknowledged by Sanders (2020), conducting organisational team meetings and managing global staff can be considered to be two crucial strategies associated with the removal of the communication barriers. Communicating with remote employees by </w:t>
      </w:r>
      <w:r>
        <w:rPr>
          <w:color w:val="000000"/>
          <w:highlight w:val="white"/>
        </w:rPr>
        <w:lastRenderedPageBreak/>
        <w:t>using online applications can help this company to alleviate the barriers associated with the communication. Avoiding the assumption is con</w:t>
      </w:r>
    </w:p>
    <w:p w14:paraId="2E16973E" w14:textId="77777777" w:rsidR="004D0EAB" w:rsidRDefault="004D0EAB" w:rsidP="004D0EAB">
      <w:pPr>
        <w:rPr>
          <w:color w:val="000000"/>
          <w:highlight w:val="white"/>
        </w:rPr>
      </w:pPr>
      <w:r>
        <w:rPr>
          <w:color w:val="000000"/>
          <w:highlight w:val="white"/>
        </w:rPr>
        <w:t xml:space="preserve">sidered to be a strategy or way to mitigate the barriers of communication which can be found while </w:t>
      </w:r>
      <w:r>
        <w:rPr>
          <w:color w:val="000000"/>
        </w:rPr>
        <w:t>Reckitt</w:t>
      </w:r>
      <w:r>
        <w:rPr>
          <w:color w:val="000000"/>
          <w:highlight w:val="white"/>
        </w:rPr>
        <w:t xml:space="preserve"> Benckiser will enter into the two countries which are Greece and Finland. Knowing the audience is seen to be a vital strategy associated with the solution of the barriers related to communication. As opined by Gossel (2024), these are considered to be some strategies used by </w:t>
      </w:r>
      <w:r>
        <w:rPr>
          <w:color w:val="000000"/>
        </w:rPr>
        <w:t>Reckitt</w:t>
      </w:r>
      <w:r>
        <w:rPr>
          <w:color w:val="000000"/>
          <w:highlight w:val="white"/>
        </w:rPr>
        <w:t xml:space="preserve"> Benckiser to mitigate the obstacles or problems of communication. This is important for the development of </w:t>
      </w:r>
      <w:r>
        <w:rPr>
          <w:color w:val="000000"/>
        </w:rPr>
        <w:t>Reckitt</w:t>
      </w:r>
      <w:r>
        <w:rPr>
          <w:color w:val="000000"/>
          <w:highlight w:val="white"/>
        </w:rPr>
        <w:t xml:space="preserve"> Benckiser and leading this company to the way of prosperity. </w:t>
      </w:r>
    </w:p>
    <w:p w14:paraId="33B4E48A" w14:textId="77777777" w:rsidR="004D0EAB" w:rsidRDefault="004D0EAB" w:rsidP="004D0EAB">
      <w:pPr>
        <w:rPr>
          <w:color w:val="000000"/>
          <w:highlight w:val="white"/>
        </w:rPr>
      </w:pPr>
      <w:r>
        <w:rPr>
          <w:color w:val="000000"/>
          <w:highlight w:val="white"/>
        </w:rPr>
        <w:t xml:space="preserve">This company is seen to utilise some strategies to create an amicable environment of the workplace. Motivating all employees to satisfy them can be a strategy to create a better workplace. Keeping the communication open and honest is widely known as a strategy to develop a work environment and this will be used by </w:t>
      </w:r>
      <w:r>
        <w:rPr>
          <w:color w:val="000000"/>
        </w:rPr>
        <w:t>Reckitt</w:t>
      </w:r>
      <w:r>
        <w:rPr>
          <w:color w:val="000000"/>
          <w:highlight w:val="white"/>
        </w:rPr>
        <w:t xml:space="preserve"> Benckiser. Collaborating with all the staff and motivating them the manager of this company can create a better working ambience. As stated by Cornelissen (2023), this is now introduced as a strategy for a better workplace. Smooth staff onboarding process is called a strategy to provide all the staff a better work environment in which all the staff can work together. Providing protection to all members can be a strategy of creating an ambience of the workplace that is totally better from normal working ambience. Involving all the employees into decision making individually will also be a strategy to evoke a better workplace environment. These are considered to be some strategies associated with the reaction of the better working ambience in </w:t>
      </w:r>
      <w:r>
        <w:rPr>
          <w:color w:val="000000"/>
        </w:rPr>
        <w:t>Reckitt</w:t>
      </w:r>
      <w:r>
        <w:rPr>
          <w:color w:val="000000"/>
          <w:highlight w:val="white"/>
        </w:rPr>
        <w:t xml:space="preserve"> Benckiser. These all strategies of a proper working environment have a strong interconnection. </w:t>
      </w:r>
    </w:p>
    <w:p w14:paraId="3DB052C2" w14:textId="77777777" w:rsidR="004D0EAB" w:rsidRDefault="004D0EAB" w:rsidP="004D0EAB">
      <w:pPr>
        <w:rPr>
          <w:b/>
          <w:color w:val="000000"/>
        </w:rPr>
      </w:pPr>
      <w:r>
        <w:rPr>
          <w:b/>
          <w:color w:val="000000"/>
        </w:rPr>
        <w:t>Conclusion</w:t>
      </w:r>
    </w:p>
    <w:p w14:paraId="3063A10A" w14:textId="77777777" w:rsidR="004D0EAB" w:rsidRDefault="004D0EAB" w:rsidP="004D0EAB">
      <w:pPr>
        <w:rPr>
          <w:b/>
          <w:color w:val="000000"/>
        </w:rPr>
      </w:pPr>
      <w:r>
        <w:rPr>
          <w:color w:val="000000"/>
        </w:rPr>
        <w:t>Analysing the above study has concluded that business communication is important for Reckitt</w:t>
      </w:r>
      <w:r>
        <w:rPr>
          <w:b/>
          <w:color w:val="000000"/>
          <w:highlight w:val="white"/>
        </w:rPr>
        <w:t xml:space="preserve"> </w:t>
      </w:r>
      <w:r>
        <w:rPr>
          <w:color w:val="000000"/>
          <w:highlight w:val="white"/>
        </w:rPr>
        <w:t xml:space="preserve">Benckiser which is a consumer goods company of the UK. This company is maintaining the hierarchical structure and creating cultural differences between Greece and Finland. This cultural difference has been predicted to challenge the process of entering the competitive market of these two countries. Some barriers of communication have been found in this company which are the overloading of data, the emotion and the less interaction method with the employees who are working remotely. Some strategies used by this company to create better working ambience have included collaboration and communication with all the employees, satisfying employees, engaging staff, improving the process of staff onboarding and others. There have been some strategies associated with the mitigation of the barriers of </w:t>
      </w:r>
      <w:r>
        <w:rPr>
          <w:color w:val="000000"/>
          <w:highlight w:val="white"/>
        </w:rPr>
        <w:lastRenderedPageBreak/>
        <w:t xml:space="preserve">communication just as the conduction of weekly team meetings, the development of communication skills and creation of rapport with remote employees.  </w:t>
      </w:r>
    </w:p>
    <w:p w14:paraId="7925B7D3" w14:textId="77777777" w:rsidR="004D0EAB" w:rsidRDefault="004D0EAB" w:rsidP="004D0EAB">
      <w:pPr>
        <w:rPr>
          <w:b/>
          <w:color w:val="000000"/>
          <w:highlight w:val="white"/>
        </w:rPr>
      </w:pPr>
      <w:r>
        <w:br w:type="page"/>
      </w:r>
      <w:r>
        <w:rPr>
          <w:b/>
          <w:color w:val="000000"/>
          <w:highlight w:val="white"/>
        </w:rPr>
        <w:lastRenderedPageBreak/>
        <w:t>References</w:t>
      </w:r>
    </w:p>
    <w:p w14:paraId="370A0686" w14:textId="77777777" w:rsidR="004D0EAB" w:rsidRDefault="004D0EAB" w:rsidP="004D0EAB">
      <w:pPr>
        <w:rPr>
          <w:color w:val="000000"/>
          <w:highlight w:val="white"/>
        </w:rPr>
      </w:pPr>
      <w:r>
        <w:rPr>
          <w:color w:val="000000"/>
          <w:highlight w:val="white"/>
        </w:rPr>
        <w:t xml:space="preserve">Abbasian, M. and Modarresi, G., (2022). Tapping into software for oral communication: A comparative study of Adobe Connect and Skype. </w:t>
      </w:r>
      <w:r>
        <w:rPr>
          <w:i/>
          <w:color w:val="000000"/>
          <w:highlight w:val="white"/>
        </w:rPr>
        <w:t>Journal of Business, Communication &amp; Technology</w:t>
      </w:r>
      <w:r>
        <w:rPr>
          <w:color w:val="000000"/>
          <w:highlight w:val="white"/>
        </w:rPr>
        <w:t xml:space="preserve">, </w:t>
      </w:r>
      <w:r>
        <w:rPr>
          <w:i/>
          <w:color w:val="000000"/>
          <w:highlight w:val="white"/>
        </w:rPr>
        <w:t>1</w:t>
      </w:r>
      <w:r>
        <w:rPr>
          <w:color w:val="000000"/>
          <w:highlight w:val="white"/>
        </w:rPr>
        <w:t>(2), pp.34-43.</w:t>
      </w:r>
    </w:p>
    <w:p w14:paraId="16A919AD" w14:textId="77777777" w:rsidR="004D0EAB" w:rsidRDefault="004D0EAB" w:rsidP="004D0EAB">
      <w:pPr>
        <w:rPr>
          <w:color w:val="000000"/>
          <w:highlight w:val="white"/>
        </w:rPr>
      </w:pPr>
      <w:r>
        <w:rPr>
          <w:color w:val="000000"/>
          <w:highlight w:val="white"/>
        </w:rPr>
        <w:t xml:space="preserve">Adanlawo, E.F., Reddy, M.M. and Rugbeer, H., (2021). Intercultural business communication: The implications of language barriers. </w:t>
      </w:r>
      <w:r>
        <w:rPr>
          <w:i/>
          <w:color w:val="000000"/>
          <w:highlight w:val="white"/>
        </w:rPr>
        <w:t>Psychology and Education Journal</w:t>
      </w:r>
      <w:r>
        <w:rPr>
          <w:color w:val="000000"/>
          <w:highlight w:val="white"/>
        </w:rPr>
        <w:t xml:space="preserve">, </w:t>
      </w:r>
      <w:r>
        <w:rPr>
          <w:i/>
          <w:color w:val="000000"/>
          <w:highlight w:val="white"/>
        </w:rPr>
        <w:t>58</w:t>
      </w:r>
      <w:r>
        <w:rPr>
          <w:color w:val="000000"/>
          <w:highlight w:val="white"/>
        </w:rPr>
        <w:t>(5), pp.6281-6290.</w:t>
      </w:r>
    </w:p>
    <w:p w14:paraId="704AB0E6" w14:textId="77777777" w:rsidR="004D0EAB" w:rsidRDefault="004D0EAB" w:rsidP="004D0EAB">
      <w:pPr>
        <w:rPr>
          <w:color w:val="000000"/>
          <w:highlight w:val="white"/>
        </w:rPr>
      </w:pPr>
      <w:r>
        <w:rPr>
          <w:color w:val="000000"/>
          <w:highlight w:val="white"/>
        </w:rPr>
        <w:t xml:space="preserve">Adisa, T.A., Ogbonnaya, C. and Adekoya, O.D., (2023). Remote working and employee engagement: a qualitative study of British workers during the pandemic. </w:t>
      </w:r>
      <w:r>
        <w:rPr>
          <w:i/>
          <w:color w:val="000000"/>
          <w:highlight w:val="white"/>
        </w:rPr>
        <w:t>Information Technology &amp; People</w:t>
      </w:r>
      <w:r>
        <w:rPr>
          <w:color w:val="000000"/>
          <w:highlight w:val="white"/>
        </w:rPr>
        <w:t xml:space="preserve">, </w:t>
      </w:r>
      <w:r>
        <w:rPr>
          <w:i/>
          <w:color w:val="000000"/>
          <w:highlight w:val="white"/>
        </w:rPr>
        <w:t>36</w:t>
      </w:r>
      <w:r>
        <w:rPr>
          <w:color w:val="000000"/>
          <w:highlight w:val="white"/>
        </w:rPr>
        <w:t>(5), pp.1835-1850.</w:t>
      </w:r>
    </w:p>
    <w:p w14:paraId="7C716A73" w14:textId="77777777" w:rsidR="004D0EAB" w:rsidRDefault="004D0EAB" w:rsidP="004D0EAB">
      <w:pPr>
        <w:rPr>
          <w:color w:val="000000"/>
          <w:highlight w:val="white"/>
        </w:rPr>
      </w:pPr>
      <w:r>
        <w:rPr>
          <w:color w:val="000000"/>
          <w:highlight w:val="white"/>
        </w:rPr>
        <w:t>Cornelissen, J.P., (2023). Corporate communication: A guide to theory and practice.</w:t>
      </w:r>
    </w:p>
    <w:p w14:paraId="260DCA92" w14:textId="77777777" w:rsidR="004D0EAB" w:rsidRDefault="004D0EAB" w:rsidP="004D0EAB">
      <w:pPr>
        <w:rPr>
          <w:color w:val="000000"/>
          <w:highlight w:val="white"/>
        </w:rPr>
      </w:pPr>
      <w:r>
        <w:rPr>
          <w:color w:val="000000"/>
          <w:highlight w:val="white"/>
        </w:rPr>
        <w:t xml:space="preserve">Gossel, B.M., (2024). Analogies in entrepreneurial communication and strategic communication: definition, delimitation of research programs and future research. In </w:t>
      </w:r>
      <w:r>
        <w:rPr>
          <w:i/>
          <w:color w:val="000000"/>
          <w:highlight w:val="white"/>
        </w:rPr>
        <w:t>Start-up and Entrepreneurial Communication</w:t>
      </w:r>
      <w:r>
        <w:rPr>
          <w:color w:val="000000"/>
          <w:highlight w:val="white"/>
        </w:rPr>
        <w:t xml:space="preserve"> (pp. 11-33). Routledge.</w:t>
      </w:r>
    </w:p>
    <w:p w14:paraId="7A210233" w14:textId="77777777" w:rsidR="004D0EAB" w:rsidRDefault="004D0EAB" w:rsidP="004D0EAB">
      <w:pPr>
        <w:rPr>
          <w:color w:val="000000"/>
          <w:highlight w:val="white"/>
        </w:rPr>
      </w:pPr>
      <w:r>
        <w:rPr>
          <w:color w:val="000000"/>
          <w:highlight w:val="white"/>
        </w:rPr>
        <w:t xml:space="preserve">Gurbanov, M.M., Mammedov, N. and Beglekov, A., (2024). BARRIERS TO COMMUNICATION IN BUSINESS MANAGEMENT AND HOW TO OVERCOME THEM. </w:t>
      </w:r>
      <w:r>
        <w:rPr>
          <w:i/>
          <w:color w:val="000000"/>
          <w:highlight w:val="white"/>
        </w:rPr>
        <w:t>Вестник науки</w:t>
      </w:r>
      <w:r>
        <w:rPr>
          <w:color w:val="000000"/>
          <w:highlight w:val="white"/>
        </w:rPr>
        <w:t xml:space="preserve">, </w:t>
      </w:r>
      <w:r>
        <w:rPr>
          <w:i/>
          <w:color w:val="000000"/>
          <w:highlight w:val="white"/>
        </w:rPr>
        <w:t>1</w:t>
      </w:r>
      <w:r>
        <w:rPr>
          <w:color w:val="000000"/>
          <w:highlight w:val="white"/>
        </w:rPr>
        <w:t>(6 (75)), pp.45-47.</w:t>
      </w:r>
    </w:p>
    <w:p w14:paraId="5F5E6373" w14:textId="77777777" w:rsidR="004D0EAB" w:rsidRDefault="004D0EAB" w:rsidP="004D0EAB">
      <w:pPr>
        <w:rPr>
          <w:color w:val="000000"/>
          <w:highlight w:val="white"/>
        </w:rPr>
      </w:pPr>
      <w:r>
        <w:rPr>
          <w:color w:val="000000"/>
          <w:highlight w:val="white"/>
        </w:rPr>
        <w:t xml:space="preserve">hofstede-insights.com.(2024). </w:t>
      </w:r>
      <w:r>
        <w:rPr>
          <w:i/>
          <w:color w:val="000000"/>
          <w:highlight w:val="white"/>
        </w:rPr>
        <w:t xml:space="preserve">COUNTRY COMPARISON TOOL. Available at: </w:t>
      </w:r>
      <w:r>
        <w:rPr>
          <w:color w:val="000000"/>
          <w:highlight w:val="white"/>
        </w:rPr>
        <w:t>https://www.hofstede-insights.com/country-comparison-tool?countries=finland%2Cgreece [Accessed on: 8th July 2024]</w:t>
      </w:r>
    </w:p>
    <w:p w14:paraId="431A159C" w14:textId="77777777" w:rsidR="004D0EAB" w:rsidRDefault="004D0EAB" w:rsidP="004D0EAB">
      <w:pPr>
        <w:rPr>
          <w:color w:val="000000"/>
          <w:highlight w:val="white"/>
        </w:rPr>
      </w:pPr>
      <w:r>
        <w:rPr>
          <w:color w:val="000000"/>
          <w:highlight w:val="white"/>
        </w:rPr>
        <w:t xml:space="preserve">Mainga, W., Daniel, R.M. and Alamil, L., (2022). Perceptions of employability skills of undergraduate business students in a developing country: An exploratory study. </w:t>
      </w:r>
      <w:r>
        <w:rPr>
          <w:i/>
          <w:color w:val="000000"/>
          <w:highlight w:val="white"/>
        </w:rPr>
        <w:t>Higher Learning Research Communications</w:t>
      </w:r>
      <w:r>
        <w:rPr>
          <w:color w:val="000000"/>
          <w:highlight w:val="white"/>
        </w:rPr>
        <w:t xml:space="preserve">, </w:t>
      </w:r>
      <w:r>
        <w:rPr>
          <w:i/>
          <w:color w:val="000000"/>
          <w:highlight w:val="white"/>
        </w:rPr>
        <w:t>12</w:t>
      </w:r>
      <w:r>
        <w:rPr>
          <w:color w:val="000000"/>
          <w:highlight w:val="white"/>
        </w:rPr>
        <w:t>(1), p.2.</w:t>
      </w:r>
    </w:p>
    <w:p w14:paraId="5ABBCB8D" w14:textId="77777777" w:rsidR="004D0EAB" w:rsidRDefault="004D0EAB" w:rsidP="004D0EAB">
      <w:pPr>
        <w:rPr>
          <w:color w:val="000000"/>
          <w:highlight w:val="white"/>
        </w:rPr>
      </w:pPr>
      <w:r>
        <w:rPr>
          <w:color w:val="000000"/>
          <w:highlight w:val="white"/>
        </w:rPr>
        <w:t xml:space="preserve">McPhail, K., Kafouros, M., McKiernan, P. and Cornelius, N., (2022). Reimagining business and management as a force for good. </w:t>
      </w:r>
      <w:r>
        <w:rPr>
          <w:i/>
          <w:color w:val="000000"/>
          <w:highlight w:val="white"/>
        </w:rPr>
        <w:t>British Journal of Management</w:t>
      </w:r>
      <w:r>
        <w:rPr>
          <w:color w:val="000000"/>
          <w:highlight w:val="white"/>
        </w:rPr>
        <w:t>.</w:t>
      </w:r>
    </w:p>
    <w:p w14:paraId="717CBDCE" w14:textId="77777777" w:rsidR="004D0EAB" w:rsidRDefault="004D0EAB" w:rsidP="004D0EAB">
      <w:pPr>
        <w:rPr>
          <w:color w:val="000000"/>
          <w:highlight w:val="white"/>
        </w:rPr>
      </w:pPr>
      <w:r>
        <w:rPr>
          <w:color w:val="000000"/>
          <w:highlight w:val="white"/>
        </w:rPr>
        <w:t xml:space="preserve">Midha, Y., (2020). LINGUISTIC BARRIERS TO COMMUNICATION: AN OBSTRUCTION IN GLOBAL MARKETING. </w:t>
      </w:r>
      <w:r>
        <w:rPr>
          <w:i/>
          <w:color w:val="000000"/>
          <w:highlight w:val="white"/>
        </w:rPr>
        <w:t>New Paradigms in management and social sciences</w:t>
      </w:r>
      <w:r>
        <w:rPr>
          <w:color w:val="000000"/>
          <w:highlight w:val="white"/>
        </w:rPr>
        <w:t>, p.111.</w:t>
      </w:r>
    </w:p>
    <w:p w14:paraId="598A8304" w14:textId="77777777" w:rsidR="004D0EAB" w:rsidRDefault="004D0EAB" w:rsidP="004D0EAB">
      <w:pPr>
        <w:rPr>
          <w:color w:val="000000"/>
          <w:highlight w:val="white"/>
        </w:rPr>
      </w:pPr>
      <w:r>
        <w:rPr>
          <w:color w:val="000000"/>
          <w:highlight w:val="white"/>
        </w:rPr>
        <w:t xml:space="preserve">reckitt.com. (2024). </w:t>
      </w:r>
      <w:r>
        <w:rPr>
          <w:i/>
          <w:color w:val="000000"/>
          <w:highlight w:val="white"/>
        </w:rPr>
        <w:t>About the company</w:t>
      </w:r>
      <w:r>
        <w:rPr>
          <w:color w:val="000000"/>
          <w:highlight w:val="white"/>
        </w:rPr>
        <w:t>. Available at: https://reckitt.com/[Accessed on: 8th July 2024]</w:t>
      </w:r>
    </w:p>
    <w:p w14:paraId="31D121F8" w14:textId="77777777" w:rsidR="004D0EAB" w:rsidRDefault="004D0EAB" w:rsidP="004D0EAB">
      <w:pPr>
        <w:rPr>
          <w:color w:val="000000"/>
          <w:highlight w:val="white"/>
        </w:rPr>
      </w:pPr>
      <w:r>
        <w:rPr>
          <w:color w:val="000000"/>
          <w:highlight w:val="white"/>
        </w:rPr>
        <w:t xml:space="preserve">Sanders, K.B., 2020. British government communication during the (2020) COVID-19 pandemic: learning from high reliability organizations. </w:t>
      </w:r>
      <w:r>
        <w:rPr>
          <w:i/>
          <w:color w:val="000000"/>
          <w:highlight w:val="white"/>
        </w:rPr>
        <w:t>Church, Communication and Culture</w:t>
      </w:r>
      <w:r>
        <w:rPr>
          <w:color w:val="000000"/>
          <w:highlight w:val="white"/>
        </w:rPr>
        <w:t xml:space="preserve">, </w:t>
      </w:r>
      <w:r>
        <w:rPr>
          <w:i/>
          <w:color w:val="000000"/>
          <w:highlight w:val="white"/>
        </w:rPr>
        <w:t>5</w:t>
      </w:r>
      <w:r>
        <w:rPr>
          <w:color w:val="000000"/>
          <w:highlight w:val="white"/>
        </w:rPr>
        <w:t>(3), pp.356-377.</w:t>
      </w:r>
    </w:p>
    <w:p w14:paraId="3F11080D" w14:textId="77777777" w:rsidR="004D0EAB" w:rsidRDefault="004D0EAB" w:rsidP="004D0EAB">
      <w:pPr>
        <w:rPr>
          <w:color w:val="000000"/>
          <w:highlight w:val="white"/>
        </w:rPr>
      </w:pPr>
      <w:r>
        <w:rPr>
          <w:color w:val="000000"/>
          <w:highlight w:val="white"/>
        </w:rPr>
        <w:lastRenderedPageBreak/>
        <w:t xml:space="preserve">Tursunovich, R.I., (2023). Development of communicative competence in teaching foreign language for professional purposes. In </w:t>
      </w:r>
      <w:r>
        <w:rPr>
          <w:i/>
          <w:color w:val="000000"/>
          <w:highlight w:val="white"/>
        </w:rPr>
        <w:t>Proceedings of International Conference on Scientific Research in Natural and Social Sciences</w:t>
      </w:r>
      <w:r>
        <w:rPr>
          <w:color w:val="000000"/>
          <w:highlight w:val="white"/>
        </w:rPr>
        <w:t xml:space="preserve"> (Vol. 2, No. 1, pp. 26-33).</w:t>
      </w:r>
    </w:p>
    <w:p w14:paraId="0B6EB637" w14:textId="77777777" w:rsidR="004D0EAB" w:rsidRDefault="004D0EAB" w:rsidP="004D0EAB">
      <w:pPr>
        <w:rPr>
          <w:color w:val="000000"/>
          <w:highlight w:val="white"/>
        </w:rPr>
      </w:pPr>
      <w:r>
        <w:rPr>
          <w:color w:val="000000"/>
          <w:highlight w:val="white"/>
        </w:rPr>
        <w:t xml:space="preserve">Wang, B., Liu, Y. and Parker, S.K., (2020). How does the use of information communication technology affect individuals? A work design perspective. </w:t>
      </w:r>
      <w:r>
        <w:rPr>
          <w:i/>
          <w:color w:val="000000"/>
          <w:highlight w:val="white"/>
        </w:rPr>
        <w:t>Academy of Management Annals</w:t>
      </w:r>
      <w:r>
        <w:rPr>
          <w:color w:val="000000"/>
          <w:highlight w:val="white"/>
        </w:rPr>
        <w:t xml:space="preserve">, </w:t>
      </w:r>
      <w:r>
        <w:rPr>
          <w:i/>
          <w:color w:val="000000"/>
          <w:highlight w:val="white"/>
        </w:rPr>
        <w:t>14</w:t>
      </w:r>
      <w:r>
        <w:rPr>
          <w:color w:val="000000"/>
          <w:highlight w:val="white"/>
        </w:rPr>
        <w:t>(2), pp.695-725.</w:t>
      </w:r>
    </w:p>
    <w:p w14:paraId="31510724" w14:textId="77777777" w:rsidR="004D0EAB" w:rsidRDefault="004D0EAB" w:rsidP="004D0EAB">
      <w:pPr>
        <w:rPr>
          <w:color w:val="000000"/>
          <w:highlight w:val="white"/>
        </w:rPr>
      </w:pPr>
      <w:r>
        <w:rPr>
          <w:color w:val="000000"/>
          <w:highlight w:val="white"/>
        </w:rPr>
        <w:t xml:space="preserve">Wang, Q., Clegg, J., Gajewska-De Mattos, H. and Buckley, P., (2020). The role of emotions in intercultural business communication: Language standardization in the context of international knowledge transfer. </w:t>
      </w:r>
      <w:r>
        <w:rPr>
          <w:i/>
          <w:color w:val="000000"/>
          <w:highlight w:val="white"/>
        </w:rPr>
        <w:t>Journal of World Business</w:t>
      </w:r>
      <w:r>
        <w:rPr>
          <w:color w:val="000000"/>
          <w:highlight w:val="white"/>
        </w:rPr>
        <w:t xml:space="preserve">, </w:t>
      </w:r>
      <w:r>
        <w:rPr>
          <w:i/>
          <w:color w:val="000000"/>
          <w:highlight w:val="white"/>
        </w:rPr>
        <w:t>55</w:t>
      </w:r>
      <w:r>
        <w:rPr>
          <w:color w:val="000000"/>
          <w:highlight w:val="white"/>
        </w:rPr>
        <w:t>(6), p.100973.</w:t>
      </w:r>
    </w:p>
    <w:p w14:paraId="0C8BBB89" w14:textId="77777777" w:rsidR="004D0EAB" w:rsidRDefault="004D0EAB" w:rsidP="004D0EAB">
      <w:pPr>
        <w:rPr>
          <w:color w:val="000000"/>
          <w:highlight w:val="white"/>
        </w:rPr>
      </w:pPr>
      <w:r>
        <w:rPr>
          <w:color w:val="000000"/>
          <w:highlight w:val="white"/>
        </w:rPr>
        <w:t xml:space="preserve">Waton, N. and Amelia, D., (2022). The Portrayal of the Industrial Revolution in Sherlock Holmes Movies. </w:t>
      </w:r>
      <w:r>
        <w:rPr>
          <w:i/>
          <w:color w:val="000000"/>
          <w:highlight w:val="white"/>
        </w:rPr>
        <w:t>Linguistics and Literature Journal</w:t>
      </w:r>
      <w:r>
        <w:rPr>
          <w:color w:val="000000"/>
          <w:highlight w:val="white"/>
        </w:rPr>
        <w:t xml:space="preserve">, </w:t>
      </w:r>
      <w:r>
        <w:rPr>
          <w:i/>
          <w:color w:val="000000"/>
          <w:highlight w:val="white"/>
        </w:rPr>
        <w:t>3</w:t>
      </w:r>
      <w:r>
        <w:rPr>
          <w:color w:val="000000"/>
          <w:highlight w:val="white"/>
        </w:rPr>
        <w:t>(1), pp.34-41.</w:t>
      </w:r>
    </w:p>
    <w:p w14:paraId="67A626DF" w14:textId="77777777" w:rsidR="004D0EAB" w:rsidRDefault="004D0EAB" w:rsidP="004D0EAB">
      <w:pPr>
        <w:rPr>
          <w:color w:val="000000"/>
          <w:highlight w:val="white"/>
        </w:rPr>
      </w:pPr>
      <w:r>
        <w:rPr>
          <w:color w:val="000000"/>
          <w:highlight w:val="white"/>
        </w:rPr>
        <w:t xml:space="preserve">Whittle, A., Vaara, E. and Maitlis, S., (2023). The role of language in organizational sensemaking: An integrative theoretical framework and an agenda for future research. </w:t>
      </w:r>
      <w:r>
        <w:rPr>
          <w:i/>
          <w:color w:val="000000"/>
          <w:highlight w:val="white"/>
        </w:rPr>
        <w:t>Journal of Management</w:t>
      </w:r>
      <w:r>
        <w:rPr>
          <w:color w:val="000000"/>
          <w:highlight w:val="white"/>
        </w:rPr>
        <w:t xml:space="preserve">, </w:t>
      </w:r>
      <w:r>
        <w:rPr>
          <w:i/>
          <w:color w:val="000000"/>
          <w:highlight w:val="white"/>
        </w:rPr>
        <w:t>49</w:t>
      </w:r>
      <w:r>
        <w:rPr>
          <w:color w:val="000000"/>
          <w:highlight w:val="white"/>
        </w:rPr>
        <w:t>(6), pp.1807-1840.</w:t>
      </w:r>
    </w:p>
    <w:p w14:paraId="6C2E2A60" w14:textId="77777777" w:rsidR="004D0EAB" w:rsidRDefault="004D0EAB" w:rsidP="004D0EAB">
      <w:pPr>
        <w:rPr>
          <w:color w:val="000000"/>
          <w:highlight w:val="white"/>
        </w:rPr>
      </w:pPr>
      <w:r>
        <w:rPr>
          <w:color w:val="000000"/>
          <w:highlight w:val="white"/>
        </w:rPr>
        <w:t xml:space="preserve">Yusof, A.N.A.M. and Rahmat, N.H., (2020). Communication barriers at the workplace: A case study. </w:t>
      </w:r>
      <w:r>
        <w:rPr>
          <w:i/>
          <w:color w:val="000000"/>
          <w:highlight w:val="white"/>
        </w:rPr>
        <w:t>European Journal of Education Studies</w:t>
      </w:r>
      <w:r>
        <w:rPr>
          <w:color w:val="000000"/>
          <w:highlight w:val="white"/>
        </w:rPr>
        <w:t xml:space="preserve">, </w:t>
      </w:r>
      <w:r>
        <w:rPr>
          <w:i/>
          <w:color w:val="000000"/>
          <w:highlight w:val="white"/>
        </w:rPr>
        <w:t>7</w:t>
      </w:r>
      <w:r>
        <w:rPr>
          <w:color w:val="000000"/>
          <w:highlight w:val="white"/>
        </w:rPr>
        <w:t>(10).</w:t>
      </w:r>
    </w:p>
    <w:p w14:paraId="74DA8C8C" w14:textId="77777777" w:rsidR="005241C5" w:rsidRDefault="005241C5"/>
    <w:sectPr w:rsidR="005241C5" w:rsidSect="004D0EAB">
      <w:footerReference w:type="default" r:id="rId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164987" w14:textId="77777777" w:rsidR="002A7632" w:rsidRDefault="002A763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550F928A" w14:textId="77777777" w:rsidR="002A7632" w:rsidRDefault="002A7632">
    <w:pPr>
      <w:pBdr>
        <w:top w:val="nil"/>
        <w:left w:val="nil"/>
        <w:bottom w:val="nil"/>
        <w:right w:val="nil"/>
        <w:between w:val="nil"/>
      </w:pBdr>
      <w:tabs>
        <w:tab w:val="center" w:pos="4513"/>
        <w:tab w:val="right" w:pos="9026"/>
      </w:tabs>
      <w:spacing w:line="240" w:lineRule="auto"/>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3C42B1"/>
    <w:multiLevelType w:val="hybridMultilevel"/>
    <w:tmpl w:val="8116C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812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1C5"/>
    <w:rsid w:val="000D5252"/>
    <w:rsid w:val="00155768"/>
    <w:rsid w:val="00211677"/>
    <w:rsid w:val="002A7632"/>
    <w:rsid w:val="004D0EAB"/>
    <w:rsid w:val="005241C5"/>
    <w:rsid w:val="005E7D7E"/>
    <w:rsid w:val="00700C68"/>
    <w:rsid w:val="007313B4"/>
    <w:rsid w:val="0086274F"/>
    <w:rsid w:val="008B5A1D"/>
    <w:rsid w:val="009C163E"/>
    <w:rsid w:val="00AD3675"/>
    <w:rsid w:val="00D02E94"/>
    <w:rsid w:val="00E570E7"/>
    <w:rsid w:val="00F26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249F6"/>
  <w15:chartTrackingRefBased/>
  <w15:docId w15:val="{BA64E67B-F4EA-41C0-919B-F8119B5BB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EAB"/>
    <w:pPr>
      <w:spacing w:after="0" w:line="360" w:lineRule="auto"/>
      <w:jc w:val="both"/>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5241C5"/>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241C5"/>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241C5"/>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241C5"/>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241C5"/>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241C5"/>
    <w:pPr>
      <w:keepNext/>
      <w:keepLines/>
      <w:spacing w:before="40" w:line="278" w:lineRule="auto"/>
      <w:jc w:val="left"/>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241C5"/>
    <w:pPr>
      <w:keepNext/>
      <w:keepLines/>
      <w:spacing w:before="40" w:line="278" w:lineRule="auto"/>
      <w:jc w:val="left"/>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241C5"/>
    <w:pPr>
      <w:keepNext/>
      <w:keepLines/>
      <w:spacing w:line="278" w:lineRule="auto"/>
      <w:jc w:val="left"/>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241C5"/>
    <w:pPr>
      <w:keepNext/>
      <w:keepLines/>
      <w:spacing w:line="278" w:lineRule="auto"/>
      <w:jc w:val="left"/>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1C5"/>
    <w:rPr>
      <w:rFonts w:eastAsiaTheme="majorEastAsia" w:cstheme="majorBidi"/>
      <w:color w:val="272727" w:themeColor="text1" w:themeTint="D8"/>
    </w:rPr>
  </w:style>
  <w:style w:type="paragraph" w:styleId="Title">
    <w:name w:val="Title"/>
    <w:basedOn w:val="Normal"/>
    <w:next w:val="Normal"/>
    <w:link w:val="TitleChar"/>
    <w:uiPriority w:val="10"/>
    <w:qFormat/>
    <w:rsid w:val="005241C5"/>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24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1C5"/>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24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1C5"/>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5241C5"/>
    <w:rPr>
      <w:i/>
      <w:iCs/>
      <w:color w:val="404040" w:themeColor="text1" w:themeTint="BF"/>
    </w:rPr>
  </w:style>
  <w:style w:type="paragraph" w:styleId="ListParagraph">
    <w:name w:val="List Paragraph"/>
    <w:basedOn w:val="Normal"/>
    <w:uiPriority w:val="34"/>
    <w:qFormat/>
    <w:rsid w:val="005241C5"/>
    <w:pPr>
      <w:spacing w:after="160" w:line="278" w:lineRule="auto"/>
      <w:ind w:left="720"/>
      <w:contextualSpacing/>
      <w:jc w:val="left"/>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5241C5"/>
    <w:rPr>
      <w:i/>
      <w:iCs/>
      <w:color w:val="0F4761" w:themeColor="accent1" w:themeShade="BF"/>
    </w:rPr>
  </w:style>
  <w:style w:type="paragraph" w:styleId="IntenseQuote">
    <w:name w:val="Intense Quote"/>
    <w:basedOn w:val="Normal"/>
    <w:next w:val="Normal"/>
    <w:link w:val="IntenseQuoteChar"/>
    <w:uiPriority w:val="30"/>
    <w:qFormat/>
    <w:rsid w:val="005241C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241C5"/>
    <w:rPr>
      <w:i/>
      <w:iCs/>
      <w:color w:val="0F4761" w:themeColor="accent1" w:themeShade="BF"/>
    </w:rPr>
  </w:style>
  <w:style w:type="character" w:styleId="IntenseReference">
    <w:name w:val="Intense Reference"/>
    <w:basedOn w:val="DefaultParagraphFont"/>
    <w:uiPriority w:val="32"/>
    <w:qFormat/>
    <w:rsid w:val="005241C5"/>
    <w:rPr>
      <w:b/>
      <w:bCs/>
      <w:smallCaps/>
      <w:color w:val="0F4761" w:themeColor="accent1" w:themeShade="BF"/>
      <w:spacing w:val="5"/>
    </w:rPr>
  </w:style>
  <w:style w:type="character" w:customStyle="1" w:styleId="NoSpacingChar">
    <w:name w:val="No Spacing Char"/>
    <w:basedOn w:val="DefaultParagraphFont"/>
    <w:link w:val="NoSpacing"/>
    <w:uiPriority w:val="1"/>
    <w:locked/>
    <w:rsid w:val="00700C68"/>
    <w:rPr>
      <w:rFonts w:ascii="Times New Roman" w:eastAsiaTheme="minorEastAsia" w:hAnsi="Times New Roman" w:cs="Times New Roman"/>
      <w:lang w:eastAsia="ja-JP"/>
    </w:rPr>
  </w:style>
  <w:style w:type="paragraph" w:styleId="NoSpacing">
    <w:name w:val="No Spacing"/>
    <w:link w:val="NoSpacingChar"/>
    <w:uiPriority w:val="1"/>
    <w:qFormat/>
    <w:rsid w:val="00700C68"/>
    <w:pPr>
      <w:spacing w:after="0" w:line="240" w:lineRule="auto"/>
    </w:pPr>
    <w:rPr>
      <w:rFonts w:ascii="Times New Roman" w:eastAsiaTheme="minorEastAsia" w:hAnsi="Times New Roman" w:cs="Times New Roman"/>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10</Pages>
  <Words>2999</Words>
  <Characters>17098</Characters>
  <Application>Microsoft Office Word</Application>
  <DocSecurity>0</DocSecurity>
  <Lines>142</Lines>
  <Paragraphs>40</Paragraphs>
  <ScaleCrop>false</ScaleCrop>
  <Company/>
  <LinksUpToDate>false</LinksUpToDate>
  <CharactersWithSpaces>20057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 Stoyanova</dc:creator>
  <cp:keywords/>
  <dc:description/>
  <cp:lastModifiedBy>Nikol Stoyanova</cp:lastModifiedBy>
  <cp:revision>15</cp:revision>
  <dcterms:created xsi:type="dcterms:W3CDTF">2024-07-14T19:28:00Z</dcterms:created>
  <dcterms:modified xsi:type="dcterms:W3CDTF">2024-07-14T19:54:00Z</dcterms:modified>
</cp:coreProperties>
</file>