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3EF244" w14:textId="77777777" w:rsidR="002A792B" w:rsidRPr="002A792B" w:rsidRDefault="002A792B" w:rsidP="002A792B">
      <w:pPr>
        <w:suppressAutoHyphens/>
        <w:autoSpaceDN w:val="0"/>
        <w:spacing w:after="200" w:line="276" w:lineRule="auto"/>
        <w:jc w:val="center"/>
        <w:textAlignment w:val="baseline"/>
        <w:rPr>
          <w:rFonts w:ascii="Times New Roman" w:eastAsia="Times New Roman" w:hAnsi="Times New Roman" w:cs="Times New Roman"/>
          <w:sz w:val="24"/>
          <w:szCs w:val="24"/>
          <w:u w:val="single"/>
        </w:rPr>
      </w:pPr>
      <w:r w:rsidRPr="002A792B">
        <w:rPr>
          <w:rFonts w:ascii="Times New Roman" w:eastAsia="Times New Roman" w:hAnsi="Times New Roman" w:cs="Times New Roman"/>
          <w:sz w:val="24"/>
          <w:szCs w:val="24"/>
          <w:u w:val="single"/>
        </w:rPr>
        <w:t>Despite the impact of fighting ‘total war’ on the lives of ordinary Britons in 1914-1918, class divisions and differences were, for the most part, maintained. Discuss.</w:t>
      </w:r>
    </w:p>
    <w:p w14:paraId="69A845F9" w14:textId="435D90BE" w:rsidR="00B56CB9" w:rsidRDefault="00B56CB9" w:rsidP="00B56CB9">
      <w:r>
        <w:t xml:space="preserve">The lives of ordinary Britons during the First World War changed extremely.  This was in part due to the differences that were in place between the classes in Britain.  This both helped and hindered the relationship between the classes between 1914 and 1918. </w:t>
      </w:r>
      <w:r w:rsidR="00584AF1">
        <w:t xml:space="preserve"> The question mentions the difficulties that the many different classes have been facing for many centuries and were they put to the side during the war?  I will talk about some of the events that happened before that show the difficulties between the working class and the upper class for example. I will then mention some events that happened during the war that show that these problems still exist. However, that they were predominantly put to one side for a good majority of the war.</w:t>
      </w:r>
      <w:r w:rsidR="002B5612">
        <w:t xml:space="preserve"> </w:t>
      </w:r>
    </w:p>
    <w:p w14:paraId="77913E84" w14:textId="697BD721" w:rsidR="00B56CB9" w:rsidRDefault="00B56CB9" w:rsidP="00B56CB9">
      <w:r>
        <w:t xml:space="preserve"> There are many classes in Britain that have changed significantly because of World War One. The working class often lost the “breadwinner” in their families. During the war, they had poor access to the healthcare that was needed when they lived in such horrible living conditions. It was surely more of a</w:t>
      </w:r>
      <w:r w:rsidR="00F0441E">
        <w:t xml:space="preserve"> concern</w:t>
      </w:r>
      <w:r>
        <w:t xml:space="preserve"> that they could barely scrape by and live on what money they had. A big </w:t>
      </w:r>
      <w:r w:rsidR="00F0441E">
        <w:t>problem</w:t>
      </w:r>
      <w:r>
        <w:t xml:space="preserve"> was that the mothers would feed their families but not feed themselves.  Poverty was definitely more of a very big issue during the rationing times of 1914 through to 1918.  The war changed the mind</w:t>
      </w:r>
      <w:r w:rsidR="00626785">
        <w:t xml:space="preserve"> </w:t>
      </w:r>
      <w:r>
        <w:t>sets of the different classes. It made them choose whether or not to be patriotic and help as much as they could with the war effort, and whether or not in the long term it would affect how they lived.</w:t>
      </w:r>
    </w:p>
    <w:p w14:paraId="1A183EB9" w14:textId="19C6778D" w:rsidR="00B56CB9" w:rsidRDefault="00B56CB9" w:rsidP="00B56CB9">
      <w:r>
        <w:t>However, class divisions and differences when it came to the working class w</w:t>
      </w:r>
      <w:r w:rsidR="00D009CE">
        <w:t>ere</w:t>
      </w:r>
      <w:r>
        <w:t xml:space="preserve"> still maintained</w:t>
      </w:r>
      <w:r w:rsidR="002605FC">
        <w:t xml:space="preserve"> to some extent</w:t>
      </w:r>
      <w:r>
        <w:t xml:space="preserve">. The working class </w:t>
      </w:r>
      <w:r w:rsidR="006839B3">
        <w:t xml:space="preserve">can be seen to have suffered the most </w:t>
      </w:r>
      <w:r w:rsidR="00DB0969">
        <w:t>throughout the war</w:t>
      </w:r>
      <w:r w:rsidR="00B628B2">
        <w:t xml:space="preserve"> due to the casualties that they suffered along with </w:t>
      </w:r>
      <w:r w:rsidR="006C307F">
        <w:t>the way</w:t>
      </w:r>
      <w:r w:rsidR="00B628B2">
        <w:t xml:space="preserve"> the sole breadwinners leaving affected the families as a whole. </w:t>
      </w:r>
      <w:r w:rsidR="006C307F">
        <w:t xml:space="preserve">Another consideration is the </w:t>
      </w:r>
      <w:r w:rsidR="00B628B2">
        <w:t>impact it had especially when families were told that their loved ones had been killed during the war</w:t>
      </w:r>
      <w:r w:rsidR="004630D7">
        <w:t>.</w:t>
      </w:r>
      <w:r>
        <w:t xml:space="preserve"> It has been made evident it was very difficult for families during that time</w:t>
      </w:r>
      <w:r w:rsidR="00483A59">
        <w:rPr>
          <w:rStyle w:val="FootnoteReference"/>
        </w:rPr>
        <w:footnoteReference w:id="1"/>
      </w:r>
      <w:r>
        <w:t xml:space="preserve">. Despite their still being differences and divisions with the classes, quite often the people often </w:t>
      </w:r>
      <w:r w:rsidR="00D009CE">
        <w:t>pulled</w:t>
      </w:r>
      <w:r>
        <w:t xml:space="preserve"> together to help one another in difficult times.  There was a bit of both division and helpful</w:t>
      </w:r>
      <w:r w:rsidR="00647206">
        <w:t>ness</w:t>
      </w:r>
      <w:r>
        <w:t xml:space="preserve">. </w:t>
      </w:r>
      <w:r w:rsidR="009B051A">
        <w:t>There are many stories regarding helpfulness despite the divisions</w:t>
      </w:r>
      <w:r w:rsidR="006C307F">
        <w:t>,</w:t>
      </w:r>
      <w:r w:rsidR="009B051A">
        <w:t xml:space="preserve"> the upper classes</w:t>
      </w:r>
      <w:r w:rsidR="006C307F">
        <w:t xml:space="preserve"> were extremely helpful</w:t>
      </w:r>
      <w:r w:rsidR="009B051A">
        <w:t xml:space="preserve">, </w:t>
      </w:r>
      <w:r w:rsidR="006C307F">
        <w:t>for example</w:t>
      </w:r>
      <w:r w:rsidR="009B051A">
        <w:t xml:space="preserve"> Duchess of Westminster established a Red Cross hospital in France and the Duchess of Sutherland organized an ambulance unit to serve in Belgium.</w:t>
      </w:r>
      <w:r w:rsidR="009B051A">
        <w:rPr>
          <w:rStyle w:val="FootnoteReference"/>
        </w:rPr>
        <w:footnoteReference w:id="2"/>
      </w:r>
      <w:r>
        <w:t xml:space="preserve"> </w:t>
      </w:r>
    </w:p>
    <w:p w14:paraId="2F2B00EC" w14:textId="70D95187" w:rsidR="00B56CB9" w:rsidRDefault="00B56CB9" w:rsidP="00B56CB9">
      <w:r>
        <w:t xml:space="preserve"> World War One affected the middle class the least and played little part in the class divisions and differences showing. The </w:t>
      </w:r>
      <w:r w:rsidR="006C307F">
        <w:t>w</w:t>
      </w:r>
      <w:r>
        <w:t xml:space="preserve">omen in the middle classes </w:t>
      </w:r>
      <w:r w:rsidR="006C307F">
        <w:t xml:space="preserve">became more </w:t>
      </w:r>
      <w:r>
        <w:t xml:space="preserve"> self-sufficient and took over the jobs of the men when they left for the war</w:t>
      </w:r>
      <w:r w:rsidR="00483A59">
        <w:rPr>
          <w:rStyle w:val="FootnoteReference"/>
        </w:rPr>
        <w:footnoteReference w:id="3"/>
      </w:r>
      <w:r>
        <w:t>.</w:t>
      </w:r>
      <w:r w:rsidR="00A159AB">
        <w:t xml:space="preserve"> </w:t>
      </w:r>
      <w:r w:rsidR="006C307F">
        <w:t>T</w:t>
      </w:r>
      <w:r w:rsidR="00A159AB">
        <w:t>he middle class men played a crucial role as soldiers in the trenches</w:t>
      </w:r>
      <w:r w:rsidR="00416272">
        <w:t>. However, during the war, they largely stayed out of controversy and were mostly a key example of what fighting for the country was. The middle class therefore showed a lot of patriotism.</w:t>
      </w:r>
    </w:p>
    <w:p w14:paraId="1FCF1CAD" w14:textId="5C3D99A4" w:rsidR="00B56CB9" w:rsidRDefault="00B56CB9" w:rsidP="00B56CB9">
      <w:r>
        <w:t>The Upper-Class</w:t>
      </w:r>
      <w:r w:rsidR="002B6230">
        <w:t xml:space="preserve"> </w:t>
      </w:r>
      <w:r>
        <w:t>men were often involved in the army as soldiers, most served as officers</w:t>
      </w:r>
      <w:r w:rsidR="00483A59">
        <w:rPr>
          <w:rStyle w:val="FootnoteReference"/>
        </w:rPr>
        <w:footnoteReference w:id="4"/>
      </w:r>
      <w:r>
        <w:t xml:space="preserve">. With the majority of upper-class males being soldiers, these class difficulties seemed like less of an issue. Every class had soldiers within it, therefore there was more of a feeling to work together to beat the </w:t>
      </w:r>
      <w:r>
        <w:lastRenderedPageBreak/>
        <w:t>bigger enemy in the World War.</w:t>
      </w:r>
      <w:r w:rsidR="002B6230">
        <w:t xml:space="preserve"> </w:t>
      </w:r>
      <w:r>
        <w:t xml:space="preserve">It could be argued that there was a level of the class difficulties that were still around in the towns and </w:t>
      </w:r>
      <w:r w:rsidR="006C307F">
        <w:t>back home</w:t>
      </w:r>
      <w:r>
        <w:t xml:space="preserve">. </w:t>
      </w:r>
    </w:p>
    <w:p w14:paraId="678BE280" w14:textId="2AC63D64" w:rsidR="00B56CB9" w:rsidRDefault="00B56CB9" w:rsidP="00B56CB9">
      <w:r>
        <w:t>The youth of Britain could be argued as a class itself.  Even though they could effectively be a part of every class, it is important to recognize their differences with other classes and how these differed during the war effort.  They played a big role as soldiers and were the very epitome of being committed to the war itself</w:t>
      </w:r>
      <w:r w:rsidR="00483A59">
        <w:rPr>
          <w:rStyle w:val="FootnoteReference"/>
        </w:rPr>
        <w:footnoteReference w:id="5"/>
      </w:r>
      <w:r>
        <w:t>.  Another important point to make is that the youth it could be argued stopped or at least halted issues that different classes had with each other.  There also seemed to be fewer problems people had with the youth during the war compared to both before and after</w:t>
      </w:r>
      <w:r w:rsidR="00483A59">
        <w:rPr>
          <w:rStyle w:val="FootnoteReference"/>
        </w:rPr>
        <w:footnoteReference w:id="6"/>
      </w:r>
      <w:r>
        <w:t xml:space="preserve">.  </w:t>
      </w:r>
    </w:p>
    <w:p w14:paraId="6AC8B0AD" w14:textId="4FEF752F" w:rsidR="00B56CB9" w:rsidRDefault="00B56CB9" w:rsidP="00B56CB9">
      <w:r>
        <w:t xml:space="preserve">Women could arguably fit into the bracket of class too. They were treated as second </w:t>
      </w:r>
      <w:r w:rsidR="00DB0969">
        <w:t>class citizens</w:t>
      </w:r>
      <w:r>
        <w:t>, in terms of before the war they were largely considered housewives, not many could get jobs as the men were the sole breadwinners in the family</w:t>
      </w:r>
      <w:r w:rsidR="00483A59">
        <w:rPr>
          <w:rStyle w:val="FootnoteReference"/>
        </w:rPr>
        <w:footnoteReference w:id="7"/>
      </w:r>
      <w:r>
        <w:t xml:space="preserve">.  However, during the war these differences changed with the women, they were allowed to work and a large majority took the place of men in the workplace, around </w:t>
      </w:r>
      <w:r w:rsidR="009B051A">
        <w:t>two</w:t>
      </w:r>
      <w:r>
        <w:t xml:space="preserve"> million women took the men’s jobs who went off to war between 1914 and 1918.  There was a significant increase in employment for women during the war of 13%</w:t>
      </w:r>
      <w:r w:rsidR="00483A59">
        <w:rPr>
          <w:rStyle w:val="FootnoteReference"/>
        </w:rPr>
        <w:footnoteReference w:id="8"/>
      </w:r>
      <w:r>
        <w:t>. However, this largely went back to the days of before the war. The women were the first to lose their jobs once the war ended. These jobs, mostly in the factories, were given back to the men as a priority</w:t>
      </w:r>
      <w:r w:rsidR="00483A59">
        <w:rPr>
          <w:rStyle w:val="FootnoteReference"/>
        </w:rPr>
        <w:footnoteReference w:id="9"/>
      </w:r>
      <w:r>
        <w:t xml:space="preserve">. </w:t>
      </w:r>
    </w:p>
    <w:p w14:paraId="2EEE6439" w14:textId="102BADED" w:rsidR="00DD1ED0" w:rsidRDefault="00483A59" w:rsidP="00B56CB9">
      <w:r>
        <w:t>Total war is a war that allows the use of all different types of weapons. For example, the use of airplanes dropping bombs had a very big impact on both countries and their civilians. There was a mass amount of bombing throughout the war. Many different parts of Britain suffered, via the German zeppelins and the Gotha bombers</w:t>
      </w:r>
      <w:r>
        <w:rPr>
          <w:rStyle w:val="FootnoteReference"/>
        </w:rPr>
        <w:footnoteReference w:id="10"/>
      </w:r>
      <w:r>
        <w:t>.The blitz was the biggest bombing run experienced and arguably as important for British victory as the fighting on the Western front</w:t>
      </w:r>
      <w:r>
        <w:rPr>
          <w:rStyle w:val="FootnoteReference"/>
        </w:rPr>
        <w:footnoteReference w:id="11"/>
      </w:r>
      <w:r>
        <w:t>. This is one of many devastating bombing raids on Britain. It does show how the ordinary people of Britain were affected by being involved in a total war. The British were therefore scared of when the next bombs were going to drop and where.  The class difference was not affected in one aspect that largely one class stayed together while they hid in their local bomb shelters trying to avoid the bombs the Germans were sending during the Blitz and the rest of the war</w:t>
      </w:r>
      <w:r>
        <w:rPr>
          <w:rStyle w:val="FootnoteReference"/>
        </w:rPr>
        <w:footnoteReference w:id="12"/>
      </w:r>
      <w:r>
        <w:t>. It could be argued that there was more of a sense of togetherness when there was a threat of a bomb being delivered as everyone had to get away from the bomb, so they coped with each other and worked well during the bombing raids</w:t>
      </w:r>
      <w:r>
        <w:rPr>
          <w:rStyle w:val="FootnoteReference"/>
        </w:rPr>
        <w:footnoteReference w:id="13"/>
      </w:r>
      <w:r w:rsidR="002051CB">
        <w:t>.</w:t>
      </w:r>
      <w:bookmarkStart w:id="5" w:name="_Hlk503271557"/>
    </w:p>
    <w:bookmarkEnd w:id="5"/>
    <w:p w14:paraId="302ECD51" w14:textId="45A1AEDF" w:rsidR="00B56CB9" w:rsidRDefault="00D71784" w:rsidP="00B56CB9">
      <w:r>
        <w:t>As with every society, there are issues between the working class and the upper-class men particular the members of parliament, the people who were deemed to be in high positions in the country. For example, the strikes cause a division as the working class often believe they should be paid more, the government choose whether certain type of workers increase their wage or not. Another point is that many men fighting for their country were younger than 18 and lying about their ages to get into the army</w:t>
      </w:r>
      <w:r>
        <w:rPr>
          <w:rStyle w:val="FootnoteReference"/>
        </w:rPr>
        <w:footnoteReference w:id="14"/>
      </w:r>
      <w:r>
        <w:t xml:space="preserve">.  Therefore, you can see the grievances of many lower class people and soldiers against the upper class and the people in power. It is unheard of that not everyone above the age of 18, </w:t>
      </w:r>
      <w:r>
        <w:lastRenderedPageBreak/>
        <w:t>could not vote, it is disgraceful to think that people died for this country without even being allowed to vote.  There is always a dislike between certain parts of society and the Government. There was no riot or big talking point during the war to see it as a very big issue.  Before and after the war things did escalate occasionally, often with miners strikes and riots that were much more frequent in the later years of the twentieth century predominantly through the Thatcher era and before</w:t>
      </w:r>
      <w:r>
        <w:rPr>
          <w:rStyle w:val="FootnoteReference"/>
        </w:rPr>
        <w:footnoteReference w:id="15"/>
      </w:r>
      <w:r>
        <w:t xml:space="preserve">.  This makes it clear that the majority of people gathered together to make a conscious war effort, it was the minority rather than the majority that caused the issues. However, there were still some issues with strikes and unrest throughout the war.  </w:t>
      </w:r>
    </w:p>
    <w:p w14:paraId="3A80A964" w14:textId="1BFEE180" w:rsidR="00D71784" w:rsidRDefault="00D71784" w:rsidP="00B56CB9">
      <w:r>
        <w:t xml:space="preserve">Those issues and strikes were amongst the coal and steel industries. These issues were written about in Sir Llewelyn Woodward’s book </w:t>
      </w:r>
      <w:r w:rsidRPr="00D009CE">
        <w:rPr>
          <w:i/>
        </w:rPr>
        <w:t>Great Britain and the War of 1914-1918</w:t>
      </w:r>
      <w:r>
        <w:t xml:space="preserve"> it became known during the war that the workers who had been drafted in after the men had gone to war were getting paid more than the skilled workers who did not leave and fight for the country</w:t>
      </w:r>
      <w:r>
        <w:rPr>
          <w:rStyle w:val="FootnoteReference"/>
        </w:rPr>
        <w:footnoteReference w:id="16"/>
      </w:r>
      <w:r>
        <w:t>. This caused an uproar in these industries, leading to the War Cabinet granting a 12.5% wage increase to certain classes of skilled workers</w:t>
      </w:r>
      <w:r>
        <w:rPr>
          <w:rStyle w:val="FootnoteReference"/>
        </w:rPr>
        <w:footnoteReference w:id="17"/>
      </w:r>
      <w:r>
        <w:t>. This caused more issues as every munitions worker then asked for this bonus, it was given reluctantly to them, causing more economic stress on Britain because the army needed the money for munitions. In 1916, 76,000 men in the engineering, shipbuilding and metal trades went on strike and 346,000 working days were lost. In the next year, 386,700 workers lost a little under 3,000,000 days</w:t>
      </w:r>
      <w:r>
        <w:rPr>
          <w:rStyle w:val="FootnoteReference"/>
        </w:rPr>
        <w:footnoteReference w:id="18"/>
      </w:r>
      <w:r>
        <w:t>. This shows another dispute between the working class and the upper class. It suggests not for the first time that the working class thought they deserved more for working so hard, largely seven days a week. They thought they were getting treated unfairly. It could be said that due to the war, they got what they wanted; a pay rise was the end result of the large majority of strikes that happened in the First World War</w:t>
      </w:r>
      <w:r>
        <w:rPr>
          <w:rStyle w:val="FootnoteReference"/>
        </w:rPr>
        <w:footnoteReference w:id="19"/>
      </w:r>
      <w:r>
        <w:t>. It also suggests that the older issues were still maintained because there were many strikes before the First World War, for example, there were dock strikes in the late 1800’s, for example, the 1889 London dock strike</w:t>
      </w:r>
      <w:r>
        <w:rPr>
          <w:rStyle w:val="FootnoteReference"/>
        </w:rPr>
        <w:footnoteReference w:id="20"/>
      </w:r>
      <w:r>
        <w:t>.  These were continuing throughout the war and after, always regarding the wages of the working class people.</w:t>
      </w:r>
    </w:p>
    <w:p w14:paraId="4502A61A" w14:textId="4B5A70B0" w:rsidR="00B56CB9" w:rsidRDefault="00B56CB9" w:rsidP="00B56CB9">
      <w:r>
        <w:t>In the early stages of the war, there was a lot of apprehension amongst some of the working class community. There were a few reasons for this. It was partly due to the economic uncertainty with where the money was going to be spent. More money would be being spent on the war itself in terms of arms and munition factories rather than the necessities that every day working class person would need</w:t>
      </w:r>
      <w:r w:rsidR="00D71784">
        <w:rPr>
          <w:rStyle w:val="FootnoteReference"/>
        </w:rPr>
        <w:footnoteReference w:id="21"/>
      </w:r>
      <w:r>
        <w:t xml:space="preserve">. Sylvia Pankhurst brought these fears into her writing, she writes her book </w:t>
      </w:r>
      <w:r w:rsidRPr="00D009CE">
        <w:rPr>
          <w:i/>
        </w:rPr>
        <w:t>The Home Front</w:t>
      </w:r>
      <w:r>
        <w:t xml:space="preserve"> and talks to people about the poor community and their disgust at how they get treated arguably even worse than before the war started</w:t>
      </w:r>
      <w:r w:rsidR="00D71784">
        <w:rPr>
          <w:rStyle w:val="FootnoteReference"/>
        </w:rPr>
        <w:footnoteReference w:id="22"/>
      </w:r>
      <w:r>
        <w:t xml:space="preserve">. There was a big issue amongst the poor towards the later stages of the war, food shortages were very common even more than before 1914.  Evelyn Sharp wrote in her book </w:t>
      </w:r>
      <w:r w:rsidRPr="00D009CE">
        <w:rPr>
          <w:i/>
        </w:rPr>
        <w:t>The War of All The Ages</w:t>
      </w:r>
      <w:r>
        <w:t>, regarding a young baby who died due to the lack of food that was available at the time</w:t>
      </w:r>
      <w:r w:rsidR="00D71784">
        <w:rPr>
          <w:rStyle w:val="FootnoteReference"/>
        </w:rPr>
        <w:footnoteReference w:id="23"/>
      </w:r>
      <w:r>
        <w:t xml:space="preserve">. </w:t>
      </w:r>
      <w:r w:rsidR="00432322">
        <w:t>This could cause more divisions and differences between the classes</w:t>
      </w:r>
      <w:r w:rsidR="00BB7BB4">
        <w:t xml:space="preserve">, as the working class would feel hard done by, that the upper classes were put in a better situation than they were. </w:t>
      </w:r>
    </w:p>
    <w:p w14:paraId="394AF2DF" w14:textId="4E2F761A" w:rsidR="00B56CB9" w:rsidRDefault="00B56CB9" w:rsidP="00B56CB9">
      <w:r>
        <w:lastRenderedPageBreak/>
        <w:t xml:space="preserve">George Robb in his book </w:t>
      </w:r>
      <w:r w:rsidRPr="002B2963">
        <w:rPr>
          <w:i/>
        </w:rPr>
        <w:t>British Culture and the First World War</w:t>
      </w:r>
      <w:r>
        <w:t xml:space="preserve"> talks about </w:t>
      </w:r>
      <w:r w:rsidR="0037434C">
        <w:t>how the people in different classes responded to the</w:t>
      </w:r>
      <w:r>
        <w:t xml:space="preserve"> announce</w:t>
      </w:r>
      <w:r w:rsidR="0037434C">
        <w:t>ment of</w:t>
      </w:r>
      <w:r>
        <w:t xml:space="preserve"> war</w:t>
      </w:r>
      <w:r w:rsidR="002C5807">
        <w:rPr>
          <w:rStyle w:val="FootnoteReference"/>
        </w:rPr>
        <w:footnoteReference w:id="24"/>
      </w:r>
      <w:r>
        <w:t>. He claimed people who experienced the war believed that “things would never be the same again”</w:t>
      </w:r>
      <w:r w:rsidR="002C5807">
        <w:rPr>
          <w:rStyle w:val="FootnoteReference"/>
        </w:rPr>
        <w:footnoteReference w:id="25"/>
      </w:r>
      <w:r>
        <w:t xml:space="preserve">. He then goes on to write about the upper class. How </w:t>
      </w:r>
      <w:r w:rsidR="0037434C">
        <w:t>in effect</w:t>
      </w:r>
      <w:r>
        <w:t xml:space="preserve"> their lives </w:t>
      </w:r>
      <w:r w:rsidR="0037434C">
        <w:t>were</w:t>
      </w:r>
      <w:r>
        <w:t xml:space="preserve"> turned upside down, no more parties, cheap servants or low taxes, the war instilled a working-class ethic amongst the upper-class</w:t>
      </w:r>
      <w:r w:rsidR="00A31D5B">
        <w:t xml:space="preserve"> </w:t>
      </w:r>
      <w:r>
        <w:t>men, especially those who served as soldiers</w:t>
      </w:r>
      <w:r w:rsidR="002C5807">
        <w:rPr>
          <w:rStyle w:val="FootnoteReference"/>
        </w:rPr>
        <w:footnoteReference w:id="26"/>
      </w:r>
      <w:r>
        <w:t>. Even those in the communities had to learn how to work hard and support the war effort.  He also claims that the working class came out of the war more cohesive, powerful and ambitious than they ever had been</w:t>
      </w:r>
      <w:r w:rsidR="002C5807">
        <w:rPr>
          <w:rStyle w:val="FootnoteReference"/>
        </w:rPr>
        <w:footnoteReference w:id="27"/>
      </w:r>
      <w:r>
        <w:t xml:space="preserve">. Therefore, this could change the differences between the classes as the working class would </w:t>
      </w:r>
      <w:r w:rsidR="0037434C">
        <w:t>want to aspire to do similar things to those in the upper classes</w:t>
      </w:r>
      <w:r>
        <w:t>.  Robb then also writes about how frequent strikes and riots were before the war, for example, the trade unions strikes were happening</w:t>
      </w:r>
      <w:r w:rsidR="002C5807">
        <w:rPr>
          <w:rStyle w:val="FootnoteReference"/>
        </w:rPr>
        <w:footnoteReference w:id="28"/>
      </w:r>
      <w:r>
        <w:t>. He talks about the numbers of strikes increasing from 1909 where there were 422 strikes in 1909, compared to the 1,459 in 1913</w:t>
      </w:r>
      <w:r w:rsidR="002C5807">
        <w:rPr>
          <w:rStyle w:val="FootnoteReference"/>
        </w:rPr>
        <w:footnoteReference w:id="29"/>
      </w:r>
      <w:r>
        <w:t>.  He then goes on mentions Social</w:t>
      </w:r>
      <w:r w:rsidR="007408EB">
        <w:t>ist</w:t>
      </w:r>
      <w:r>
        <w:t xml:space="preserve"> Internationalism and how it disappeared when the war was announced, and how many of its supporters encouraged the war and the fighting against other countries or they were just silenced by the war</w:t>
      </w:r>
      <w:r w:rsidR="002C5807">
        <w:rPr>
          <w:rStyle w:val="FootnoteReference"/>
        </w:rPr>
        <w:footnoteReference w:id="30"/>
      </w:r>
      <w:r>
        <w:t xml:space="preserve">. This shows that the war inspired everyone to do their work and petty quarrels and beliefs did not stand in the way for four years that the war was being fought. If the socialist believers can rally behind the country at this time, every class should be able to help the war effort in some way. </w:t>
      </w:r>
      <w:r w:rsidR="00AF2E15">
        <w:t xml:space="preserve">This is what happened for </w:t>
      </w:r>
      <w:r w:rsidR="0037434C">
        <w:t>the majority</w:t>
      </w:r>
      <w:r w:rsidR="00AF2E15">
        <w:t xml:space="preserve"> of the people</w:t>
      </w:r>
      <w:r w:rsidR="001D4E19">
        <w:t xml:space="preserve"> that were</w:t>
      </w:r>
      <w:r w:rsidR="00AF2E15">
        <w:t xml:space="preserve"> affected </w:t>
      </w:r>
      <w:r w:rsidR="000D70A9">
        <w:t>by the war</w:t>
      </w:r>
      <w:r w:rsidR="0037434C">
        <w:t>,</w:t>
      </w:r>
      <w:r w:rsidR="000D70A9">
        <w:t xml:space="preserve"> Especially the soldiers who were forced to fight for their country.</w:t>
      </w:r>
    </w:p>
    <w:p w14:paraId="33A54043" w14:textId="610FF22C" w:rsidR="00B56CB9" w:rsidRDefault="00B56CB9" w:rsidP="00B56CB9">
      <w:r>
        <w:t>The working class ethic he mentions does not pass through to every town or city. Robb mentions Salford as a place that did not become full of patriotism when the war was announced in August</w:t>
      </w:r>
      <w:r w:rsidR="002C5807">
        <w:rPr>
          <w:rStyle w:val="FootnoteReference"/>
        </w:rPr>
        <w:footnoteReference w:id="31"/>
      </w:r>
      <w:r>
        <w:t>. Furthermore, some of the working class community did not share the optimism and effort of many others, as the Contemporary Review quoted a woman who mentions that she did not think it would be much different if the Germans did rule over Britain, she claimed that she would still be poor and barely making ends meet in a German-led Britain compared to how it was before the war</w:t>
      </w:r>
      <w:r w:rsidR="002C5807">
        <w:rPr>
          <w:rStyle w:val="FootnoteReference"/>
        </w:rPr>
        <w:footnoteReference w:id="32"/>
      </w:r>
      <w:r>
        <w:t xml:space="preserve">.  This shows, however, the difference in Britain between the classes and even the </w:t>
      </w:r>
      <w:r w:rsidR="00A31D5B">
        <w:t>mind sets</w:t>
      </w:r>
      <w:r>
        <w:t xml:space="preserve"> of different people.  There were even novels at the time of the First World War talking about the poor and how it was more of a worry for their bosses rather than themselves in particular.</w:t>
      </w:r>
      <w:r w:rsidR="002B2963">
        <w:t xml:space="preserve"> </w:t>
      </w:r>
      <w:r w:rsidR="00B573CF">
        <w:t>If the Germans took over, they would change everything, the structure of the Government, people’s businesses. They could even change the currency. It would be a complete change, if you were a wealthy upper class person in Britain you could not have been sure of your position, both money wise and business wise.</w:t>
      </w:r>
      <w:r>
        <w:t xml:space="preserve"> It would not change the poor or working class people very much at all. It would have been more of a sense of national pride and identity for the working class rather than how much their lives and their wealth were going to change. </w:t>
      </w:r>
    </w:p>
    <w:p w14:paraId="119E05ED" w14:textId="67D5D2A8" w:rsidR="00F25C9C" w:rsidRDefault="00F25C9C" w:rsidP="00F25C9C">
      <w:r>
        <w:t>The Government would want the status quo in Britain to go back to how it was before the war had started. For example, they would send the women back to their houses if they were married. However, the government could also want society to work in the way it did during the war as everyone worked together well. The problem would be the jobs, the men who were at w</w:t>
      </w:r>
      <w:r w:rsidR="001D4E19">
        <w:t>ar</w:t>
      </w:r>
      <w:r>
        <w:t xml:space="preserve"> needed </w:t>
      </w:r>
      <w:r>
        <w:lastRenderedPageBreak/>
        <w:t xml:space="preserve">to come back to jobs. As found out later, many soldiers were left jobless and therefore struggled and were left homeless or even worse finding </w:t>
      </w:r>
      <w:r w:rsidR="001D4E19">
        <w:t>some of the men commiting suicide</w:t>
      </w:r>
      <w:r w:rsidR="002230BD">
        <w:rPr>
          <w:rStyle w:val="FootnoteReference"/>
        </w:rPr>
        <w:footnoteReference w:id="33"/>
      </w:r>
      <w:r>
        <w:t>.  This was considered a really difficult problem for Britain after the war. George Robb talks about how it was the upper class men who had no problem going into war and becoming soldiers and fighting for their country, making it seem like the upper class made up a large majority of the British Army</w:t>
      </w:r>
      <w:r w:rsidR="002230BD">
        <w:rPr>
          <w:rStyle w:val="FootnoteReference"/>
        </w:rPr>
        <w:footnoteReference w:id="34"/>
      </w:r>
      <w:r>
        <w:t xml:space="preserve">. However, this is an arguable point, largely the working class men who came back from the war would be the people struggling as the upper class men could go back to their nice lives for the most part. </w:t>
      </w:r>
    </w:p>
    <w:p w14:paraId="020B447E" w14:textId="4C1C3D15" w:rsidR="00F25C9C" w:rsidRDefault="00F25C9C" w:rsidP="00B56CB9">
      <w:r>
        <w:t>The Army itself was the place that classes did not make a difference and petty divisions and differences were forgotten about during the war period. As it is claimed that the “camaraderie of the trenches” could make the officers forget about the differences in class between those particular soldiers in the trenches</w:t>
      </w:r>
      <w:r w:rsidR="002230BD">
        <w:rPr>
          <w:rStyle w:val="FootnoteReference"/>
        </w:rPr>
        <w:footnoteReference w:id="35"/>
      </w:r>
      <w:r>
        <w:t>.  The biggest change in attitudes that came out of the war, was that the soldiers grew a liking to helping the disadvantaged which would lead to a big change in what the middle class thought about the poor, which John Keegan states was the most important social trend in Twentieth Century Britain</w:t>
      </w:r>
      <w:r w:rsidR="002230BD">
        <w:rPr>
          <w:rStyle w:val="FootnoteReference"/>
        </w:rPr>
        <w:footnoteReference w:id="36"/>
      </w:r>
      <w:r>
        <w:t xml:space="preserve">.  </w:t>
      </w:r>
    </w:p>
    <w:p w14:paraId="1AA9B0AB" w14:textId="25EA7D06" w:rsidR="00B56CB9" w:rsidRDefault="00B56CB9" w:rsidP="00B56CB9">
      <w:r>
        <w:t>The way the economy and the class systems were before t</w:t>
      </w:r>
      <w:r w:rsidR="00975246">
        <w:t>he war was a very stable, well-</w:t>
      </w:r>
      <w:r>
        <w:t xml:space="preserve">initiated system. The economy was doing well before 1914 so why not try to replicate that after the war was over. There were no really </w:t>
      </w:r>
      <w:r w:rsidR="001F4E50">
        <w:t>outstanding</w:t>
      </w:r>
      <w:r>
        <w:t xml:space="preserve"> problems that occurred before the </w:t>
      </w:r>
      <w:r w:rsidR="00D009CE">
        <w:t>F</w:t>
      </w:r>
      <w:r>
        <w:t xml:space="preserve">irst </w:t>
      </w:r>
      <w:r w:rsidR="00D009CE">
        <w:t>W</w:t>
      </w:r>
      <w:r>
        <w:t xml:space="preserve">orld </w:t>
      </w:r>
      <w:r w:rsidR="00D009CE">
        <w:t>W</w:t>
      </w:r>
      <w:r>
        <w:t>ar. Therefore the Government would want the same system and economy was doing well</w:t>
      </w:r>
      <w:r w:rsidR="002230BD">
        <w:rPr>
          <w:rStyle w:val="FootnoteReference"/>
        </w:rPr>
        <w:footnoteReference w:id="37"/>
      </w:r>
      <w:r>
        <w:t>. However, after the war, the economy was in a worse place due to having to pay for the ammunition, the soldiers, all of the equipment needed to fight in the air, in the seas and on the ground</w:t>
      </w:r>
      <w:r w:rsidR="002230BD">
        <w:rPr>
          <w:rStyle w:val="FootnoteReference"/>
        </w:rPr>
        <w:footnoteReference w:id="38"/>
      </w:r>
      <w:r>
        <w:t>. Rations were in place and the British economy was struggling</w:t>
      </w:r>
      <w:r w:rsidR="00923C6A">
        <w:t xml:space="preserve"> to fight a war and keep the people happy</w:t>
      </w:r>
      <w:r w:rsidR="00923C6A">
        <w:rPr>
          <w:rStyle w:val="FootnoteReference"/>
        </w:rPr>
        <w:footnoteReference w:id="39"/>
      </w:r>
      <w:r>
        <w:t>. Therefore, the Government would want the status to return to a prosperous state rather than in a difficult situation.</w:t>
      </w:r>
      <w:r w:rsidR="008E1A6A">
        <w:t xml:space="preserve"> However, the economy was in a bad position </w:t>
      </w:r>
      <w:r w:rsidR="00923C6A">
        <w:t>after the First World War</w:t>
      </w:r>
      <w:r w:rsidR="00923C6A">
        <w:rPr>
          <w:rStyle w:val="FootnoteReference"/>
        </w:rPr>
        <w:footnoteReference w:id="40"/>
      </w:r>
      <w:r w:rsidR="008E1A6A">
        <w:t xml:space="preserve">. The Government did not get Britain back to how it was before the war started and the strikes started to be more frequent, and the factories needed to be made or to have lots of new workers start their jobs. </w:t>
      </w:r>
      <w:r w:rsidR="00AA275F">
        <w:t xml:space="preserve">The economy was the biggest factor in Britain after </w:t>
      </w:r>
      <w:r w:rsidR="001D4E19">
        <w:t>W</w:t>
      </w:r>
      <w:r w:rsidR="00AA275F">
        <w:t xml:space="preserve">orld </w:t>
      </w:r>
      <w:r w:rsidR="001D4E19">
        <w:t>W</w:t>
      </w:r>
      <w:r w:rsidR="00AA275F">
        <w:t>ar One</w:t>
      </w:r>
      <w:r w:rsidR="001D4E19">
        <w:t xml:space="preserve"> as it did </w:t>
      </w:r>
      <w:r w:rsidR="00AA275F">
        <w:t>not go</w:t>
      </w:r>
      <w:r w:rsidR="001D4E19">
        <w:t xml:space="preserve"> </w:t>
      </w:r>
      <w:r w:rsidR="00AA275F">
        <w:t>back to</w:t>
      </w:r>
      <w:r w:rsidR="001D4E19">
        <w:t xml:space="preserve"> the levels of</w:t>
      </w:r>
      <w:r w:rsidR="00AA275F">
        <w:t xml:space="preserve"> pre- First World War Britain. </w:t>
      </w:r>
      <w:r>
        <w:t xml:space="preserve"> </w:t>
      </w:r>
    </w:p>
    <w:p w14:paraId="02FBEED1" w14:textId="61983304" w:rsidR="00DB0969" w:rsidRDefault="00B56CB9" w:rsidP="00B56CB9">
      <w:r>
        <w:t xml:space="preserve">In conclusion, for the most part of the war class divisions and differences were maintained. </w:t>
      </w:r>
      <w:r w:rsidR="00DE2CBA">
        <w:t>Strikes were an example of this. With the issues and divisions between the upper class</w:t>
      </w:r>
      <w:r w:rsidR="0028170C">
        <w:t xml:space="preserve"> and the working classes that have been common knowledge for decades. The economy was another reason to why there were tensions amongst the upper class, who wanted the economy to become like it was before the war. Amongst the soldiers in the army, there were less divisions between classes as they all pulled together for the allied victory, they were in the trenches and faced death therefore they ignored the differences between classes that there were before. The working class ethic was installed through </w:t>
      </w:r>
      <w:r w:rsidR="00C16A0D">
        <w:t xml:space="preserve">the army and most of Britain that felt patriotic. Some of the working class, did feel aggrieved over how they had been treated throughout the war  and did not share the patriotic feeling that many others in their class felt. The Upper class however, had their lives dramatically </w:t>
      </w:r>
      <w:r w:rsidR="00C16A0D">
        <w:lastRenderedPageBreak/>
        <w:t xml:space="preserve">changed due to the war. </w:t>
      </w:r>
      <w:r w:rsidR="00DC748D">
        <w:t>They did thrive predominantly as officers in the Army though. The upper class was also a source of help to the other classes between 19</w:t>
      </w:r>
      <w:r w:rsidR="007D64FB">
        <w:t xml:space="preserve">14 </w:t>
      </w:r>
      <w:r w:rsidR="00DC748D">
        <w:t>and 19</w:t>
      </w:r>
      <w:r w:rsidR="007D64FB">
        <w:t>18</w:t>
      </w:r>
      <w:r w:rsidR="00054E55">
        <w:t xml:space="preserve"> as either changing their houses to help the health industry during the war.</w:t>
      </w:r>
      <w:r w:rsidR="007D64FB">
        <w:t xml:space="preserve"> </w:t>
      </w:r>
      <w:r w:rsidR="00A40251">
        <w:t xml:space="preserve"> </w:t>
      </w:r>
    </w:p>
    <w:p w14:paraId="51F7D140" w14:textId="071AF513" w:rsidR="00DB0969" w:rsidRDefault="00DB0969" w:rsidP="00B56CB9"/>
    <w:p w14:paraId="1BED258C" w14:textId="77777777" w:rsidR="00DB0969" w:rsidRDefault="00DB0969" w:rsidP="00DB0969">
      <w:pPr>
        <w:jc w:val="center"/>
        <w:rPr>
          <w:u w:val="single"/>
        </w:rPr>
      </w:pPr>
    </w:p>
    <w:p w14:paraId="66D322F8" w14:textId="77777777" w:rsidR="00DB0969" w:rsidRDefault="00DB0969" w:rsidP="00DB0969">
      <w:pPr>
        <w:jc w:val="center"/>
        <w:rPr>
          <w:u w:val="single"/>
        </w:rPr>
      </w:pPr>
    </w:p>
    <w:p w14:paraId="19B2D57D" w14:textId="77777777" w:rsidR="00DB0969" w:rsidRDefault="00DB0969" w:rsidP="00DB0969">
      <w:pPr>
        <w:jc w:val="center"/>
        <w:rPr>
          <w:u w:val="single"/>
        </w:rPr>
      </w:pPr>
    </w:p>
    <w:p w14:paraId="19FC5F77" w14:textId="77777777" w:rsidR="00DB0969" w:rsidRDefault="00DB0969" w:rsidP="00DB0969">
      <w:pPr>
        <w:jc w:val="center"/>
        <w:rPr>
          <w:u w:val="single"/>
        </w:rPr>
      </w:pPr>
    </w:p>
    <w:p w14:paraId="66F8BA14" w14:textId="77777777" w:rsidR="00DB0969" w:rsidRDefault="00DB0969" w:rsidP="00DB0969">
      <w:pPr>
        <w:jc w:val="center"/>
        <w:rPr>
          <w:u w:val="single"/>
        </w:rPr>
      </w:pPr>
    </w:p>
    <w:p w14:paraId="305BF71C" w14:textId="77777777" w:rsidR="00DB0969" w:rsidRDefault="00DB0969" w:rsidP="00DB0969">
      <w:pPr>
        <w:jc w:val="center"/>
        <w:rPr>
          <w:u w:val="single"/>
        </w:rPr>
      </w:pPr>
    </w:p>
    <w:p w14:paraId="26FF7FB7" w14:textId="77777777" w:rsidR="00DB0969" w:rsidRDefault="00DB0969" w:rsidP="00DB0969">
      <w:pPr>
        <w:jc w:val="center"/>
        <w:rPr>
          <w:u w:val="single"/>
        </w:rPr>
      </w:pPr>
    </w:p>
    <w:p w14:paraId="703D35D2" w14:textId="77777777" w:rsidR="00DB0969" w:rsidRDefault="00DB0969" w:rsidP="00DB0969">
      <w:pPr>
        <w:jc w:val="center"/>
        <w:rPr>
          <w:u w:val="single"/>
        </w:rPr>
      </w:pPr>
    </w:p>
    <w:p w14:paraId="62BC4D94" w14:textId="77777777" w:rsidR="00DB0969" w:rsidRDefault="00DB0969" w:rsidP="00DB0969">
      <w:pPr>
        <w:jc w:val="center"/>
        <w:rPr>
          <w:u w:val="single"/>
        </w:rPr>
      </w:pPr>
    </w:p>
    <w:p w14:paraId="353CC684" w14:textId="77777777" w:rsidR="00DB0969" w:rsidRDefault="00DB0969" w:rsidP="00DB0969">
      <w:pPr>
        <w:jc w:val="center"/>
        <w:rPr>
          <w:u w:val="single"/>
        </w:rPr>
      </w:pPr>
    </w:p>
    <w:p w14:paraId="422C903D" w14:textId="77777777" w:rsidR="00DB0969" w:rsidRDefault="00DB0969" w:rsidP="00DB0969">
      <w:pPr>
        <w:jc w:val="center"/>
        <w:rPr>
          <w:u w:val="single"/>
        </w:rPr>
      </w:pPr>
    </w:p>
    <w:p w14:paraId="0E818CF1" w14:textId="77777777" w:rsidR="00DB0969" w:rsidRDefault="00DB0969" w:rsidP="00DB0969">
      <w:pPr>
        <w:jc w:val="center"/>
        <w:rPr>
          <w:u w:val="single"/>
        </w:rPr>
      </w:pPr>
    </w:p>
    <w:p w14:paraId="20F6382F" w14:textId="77777777" w:rsidR="00DB0969" w:rsidRDefault="00DB0969" w:rsidP="00DB0969">
      <w:pPr>
        <w:jc w:val="center"/>
        <w:rPr>
          <w:u w:val="single"/>
        </w:rPr>
      </w:pPr>
    </w:p>
    <w:p w14:paraId="1E058332" w14:textId="77777777" w:rsidR="00DB0969" w:rsidRDefault="00DB0969" w:rsidP="00DB0969">
      <w:pPr>
        <w:jc w:val="center"/>
        <w:rPr>
          <w:u w:val="single"/>
        </w:rPr>
      </w:pPr>
    </w:p>
    <w:p w14:paraId="50398B3D" w14:textId="77777777" w:rsidR="00DB0969" w:rsidRDefault="00DB0969" w:rsidP="00DB0969">
      <w:pPr>
        <w:jc w:val="center"/>
        <w:rPr>
          <w:u w:val="single"/>
        </w:rPr>
      </w:pPr>
    </w:p>
    <w:p w14:paraId="058279C5" w14:textId="77777777" w:rsidR="00DB0969" w:rsidRDefault="00DB0969" w:rsidP="00DB0969">
      <w:pPr>
        <w:jc w:val="center"/>
        <w:rPr>
          <w:u w:val="single"/>
        </w:rPr>
      </w:pPr>
    </w:p>
    <w:p w14:paraId="1934CB01" w14:textId="77777777" w:rsidR="00DB0969" w:rsidRDefault="00DB0969" w:rsidP="00DB0969">
      <w:pPr>
        <w:jc w:val="center"/>
        <w:rPr>
          <w:u w:val="single"/>
        </w:rPr>
      </w:pPr>
    </w:p>
    <w:p w14:paraId="6FD4E83B" w14:textId="77777777" w:rsidR="00DB0969" w:rsidRDefault="00DB0969" w:rsidP="00DB0969">
      <w:pPr>
        <w:jc w:val="center"/>
        <w:rPr>
          <w:u w:val="single"/>
        </w:rPr>
      </w:pPr>
    </w:p>
    <w:p w14:paraId="4F34BC95" w14:textId="77777777" w:rsidR="00054E55" w:rsidRDefault="00054E55" w:rsidP="00DB0969">
      <w:pPr>
        <w:jc w:val="center"/>
        <w:rPr>
          <w:u w:val="single"/>
        </w:rPr>
      </w:pPr>
    </w:p>
    <w:p w14:paraId="0345D3F0" w14:textId="77777777" w:rsidR="00054E55" w:rsidRDefault="00054E55" w:rsidP="00DB0969">
      <w:pPr>
        <w:jc w:val="center"/>
        <w:rPr>
          <w:u w:val="single"/>
        </w:rPr>
      </w:pPr>
    </w:p>
    <w:p w14:paraId="6DB6BE18" w14:textId="77777777" w:rsidR="00054E55" w:rsidRDefault="00054E55" w:rsidP="00DB0969">
      <w:pPr>
        <w:jc w:val="center"/>
        <w:rPr>
          <w:u w:val="single"/>
        </w:rPr>
      </w:pPr>
    </w:p>
    <w:p w14:paraId="73481142" w14:textId="77777777" w:rsidR="00054E55" w:rsidRDefault="00054E55" w:rsidP="00DB0969">
      <w:pPr>
        <w:jc w:val="center"/>
        <w:rPr>
          <w:u w:val="single"/>
        </w:rPr>
      </w:pPr>
    </w:p>
    <w:p w14:paraId="29E06D18" w14:textId="77777777" w:rsidR="00054E55" w:rsidRDefault="00054E55" w:rsidP="00DB0969">
      <w:pPr>
        <w:jc w:val="center"/>
        <w:rPr>
          <w:u w:val="single"/>
        </w:rPr>
      </w:pPr>
    </w:p>
    <w:p w14:paraId="176AA168" w14:textId="77777777" w:rsidR="00054E55" w:rsidRDefault="00054E55" w:rsidP="00DB0969">
      <w:pPr>
        <w:jc w:val="center"/>
        <w:rPr>
          <w:u w:val="single"/>
        </w:rPr>
      </w:pPr>
    </w:p>
    <w:p w14:paraId="67ACFE46" w14:textId="77777777" w:rsidR="00054E55" w:rsidRDefault="00054E55" w:rsidP="00DB0969">
      <w:pPr>
        <w:jc w:val="center"/>
        <w:rPr>
          <w:u w:val="single"/>
        </w:rPr>
      </w:pPr>
    </w:p>
    <w:p w14:paraId="794267BA" w14:textId="77777777" w:rsidR="00054E55" w:rsidRDefault="00054E55" w:rsidP="00DB0969">
      <w:pPr>
        <w:jc w:val="center"/>
        <w:rPr>
          <w:u w:val="single"/>
        </w:rPr>
      </w:pPr>
    </w:p>
    <w:p w14:paraId="151010DB" w14:textId="77777777" w:rsidR="00054E55" w:rsidRDefault="00054E55" w:rsidP="00DB0969">
      <w:pPr>
        <w:jc w:val="center"/>
        <w:rPr>
          <w:u w:val="single"/>
        </w:rPr>
      </w:pPr>
    </w:p>
    <w:p w14:paraId="679EEB11" w14:textId="77777777" w:rsidR="00054E55" w:rsidRDefault="00054E55" w:rsidP="00DB0969">
      <w:pPr>
        <w:jc w:val="center"/>
        <w:rPr>
          <w:u w:val="single"/>
        </w:rPr>
      </w:pPr>
    </w:p>
    <w:p w14:paraId="11BC8ECC" w14:textId="21831D2B" w:rsidR="00DB0969" w:rsidRDefault="00DB0969" w:rsidP="00054E55">
      <w:pPr>
        <w:jc w:val="center"/>
        <w:rPr>
          <w:u w:val="single"/>
        </w:rPr>
      </w:pPr>
      <w:r w:rsidRPr="005C22DD">
        <w:rPr>
          <w:u w:val="single"/>
        </w:rPr>
        <w:lastRenderedPageBreak/>
        <w:t>Bibliography</w:t>
      </w:r>
    </w:p>
    <w:p w14:paraId="09BED705" w14:textId="65A7002B" w:rsidR="00DB0969" w:rsidRDefault="00DD3C1A" w:rsidP="007D64FB">
      <w:pPr>
        <w:jc w:val="center"/>
        <w:rPr>
          <w:u w:val="single"/>
        </w:rPr>
      </w:pPr>
      <w:r>
        <w:rPr>
          <w:u w:val="single"/>
        </w:rPr>
        <w:t>Primary Sources</w:t>
      </w:r>
    </w:p>
    <w:p w14:paraId="6AB0B18C" w14:textId="6B80394D" w:rsidR="00DD3C1A" w:rsidRDefault="00DD3C1A" w:rsidP="00DD3C1A">
      <w:r w:rsidRPr="005F774B">
        <w:t xml:space="preserve">E.Sharp, </w:t>
      </w:r>
      <w:r w:rsidRPr="005F774B">
        <w:rPr>
          <w:i/>
        </w:rPr>
        <w:t xml:space="preserve">The War of All the Ages </w:t>
      </w:r>
      <w:r w:rsidRPr="005F774B">
        <w:t>(London; Sidgwick &amp; Jackson, 1915)</w:t>
      </w:r>
    </w:p>
    <w:p w14:paraId="58F19A6B" w14:textId="77777777" w:rsidR="00DD3C1A" w:rsidRPr="00DD3C1A" w:rsidRDefault="00DD3C1A" w:rsidP="00DD3C1A">
      <w:bookmarkStart w:id="16" w:name="_GoBack"/>
      <w:bookmarkEnd w:id="16"/>
      <w:r>
        <w:t xml:space="preserve">G.S. Street, </w:t>
      </w:r>
      <w:r w:rsidRPr="00DD3C1A">
        <w:rPr>
          <w:i/>
        </w:rPr>
        <w:t>At Home in the War</w:t>
      </w:r>
      <w:r>
        <w:rPr>
          <w:i/>
        </w:rPr>
        <w:t xml:space="preserve"> </w:t>
      </w:r>
      <w:r>
        <w:t>(London: Heinemann,1918)</w:t>
      </w:r>
    </w:p>
    <w:p w14:paraId="2EFCF25C" w14:textId="7D31D061" w:rsidR="00DD3C1A" w:rsidRDefault="00DD3C1A" w:rsidP="00DB0969">
      <w:r>
        <w:t>Sidney Webb and Arnold Freeman, Great Britain after the War (London: George Allen and Unwin,1916)</w:t>
      </w:r>
    </w:p>
    <w:p w14:paraId="0E674EB9" w14:textId="77777777" w:rsidR="00DD3C1A" w:rsidRDefault="00DD3C1A" w:rsidP="00DB0969"/>
    <w:p w14:paraId="7F9ED3D1" w14:textId="2F267FEC" w:rsidR="00DD3C1A" w:rsidRDefault="00DD3C1A" w:rsidP="00DB0969"/>
    <w:p w14:paraId="15BA6CD1" w14:textId="06F21D94" w:rsidR="00DD3C1A" w:rsidRPr="00DD3C1A" w:rsidRDefault="00DD3C1A" w:rsidP="00DD3C1A">
      <w:pPr>
        <w:jc w:val="center"/>
        <w:rPr>
          <w:u w:val="single"/>
        </w:rPr>
      </w:pPr>
      <w:r w:rsidRPr="00DD3C1A">
        <w:rPr>
          <w:u w:val="single"/>
        </w:rPr>
        <w:t>Secondary Sources</w:t>
      </w:r>
    </w:p>
    <w:p w14:paraId="794B830D" w14:textId="68796F94" w:rsidR="00DB0969" w:rsidRPr="005F774B" w:rsidRDefault="00DB0969" w:rsidP="00DB0969">
      <w:r w:rsidRPr="005F774B">
        <w:t xml:space="preserve">A.Gregory, </w:t>
      </w:r>
      <w:r w:rsidRPr="005F774B">
        <w:rPr>
          <w:i/>
        </w:rPr>
        <w:t>A War of Peoples 1914-1919 (Oxford Histories</w:t>
      </w:r>
      <w:r w:rsidRPr="005F774B">
        <w:t>) (Oxford: Oxford University Press,2014)</w:t>
      </w:r>
    </w:p>
    <w:p w14:paraId="60EF7851" w14:textId="77777777" w:rsidR="00DB0969" w:rsidRPr="005F774B" w:rsidRDefault="00DB0969" w:rsidP="00DB0969">
      <w:r w:rsidRPr="005F774B">
        <w:t xml:space="preserve">A.C. Grayling, </w:t>
      </w:r>
      <w:r w:rsidRPr="005F774B">
        <w:rPr>
          <w:i/>
        </w:rPr>
        <w:t>Among the Dead Cities</w:t>
      </w:r>
      <w:r w:rsidRPr="005F774B">
        <w:t xml:space="preserve"> ( London; Bloomsbury Publishing PLC, 2007)</w:t>
      </w:r>
    </w:p>
    <w:p w14:paraId="5DE79929" w14:textId="77777777" w:rsidR="00DB0969" w:rsidRPr="005F774B" w:rsidRDefault="00DB0969" w:rsidP="00DB0969">
      <w:bookmarkStart w:id="17" w:name="_Hlk503356427"/>
      <w:r w:rsidRPr="005F774B">
        <w:t xml:space="preserve">A.J.P, Taylor, </w:t>
      </w:r>
      <w:r w:rsidRPr="005F774B">
        <w:rPr>
          <w:i/>
        </w:rPr>
        <w:t xml:space="preserve">The First World War: An Illustrated History </w:t>
      </w:r>
      <w:r w:rsidRPr="005F774B">
        <w:t>(London; Penguin Books, 1974)</w:t>
      </w:r>
    </w:p>
    <w:p w14:paraId="18EB9CA7" w14:textId="77777777" w:rsidR="00DB0969" w:rsidRPr="005F774B" w:rsidRDefault="00DB0969" w:rsidP="00DB0969">
      <w:bookmarkStart w:id="18" w:name="_Hlk503531282"/>
      <w:bookmarkEnd w:id="17"/>
      <w:r w:rsidRPr="005F774B">
        <w:t xml:space="preserve">E.Sharp, </w:t>
      </w:r>
      <w:r w:rsidRPr="005F774B">
        <w:rPr>
          <w:i/>
        </w:rPr>
        <w:t xml:space="preserve">The War of All the Ages </w:t>
      </w:r>
      <w:r w:rsidRPr="005F774B">
        <w:t>(London; Sidgwick &amp; Jackson, 1915)</w:t>
      </w:r>
    </w:p>
    <w:p w14:paraId="21E57595" w14:textId="2EF6D931" w:rsidR="00DB0969" w:rsidRDefault="00DB0969" w:rsidP="00DB0969">
      <w:bookmarkStart w:id="19" w:name="_Hlk503350033"/>
      <w:bookmarkEnd w:id="18"/>
      <w:r w:rsidRPr="005F774B">
        <w:t xml:space="preserve">G.Robb, </w:t>
      </w:r>
      <w:r w:rsidRPr="005F774B">
        <w:rPr>
          <w:i/>
        </w:rPr>
        <w:t xml:space="preserve">British Culture and the First World War </w:t>
      </w:r>
      <w:r w:rsidRPr="005F774B">
        <w:t>(Hampshire; Palgrave,2002)</w:t>
      </w:r>
      <w:bookmarkEnd w:id="19"/>
    </w:p>
    <w:p w14:paraId="4EF70105" w14:textId="07C1F09C" w:rsidR="001459E7" w:rsidRPr="00DD3C1A" w:rsidRDefault="001459E7" w:rsidP="00DB0969">
      <w:bookmarkStart w:id="20" w:name="_Hlk503531296"/>
      <w:r>
        <w:t>G.</w:t>
      </w:r>
      <w:r w:rsidR="00DD3C1A">
        <w:t xml:space="preserve">S. Street, </w:t>
      </w:r>
      <w:r w:rsidR="00DD3C1A" w:rsidRPr="00DD3C1A">
        <w:rPr>
          <w:i/>
        </w:rPr>
        <w:t>At Home in the War</w:t>
      </w:r>
      <w:r w:rsidR="00DD3C1A">
        <w:rPr>
          <w:i/>
        </w:rPr>
        <w:t xml:space="preserve"> </w:t>
      </w:r>
      <w:r w:rsidR="00DD3C1A">
        <w:t>(London: Heinemann,1918)</w:t>
      </w:r>
    </w:p>
    <w:bookmarkEnd w:id="20"/>
    <w:p w14:paraId="7ADC9078" w14:textId="77777777" w:rsidR="00DB0969" w:rsidRPr="005F774B" w:rsidRDefault="00DB0969" w:rsidP="00DB0969">
      <w:r w:rsidRPr="005F774B">
        <w:t xml:space="preserve">J.Winter, </w:t>
      </w:r>
      <w:r w:rsidRPr="005F774B">
        <w:rPr>
          <w:i/>
        </w:rPr>
        <w:t xml:space="preserve">1914-1918: Great War and the Shaping of the Twentieth Century </w:t>
      </w:r>
      <w:r w:rsidRPr="005F774B">
        <w:t>( London; BBC Books, 1996)</w:t>
      </w:r>
    </w:p>
    <w:p w14:paraId="7A9F4666" w14:textId="77777777" w:rsidR="00DB0969" w:rsidRPr="005F774B" w:rsidRDefault="00DB0969" w:rsidP="00DB0969">
      <w:r w:rsidRPr="005F774B">
        <w:t xml:space="preserve">J.M.Winter, </w:t>
      </w:r>
      <w:r w:rsidRPr="005F774B">
        <w:rPr>
          <w:i/>
        </w:rPr>
        <w:t>The Great War and the British People</w:t>
      </w:r>
      <w:r w:rsidRPr="005F774B">
        <w:t xml:space="preserve"> (London; Macmillan Education Ltd, 1985)</w:t>
      </w:r>
    </w:p>
    <w:p w14:paraId="4B5CAC2B" w14:textId="77777777" w:rsidR="00DB0969" w:rsidRPr="005F774B" w:rsidRDefault="00DB0969" w:rsidP="00DB0969">
      <w:pPr>
        <w:rPr>
          <w:rFonts w:ascii="Calibri" w:eastAsia="Calibri" w:hAnsi="Calibri" w:cs="Times New Roman"/>
        </w:rPr>
      </w:pPr>
      <w:bookmarkStart w:id="21" w:name="_Hlk503350950"/>
      <w:r w:rsidRPr="005F774B">
        <w:rPr>
          <w:rFonts w:ascii="Calibri" w:eastAsia="Calibri" w:hAnsi="Calibri" w:cs="Times New Roman"/>
        </w:rPr>
        <w:t xml:space="preserve">L.Freedman, </w:t>
      </w:r>
      <w:r w:rsidRPr="005F774B">
        <w:rPr>
          <w:rFonts w:ascii="Calibri" w:eastAsia="Calibri" w:hAnsi="Calibri" w:cs="Times New Roman"/>
          <w:i/>
        </w:rPr>
        <w:t>War (</w:t>
      </w:r>
      <w:r w:rsidRPr="005F774B">
        <w:rPr>
          <w:rFonts w:ascii="Calibri" w:eastAsia="Calibri" w:hAnsi="Calibri" w:cs="Times New Roman"/>
        </w:rPr>
        <w:t>Oxford: Oxford University Press,2011)</w:t>
      </w:r>
    </w:p>
    <w:p w14:paraId="3D45C3DD" w14:textId="77777777" w:rsidR="00DB0969" w:rsidRPr="005F774B" w:rsidRDefault="00DB0969" w:rsidP="00DB0969">
      <w:r w:rsidRPr="005F774B">
        <w:t xml:space="preserve">L.Woodward, </w:t>
      </w:r>
      <w:r w:rsidRPr="005F774B">
        <w:rPr>
          <w:i/>
        </w:rPr>
        <w:t>Great Britain and the War of 1914-1918</w:t>
      </w:r>
      <w:r w:rsidRPr="005F774B">
        <w:t xml:space="preserve">  (Great Britain;Butler and Tanner Ltd, 1967)</w:t>
      </w:r>
    </w:p>
    <w:p w14:paraId="3877D1BF" w14:textId="77777777" w:rsidR="00DB0969" w:rsidRPr="005F774B" w:rsidRDefault="00DB0969" w:rsidP="00DB0969">
      <w:pPr>
        <w:pStyle w:val="FootnoteText"/>
        <w:rPr>
          <w:sz w:val="22"/>
          <w:szCs w:val="22"/>
        </w:rPr>
      </w:pPr>
      <w:r w:rsidRPr="005F774B">
        <w:rPr>
          <w:sz w:val="22"/>
          <w:szCs w:val="22"/>
        </w:rPr>
        <w:t xml:space="preserve">M.Thatcher, </w:t>
      </w:r>
      <w:r w:rsidRPr="005F774B">
        <w:rPr>
          <w:i/>
          <w:sz w:val="22"/>
          <w:szCs w:val="22"/>
        </w:rPr>
        <w:t>The Downing Street Years</w:t>
      </w:r>
      <w:r w:rsidRPr="005F774B">
        <w:rPr>
          <w:sz w:val="22"/>
          <w:szCs w:val="22"/>
        </w:rPr>
        <w:t xml:space="preserve"> (London; HarperCollinsPublishers,1993)</w:t>
      </w:r>
    </w:p>
    <w:p w14:paraId="67B66BC5" w14:textId="77777777" w:rsidR="00DB0969" w:rsidRDefault="00DB0969" w:rsidP="00DB0969">
      <w:pPr>
        <w:pStyle w:val="FootnoteText"/>
        <w:rPr>
          <w:sz w:val="22"/>
          <w:szCs w:val="22"/>
        </w:rPr>
      </w:pPr>
    </w:p>
    <w:p w14:paraId="5C51472C" w14:textId="77777777" w:rsidR="00DB0969" w:rsidRDefault="00DB0969" w:rsidP="00DB0969">
      <w:pPr>
        <w:pStyle w:val="FootnoteText"/>
        <w:rPr>
          <w:sz w:val="22"/>
          <w:szCs w:val="22"/>
        </w:rPr>
      </w:pPr>
      <w:r w:rsidRPr="005F774B">
        <w:rPr>
          <w:sz w:val="22"/>
          <w:szCs w:val="22"/>
        </w:rPr>
        <w:t xml:space="preserve"> N.Cawthorne, </w:t>
      </w:r>
      <w:r w:rsidRPr="005F774B">
        <w:rPr>
          <w:i/>
          <w:sz w:val="22"/>
          <w:szCs w:val="22"/>
        </w:rPr>
        <w:t>Too Brave to Live; Too young to die: Teenage heroes from World War 1</w:t>
      </w:r>
      <w:r w:rsidRPr="005F774B">
        <w:rPr>
          <w:sz w:val="22"/>
          <w:szCs w:val="22"/>
        </w:rPr>
        <w:t xml:space="preserve"> (London: Metro Books, 2015)</w:t>
      </w:r>
      <w:bookmarkEnd w:id="21"/>
    </w:p>
    <w:p w14:paraId="35243E53" w14:textId="77777777" w:rsidR="00DB0969" w:rsidRPr="00AF27F2" w:rsidRDefault="00DB0969" w:rsidP="00DB0969">
      <w:pPr>
        <w:pStyle w:val="FootnoteText"/>
        <w:rPr>
          <w:sz w:val="22"/>
          <w:szCs w:val="22"/>
        </w:rPr>
      </w:pPr>
      <w:r w:rsidRPr="00AF27F2">
        <w:rPr>
          <w:sz w:val="22"/>
          <w:szCs w:val="22"/>
        </w:rPr>
        <w:t xml:space="preserve">N.Hanson, </w:t>
      </w:r>
      <w:r w:rsidRPr="00AF27F2">
        <w:rPr>
          <w:i/>
          <w:sz w:val="22"/>
          <w:szCs w:val="22"/>
        </w:rPr>
        <w:t xml:space="preserve">First Blitz </w:t>
      </w:r>
      <w:r w:rsidRPr="00AF27F2">
        <w:rPr>
          <w:sz w:val="22"/>
          <w:szCs w:val="22"/>
        </w:rPr>
        <w:t>(Gloucestershire :Corgi</w:t>
      </w:r>
      <w:r>
        <w:rPr>
          <w:sz w:val="22"/>
          <w:szCs w:val="22"/>
        </w:rPr>
        <w:t xml:space="preserve"> publishing</w:t>
      </w:r>
      <w:r w:rsidRPr="00AF27F2">
        <w:rPr>
          <w:sz w:val="22"/>
          <w:szCs w:val="22"/>
        </w:rPr>
        <w:t>,2009)</w:t>
      </w:r>
    </w:p>
    <w:p w14:paraId="4A77B9BD" w14:textId="77777777" w:rsidR="00DB0969" w:rsidRPr="005F774B" w:rsidRDefault="00DB0969" w:rsidP="00DB0969">
      <w:pPr>
        <w:pStyle w:val="FootnoteText"/>
        <w:rPr>
          <w:sz w:val="22"/>
          <w:szCs w:val="22"/>
        </w:rPr>
      </w:pPr>
    </w:p>
    <w:p w14:paraId="6E1D5B5A" w14:textId="77777777" w:rsidR="00DB0969" w:rsidRPr="005F774B" w:rsidRDefault="00DB0969" w:rsidP="00DB0969">
      <w:pPr>
        <w:rPr>
          <w:rFonts w:ascii="Calibri" w:eastAsia="Calibri" w:hAnsi="Calibri" w:cs="Times New Roman"/>
        </w:rPr>
      </w:pPr>
      <w:r w:rsidRPr="005F774B">
        <w:t>P.Clarke, Hope and Glory: Britain 1900-2000 (London; Penguin Books, 1997)</w:t>
      </w:r>
    </w:p>
    <w:p w14:paraId="774687C6" w14:textId="77777777" w:rsidR="00DB0969" w:rsidRPr="005F774B" w:rsidRDefault="00DB0969" w:rsidP="00DB0969">
      <w:r w:rsidRPr="005F774B">
        <w:t xml:space="preserve">T.Mccarthy, </w:t>
      </w:r>
      <w:r w:rsidRPr="005F774B">
        <w:rPr>
          <w:i/>
        </w:rPr>
        <w:t xml:space="preserve">Great Dock Strike of 1889 </w:t>
      </w:r>
      <w:r w:rsidRPr="005F774B">
        <w:t>( London: Weidenfeld &amp; Nicholson, 1988)</w:t>
      </w:r>
    </w:p>
    <w:p w14:paraId="67D3AF56" w14:textId="77777777" w:rsidR="00DB0969" w:rsidRPr="005F774B" w:rsidRDefault="00DB0969" w:rsidP="00DB0969">
      <w:r w:rsidRPr="005F774B">
        <w:t xml:space="preserve">Z.Steiner, </w:t>
      </w:r>
      <w:r w:rsidRPr="005F774B">
        <w:rPr>
          <w:i/>
        </w:rPr>
        <w:t xml:space="preserve">Britain and the Origins of the First World War </w:t>
      </w:r>
      <w:r w:rsidRPr="005F774B">
        <w:t>(London; The Macmillan Press Ltd, 1977)</w:t>
      </w:r>
    </w:p>
    <w:p w14:paraId="30388776" w14:textId="77777777" w:rsidR="00DB0969" w:rsidRPr="002A792B" w:rsidRDefault="00DB0969" w:rsidP="00DB0969">
      <w:pPr>
        <w:jc w:val="center"/>
      </w:pPr>
    </w:p>
    <w:sectPr w:rsidR="00DB0969" w:rsidRPr="002A792B">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AE3FEA" w14:textId="77777777" w:rsidR="00990020" w:rsidRDefault="00990020" w:rsidP="00F429CC">
      <w:pPr>
        <w:spacing w:after="0" w:line="240" w:lineRule="auto"/>
      </w:pPr>
      <w:r>
        <w:separator/>
      </w:r>
    </w:p>
  </w:endnote>
  <w:endnote w:type="continuationSeparator" w:id="0">
    <w:p w14:paraId="62C36E14" w14:textId="77777777" w:rsidR="00990020" w:rsidRDefault="00990020" w:rsidP="00F429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20444284"/>
      <w:docPartObj>
        <w:docPartGallery w:val="Page Numbers (Bottom of Page)"/>
        <w:docPartUnique/>
      </w:docPartObj>
    </w:sdtPr>
    <w:sdtEndPr>
      <w:rPr>
        <w:noProof/>
      </w:rPr>
    </w:sdtEndPr>
    <w:sdtContent>
      <w:p w14:paraId="5EBE8DA5" w14:textId="1B7AD61F" w:rsidR="00A40251" w:rsidRDefault="00A40251">
        <w:pPr>
          <w:pStyle w:val="Footer"/>
          <w:jc w:val="right"/>
        </w:pPr>
        <w:r>
          <w:t xml:space="preserve">Page </w:t>
        </w:r>
        <w:r>
          <w:fldChar w:fldCharType="begin"/>
        </w:r>
        <w:r>
          <w:instrText xml:space="preserve"> PAGE   \* MERGEFORMAT </w:instrText>
        </w:r>
        <w:r>
          <w:fldChar w:fldCharType="separate"/>
        </w:r>
        <w:r w:rsidR="002B4802">
          <w:rPr>
            <w:noProof/>
          </w:rPr>
          <w:t>7</w:t>
        </w:r>
        <w:r>
          <w:rPr>
            <w:noProof/>
          </w:rPr>
          <w:fldChar w:fldCharType="end"/>
        </w:r>
      </w:p>
    </w:sdtContent>
  </w:sdt>
  <w:p w14:paraId="4F4CCE34" w14:textId="77777777" w:rsidR="00A40251" w:rsidRDefault="00A402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F33370" w14:textId="77777777" w:rsidR="00990020" w:rsidRDefault="00990020" w:rsidP="00F429CC">
      <w:pPr>
        <w:spacing w:after="0" w:line="240" w:lineRule="auto"/>
      </w:pPr>
      <w:r>
        <w:separator/>
      </w:r>
    </w:p>
  </w:footnote>
  <w:footnote w:type="continuationSeparator" w:id="0">
    <w:p w14:paraId="13849266" w14:textId="77777777" w:rsidR="00990020" w:rsidRDefault="00990020" w:rsidP="00F429CC">
      <w:pPr>
        <w:spacing w:after="0" w:line="240" w:lineRule="auto"/>
      </w:pPr>
      <w:r>
        <w:continuationSeparator/>
      </w:r>
    </w:p>
  </w:footnote>
  <w:footnote w:id="1">
    <w:p w14:paraId="6DE50F8C" w14:textId="04475811" w:rsidR="00A40251" w:rsidRDefault="00A40251">
      <w:pPr>
        <w:pStyle w:val="FootnoteText"/>
      </w:pPr>
      <w:r>
        <w:rPr>
          <w:rStyle w:val="FootnoteReference"/>
        </w:rPr>
        <w:footnoteRef/>
      </w:r>
      <w:r>
        <w:t xml:space="preserve"> </w:t>
      </w:r>
      <w:bookmarkStart w:id="0" w:name="_Hlk503350183"/>
      <w:r>
        <w:t xml:space="preserve">J.M.Winter, </w:t>
      </w:r>
      <w:r w:rsidRPr="00164957">
        <w:rPr>
          <w:i/>
        </w:rPr>
        <w:t>The Great War and the British People</w:t>
      </w:r>
      <w:r>
        <w:t xml:space="preserve"> (London; Macmillan Education Ltd, 1985)</w:t>
      </w:r>
      <w:bookmarkEnd w:id="0"/>
    </w:p>
  </w:footnote>
  <w:footnote w:id="2">
    <w:p w14:paraId="4D14238A" w14:textId="191B75D4" w:rsidR="00A40251" w:rsidRDefault="00A40251">
      <w:pPr>
        <w:pStyle w:val="FootnoteText"/>
      </w:pPr>
      <w:r>
        <w:rPr>
          <w:rStyle w:val="FootnoteReference"/>
        </w:rPr>
        <w:footnoteRef/>
      </w:r>
      <w:r>
        <w:t xml:space="preserve"> </w:t>
      </w:r>
      <w:bookmarkStart w:id="1" w:name="_Hlk503350247"/>
      <w:r w:rsidRPr="005D10A7">
        <w:t xml:space="preserve">G.Robb, </w:t>
      </w:r>
      <w:r w:rsidRPr="005D10A7">
        <w:rPr>
          <w:i/>
        </w:rPr>
        <w:t xml:space="preserve">British Culture and the First World War </w:t>
      </w:r>
      <w:r w:rsidRPr="005D10A7">
        <w:t>(Hampshire; Palgrave,2002)</w:t>
      </w:r>
      <w:bookmarkEnd w:id="1"/>
    </w:p>
  </w:footnote>
  <w:footnote w:id="3">
    <w:p w14:paraId="5C199B0F" w14:textId="08504AC3" w:rsidR="00A40251" w:rsidRDefault="00A40251">
      <w:pPr>
        <w:pStyle w:val="FootnoteText"/>
      </w:pPr>
      <w:r>
        <w:rPr>
          <w:rStyle w:val="FootnoteReference"/>
        </w:rPr>
        <w:footnoteRef/>
      </w:r>
      <w:r>
        <w:t xml:space="preserve"> J.M.Winter, </w:t>
      </w:r>
      <w:r w:rsidRPr="00164957">
        <w:rPr>
          <w:i/>
        </w:rPr>
        <w:t>The Great War and the British People</w:t>
      </w:r>
      <w:r>
        <w:t xml:space="preserve"> (London; Macmillan Education Ltd, 1985)</w:t>
      </w:r>
    </w:p>
  </w:footnote>
  <w:footnote w:id="4">
    <w:p w14:paraId="0AA28FC8" w14:textId="77777777" w:rsidR="00A40251" w:rsidRDefault="00A40251" w:rsidP="00483A59">
      <w:pPr>
        <w:pStyle w:val="FootnoteText"/>
      </w:pPr>
      <w:r>
        <w:rPr>
          <w:rStyle w:val="FootnoteReference"/>
        </w:rPr>
        <w:footnoteRef/>
      </w:r>
      <w:r>
        <w:t xml:space="preserve"> </w:t>
      </w:r>
      <w:r w:rsidRPr="005D10A7">
        <w:t xml:space="preserve">G.Robb, </w:t>
      </w:r>
      <w:r w:rsidRPr="005D10A7">
        <w:rPr>
          <w:i/>
        </w:rPr>
        <w:t xml:space="preserve">British Culture and the First World War </w:t>
      </w:r>
      <w:r w:rsidRPr="005D10A7">
        <w:t>(Hampshire; Palgrave,2002)</w:t>
      </w:r>
    </w:p>
    <w:p w14:paraId="447B92A5" w14:textId="77566BA3" w:rsidR="00A40251" w:rsidRDefault="00A40251">
      <w:pPr>
        <w:pStyle w:val="FootnoteText"/>
      </w:pPr>
    </w:p>
  </w:footnote>
  <w:footnote w:id="5">
    <w:p w14:paraId="716E2930" w14:textId="05A44D1B" w:rsidR="00A40251" w:rsidRDefault="00A40251">
      <w:pPr>
        <w:pStyle w:val="FootnoteText"/>
      </w:pPr>
      <w:r>
        <w:rPr>
          <w:rStyle w:val="FootnoteReference"/>
        </w:rPr>
        <w:footnoteRef/>
      </w:r>
      <w:r>
        <w:t xml:space="preserve"> Ibid</w:t>
      </w:r>
    </w:p>
  </w:footnote>
  <w:footnote w:id="6">
    <w:p w14:paraId="7C85B3FC" w14:textId="158AA456" w:rsidR="00A40251" w:rsidRDefault="00A40251">
      <w:pPr>
        <w:pStyle w:val="FootnoteText"/>
      </w:pPr>
      <w:r>
        <w:rPr>
          <w:rStyle w:val="FootnoteReference"/>
        </w:rPr>
        <w:footnoteRef/>
      </w:r>
      <w:r>
        <w:t xml:space="preserve"> </w:t>
      </w:r>
      <w:bookmarkStart w:id="2" w:name="_Hlk503352847"/>
      <w:r>
        <w:t xml:space="preserve">J.M.Winter, </w:t>
      </w:r>
      <w:r w:rsidRPr="00164957">
        <w:rPr>
          <w:i/>
        </w:rPr>
        <w:t>The Great War and the British People</w:t>
      </w:r>
      <w:r>
        <w:t xml:space="preserve"> (London; Macmillan Education Ltd, 1985)</w:t>
      </w:r>
      <w:bookmarkEnd w:id="2"/>
    </w:p>
  </w:footnote>
  <w:footnote w:id="7">
    <w:p w14:paraId="689F954A" w14:textId="5964D6E4" w:rsidR="00A40251" w:rsidRDefault="00A40251">
      <w:pPr>
        <w:pStyle w:val="FootnoteText"/>
      </w:pPr>
      <w:r>
        <w:rPr>
          <w:rStyle w:val="FootnoteReference"/>
        </w:rPr>
        <w:footnoteRef/>
      </w:r>
      <w:r>
        <w:t xml:space="preserve"> </w:t>
      </w:r>
      <w:r w:rsidRPr="00902CD6">
        <w:t xml:space="preserve">L.Woodward, </w:t>
      </w:r>
      <w:r w:rsidRPr="00902CD6">
        <w:rPr>
          <w:i/>
        </w:rPr>
        <w:t>Great Britain and the War of 1914-1918</w:t>
      </w:r>
      <w:r w:rsidRPr="00902CD6">
        <w:t xml:space="preserve">  (Great Britain;Butler and Tanner Ltd, 1967)</w:t>
      </w:r>
    </w:p>
  </w:footnote>
  <w:footnote w:id="8">
    <w:p w14:paraId="728F8995" w14:textId="48E2AB9D" w:rsidR="00A40251" w:rsidRDefault="00A40251">
      <w:pPr>
        <w:pStyle w:val="FootnoteText"/>
      </w:pPr>
      <w:r>
        <w:rPr>
          <w:rStyle w:val="FootnoteReference"/>
        </w:rPr>
        <w:footnoteRef/>
      </w:r>
      <w:r>
        <w:t xml:space="preserve"> </w:t>
      </w:r>
      <w:r w:rsidRPr="005D10A7">
        <w:t xml:space="preserve">G.Robb, </w:t>
      </w:r>
      <w:r w:rsidRPr="005D10A7">
        <w:rPr>
          <w:i/>
        </w:rPr>
        <w:t xml:space="preserve">British Culture and the First World War </w:t>
      </w:r>
      <w:r w:rsidRPr="005D10A7">
        <w:t>(Hampshire; Palgrave,2002)</w:t>
      </w:r>
    </w:p>
  </w:footnote>
  <w:footnote w:id="9">
    <w:p w14:paraId="04F203CE" w14:textId="264DD259" w:rsidR="00A40251" w:rsidRDefault="00A40251">
      <w:pPr>
        <w:pStyle w:val="FootnoteText"/>
      </w:pPr>
      <w:r>
        <w:rPr>
          <w:rStyle w:val="FootnoteReference"/>
        </w:rPr>
        <w:footnoteRef/>
      </w:r>
      <w:r>
        <w:t xml:space="preserve"> Ibid</w:t>
      </w:r>
    </w:p>
  </w:footnote>
  <w:footnote w:id="10">
    <w:p w14:paraId="6CD9BCC8" w14:textId="77777777" w:rsidR="00A40251" w:rsidRPr="008D51BB" w:rsidRDefault="00A40251" w:rsidP="00483A59">
      <w:pPr>
        <w:pStyle w:val="FootnoteText"/>
      </w:pPr>
      <w:r>
        <w:rPr>
          <w:rStyle w:val="FootnoteReference"/>
        </w:rPr>
        <w:footnoteRef/>
      </w:r>
      <w:r>
        <w:t xml:space="preserve"> </w:t>
      </w:r>
      <w:bookmarkStart w:id="3" w:name="_Hlk503351552"/>
      <w:r>
        <w:t xml:space="preserve">A.C. Grayling, </w:t>
      </w:r>
      <w:r w:rsidRPr="008D51BB">
        <w:rPr>
          <w:i/>
        </w:rPr>
        <w:t>Among the Dead Cities</w:t>
      </w:r>
      <w:r>
        <w:t xml:space="preserve"> ( London; Bloomsbury Publishing PLC, 2007)</w:t>
      </w:r>
      <w:bookmarkEnd w:id="3"/>
    </w:p>
  </w:footnote>
  <w:footnote w:id="11">
    <w:p w14:paraId="782C47DA" w14:textId="77777777" w:rsidR="00A40251" w:rsidRPr="008274DA" w:rsidRDefault="00A40251" w:rsidP="00483A59">
      <w:pPr>
        <w:pStyle w:val="FootnoteText"/>
      </w:pPr>
      <w:r>
        <w:rPr>
          <w:rStyle w:val="FootnoteReference"/>
        </w:rPr>
        <w:footnoteRef/>
      </w:r>
      <w:r>
        <w:t xml:space="preserve"> </w:t>
      </w:r>
      <w:bookmarkStart w:id="4" w:name="_Hlk503363699"/>
      <w:r>
        <w:t xml:space="preserve">N.Hanson, </w:t>
      </w:r>
      <w:r w:rsidRPr="008274DA">
        <w:rPr>
          <w:i/>
        </w:rPr>
        <w:t>First Blitz</w:t>
      </w:r>
      <w:r>
        <w:rPr>
          <w:i/>
        </w:rPr>
        <w:t xml:space="preserve"> </w:t>
      </w:r>
      <w:r>
        <w:t>(Gloucestershire :Corgi,2009)</w:t>
      </w:r>
      <w:bookmarkEnd w:id="4"/>
    </w:p>
  </w:footnote>
  <w:footnote w:id="12">
    <w:p w14:paraId="55CD787F" w14:textId="77777777" w:rsidR="00A40251" w:rsidRDefault="00A40251" w:rsidP="00483A59">
      <w:pPr>
        <w:pStyle w:val="FootnoteText"/>
      </w:pPr>
      <w:r>
        <w:rPr>
          <w:rStyle w:val="FootnoteReference"/>
        </w:rPr>
        <w:footnoteRef/>
      </w:r>
      <w:r>
        <w:t xml:space="preserve"> J.M.Winter, </w:t>
      </w:r>
      <w:r w:rsidRPr="00164957">
        <w:rPr>
          <w:i/>
        </w:rPr>
        <w:t>The Great War and the British People</w:t>
      </w:r>
      <w:r>
        <w:t xml:space="preserve"> (London; Macmillan Education Ltd, 1985)</w:t>
      </w:r>
    </w:p>
  </w:footnote>
  <w:footnote w:id="13">
    <w:p w14:paraId="38AF997F" w14:textId="724FA912" w:rsidR="00A40251" w:rsidRDefault="00A40251">
      <w:pPr>
        <w:pStyle w:val="FootnoteText"/>
      </w:pPr>
      <w:r>
        <w:rPr>
          <w:rStyle w:val="FootnoteReference"/>
        </w:rPr>
        <w:footnoteRef/>
      </w:r>
      <w:r>
        <w:t xml:space="preserve"> Ibid</w:t>
      </w:r>
    </w:p>
  </w:footnote>
  <w:footnote w:id="14">
    <w:p w14:paraId="2CE02277" w14:textId="77777777" w:rsidR="00A40251" w:rsidRPr="005F774B" w:rsidRDefault="00A40251" w:rsidP="00D71784">
      <w:pPr>
        <w:pStyle w:val="FootnoteText"/>
      </w:pPr>
      <w:r>
        <w:rPr>
          <w:rStyle w:val="FootnoteReference"/>
        </w:rPr>
        <w:footnoteRef/>
      </w:r>
      <w:r>
        <w:t xml:space="preserve"> </w:t>
      </w:r>
      <w:bookmarkStart w:id="6" w:name="_Hlk503358103"/>
      <w:r>
        <w:t xml:space="preserve">N.Cawthorne, </w:t>
      </w:r>
      <w:r w:rsidRPr="005F774B">
        <w:rPr>
          <w:i/>
        </w:rPr>
        <w:t>Too Brave to Live; Too young to die: Teenage heroes from World War 1</w:t>
      </w:r>
      <w:r>
        <w:t xml:space="preserve"> (London: Metro Books, 2015)</w:t>
      </w:r>
      <w:bookmarkEnd w:id="6"/>
    </w:p>
  </w:footnote>
  <w:footnote w:id="15">
    <w:p w14:paraId="2D96FA16" w14:textId="77777777" w:rsidR="00A40251" w:rsidRDefault="00A40251" w:rsidP="00D71784">
      <w:pPr>
        <w:pStyle w:val="FootnoteText"/>
      </w:pPr>
      <w:r>
        <w:rPr>
          <w:rStyle w:val="FootnoteReference"/>
        </w:rPr>
        <w:footnoteRef/>
      </w:r>
      <w:r>
        <w:t xml:space="preserve"> </w:t>
      </w:r>
      <w:bookmarkStart w:id="7" w:name="_Hlk503353682"/>
      <w:r w:rsidRPr="00F33BDC">
        <w:t xml:space="preserve">M.Thatcher, The Downing Street Years (London; HarperCollinsPublishers,1993) </w:t>
      </w:r>
      <w:bookmarkEnd w:id="7"/>
    </w:p>
  </w:footnote>
  <w:footnote w:id="16">
    <w:p w14:paraId="19D1198F" w14:textId="77777777" w:rsidR="00A40251" w:rsidRDefault="00A40251" w:rsidP="00D71784">
      <w:pPr>
        <w:pStyle w:val="FootnoteText"/>
      </w:pPr>
      <w:r>
        <w:rPr>
          <w:rStyle w:val="FootnoteReference"/>
        </w:rPr>
        <w:footnoteRef/>
      </w:r>
      <w:r>
        <w:t xml:space="preserve"> </w:t>
      </w:r>
      <w:bookmarkStart w:id="8" w:name="_Hlk503355242"/>
      <w:r>
        <w:t xml:space="preserve">J.M.Winter, </w:t>
      </w:r>
      <w:r w:rsidRPr="00164957">
        <w:rPr>
          <w:i/>
        </w:rPr>
        <w:t>The Great War and the British People</w:t>
      </w:r>
      <w:r>
        <w:t xml:space="preserve"> (London; Macmillan Education Ltd, 1985)</w:t>
      </w:r>
      <w:bookmarkEnd w:id="8"/>
    </w:p>
  </w:footnote>
  <w:footnote w:id="17">
    <w:p w14:paraId="05CE3AB3" w14:textId="77777777" w:rsidR="00A40251" w:rsidRDefault="00A40251" w:rsidP="00D71784">
      <w:pPr>
        <w:pStyle w:val="FootnoteText"/>
      </w:pPr>
      <w:r>
        <w:rPr>
          <w:rStyle w:val="FootnoteReference"/>
        </w:rPr>
        <w:footnoteRef/>
      </w:r>
      <w:r>
        <w:t xml:space="preserve"> Ibid</w:t>
      </w:r>
    </w:p>
  </w:footnote>
  <w:footnote w:id="18">
    <w:p w14:paraId="53AE9DE6" w14:textId="77777777" w:rsidR="00A40251" w:rsidRDefault="00A40251" w:rsidP="00D71784">
      <w:pPr>
        <w:pStyle w:val="FootnoteText"/>
      </w:pPr>
      <w:r>
        <w:rPr>
          <w:rStyle w:val="FootnoteReference"/>
        </w:rPr>
        <w:footnoteRef/>
      </w:r>
      <w:r>
        <w:t xml:space="preserve"> Ibid</w:t>
      </w:r>
    </w:p>
  </w:footnote>
  <w:footnote w:id="19">
    <w:p w14:paraId="6CEC5539" w14:textId="77777777" w:rsidR="00A40251" w:rsidRDefault="00A40251" w:rsidP="00D71784">
      <w:pPr>
        <w:pStyle w:val="FootnoteText"/>
      </w:pPr>
      <w:r>
        <w:rPr>
          <w:rStyle w:val="FootnoteReference"/>
        </w:rPr>
        <w:footnoteRef/>
      </w:r>
      <w:r>
        <w:t xml:space="preserve">  </w:t>
      </w:r>
      <w:bookmarkStart w:id="9" w:name="_Hlk503355561"/>
      <w:bookmarkStart w:id="10" w:name="_Hlk503355147"/>
      <w:r w:rsidRPr="005D10A7">
        <w:t xml:space="preserve">G.Robb, </w:t>
      </w:r>
      <w:r w:rsidRPr="005D10A7">
        <w:rPr>
          <w:i/>
        </w:rPr>
        <w:t>British Culture and th</w:t>
      </w:r>
      <w:r>
        <w:rPr>
          <w:i/>
        </w:rPr>
        <w:t>e</w:t>
      </w:r>
      <w:r w:rsidRPr="005D10A7">
        <w:rPr>
          <w:i/>
        </w:rPr>
        <w:t xml:space="preserve"> First World War </w:t>
      </w:r>
      <w:r w:rsidRPr="005D10A7">
        <w:t>(Hampshire; Palgrave,2002)</w:t>
      </w:r>
      <w:r>
        <w:t xml:space="preserve"> </w:t>
      </w:r>
      <w:bookmarkEnd w:id="9"/>
      <w:r>
        <w:t>Pg 69-82</w:t>
      </w:r>
      <w:bookmarkEnd w:id="10"/>
    </w:p>
  </w:footnote>
  <w:footnote w:id="20">
    <w:p w14:paraId="418E4F49" w14:textId="77777777" w:rsidR="00A40251" w:rsidRPr="00B65E3D" w:rsidRDefault="00A40251" w:rsidP="00D71784">
      <w:pPr>
        <w:pStyle w:val="FootnoteText"/>
      </w:pPr>
      <w:r>
        <w:rPr>
          <w:rStyle w:val="FootnoteReference"/>
        </w:rPr>
        <w:footnoteRef/>
      </w:r>
      <w:r>
        <w:t xml:space="preserve"> </w:t>
      </w:r>
      <w:bookmarkStart w:id="11" w:name="_Hlk503355009"/>
      <w:r>
        <w:t xml:space="preserve">T.Mccarthy, </w:t>
      </w:r>
      <w:r w:rsidRPr="00B65E3D">
        <w:rPr>
          <w:i/>
        </w:rPr>
        <w:t>Great Dock Strike of 1889</w:t>
      </w:r>
      <w:r>
        <w:rPr>
          <w:i/>
        </w:rPr>
        <w:t xml:space="preserve"> </w:t>
      </w:r>
      <w:r>
        <w:t>( London: Weidenfeld &amp; Nicholson, 1988)</w:t>
      </w:r>
      <w:bookmarkEnd w:id="11"/>
    </w:p>
  </w:footnote>
  <w:footnote w:id="21">
    <w:p w14:paraId="566F99E7" w14:textId="6A589D91" w:rsidR="00A40251" w:rsidRDefault="00A40251" w:rsidP="00D71784">
      <w:pPr>
        <w:pStyle w:val="FootnoteText"/>
      </w:pPr>
      <w:r>
        <w:rPr>
          <w:rStyle w:val="FootnoteReference"/>
        </w:rPr>
        <w:footnoteRef/>
      </w:r>
      <w:r>
        <w:t xml:space="preserve"> </w:t>
      </w:r>
      <w:bookmarkStart w:id="12" w:name="_Hlk503357278"/>
      <w:r>
        <w:t xml:space="preserve">J.M.Winter, </w:t>
      </w:r>
      <w:r w:rsidRPr="00164957">
        <w:rPr>
          <w:i/>
        </w:rPr>
        <w:t>The Great War and the British People</w:t>
      </w:r>
      <w:r>
        <w:t xml:space="preserve"> (London; Macmillan Education Ltd, 1985) </w:t>
      </w:r>
      <w:bookmarkEnd w:id="12"/>
      <w:r>
        <w:t>Pg 103-153</w:t>
      </w:r>
      <w:bookmarkStart w:id="13" w:name="_Hlk503518955"/>
    </w:p>
    <w:bookmarkEnd w:id="13"/>
  </w:footnote>
  <w:footnote w:id="22">
    <w:p w14:paraId="16928E4A" w14:textId="55F921F5" w:rsidR="00A40251" w:rsidRDefault="00A40251">
      <w:pPr>
        <w:pStyle w:val="FootnoteText"/>
      </w:pPr>
      <w:r>
        <w:rPr>
          <w:rStyle w:val="FootnoteReference"/>
        </w:rPr>
        <w:footnoteRef/>
      </w:r>
      <w:r>
        <w:t xml:space="preserve"> </w:t>
      </w:r>
      <w:bookmarkStart w:id="14" w:name="_Hlk503519700"/>
      <w:r w:rsidRPr="005D10A7">
        <w:t xml:space="preserve">G.Robb, </w:t>
      </w:r>
      <w:r w:rsidRPr="005D10A7">
        <w:rPr>
          <w:i/>
        </w:rPr>
        <w:t>British Culture and th</w:t>
      </w:r>
      <w:r>
        <w:rPr>
          <w:i/>
        </w:rPr>
        <w:t>e</w:t>
      </w:r>
      <w:r w:rsidRPr="005D10A7">
        <w:rPr>
          <w:i/>
        </w:rPr>
        <w:t xml:space="preserve"> First World War </w:t>
      </w:r>
      <w:r w:rsidRPr="005D10A7">
        <w:t>(Hampshire; Palgrave,2002)</w:t>
      </w:r>
      <w:r>
        <w:t xml:space="preserve"> </w:t>
      </w:r>
      <w:bookmarkEnd w:id="14"/>
      <w:r>
        <w:t>Pg 70</w:t>
      </w:r>
    </w:p>
  </w:footnote>
  <w:footnote w:id="23">
    <w:p w14:paraId="7B84FB1B" w14:textId="77777777" w:rsidR="00A40251" w:rsidRDefault="00A40251" w:rsidP="00D71784">
      <w:pPr>
        <w:pStyle w:val="FootnoteText"/>
      </w:pPr>
      <w:r>
        <w:rPr>
          <w:rStyle w:val="FootnoteReference"/>
        </w:rPr>
        <w:footnoteRef/>
      </w:r>
      <w:r>
        <w:t xml:space="preserve"> E.Sharp, </w:t>
      </w:r>
      <w:r w:rsidRPr="00800582">
        <w:rPr>
          <w:i/>
        </w:rPr>
        <w:t>The War of All the Ages</w:t>
      </w:r>
      <w:r>
        <w:rPr>
          <w:i/>
        </w:rPr>
        <w:t xml:space="preserve"> </w:t>
      </w:r>
      <w:r>
        <w:t>(London; Sidgwick &amp; Jackson, 1915)</w:t>
      </w:r>
    </w:p>
    <w:p w14:paraId="3CBB194E" w14:textId="201C773C" w:rsidR="00A40251" w:rsidRDefault="00A40251">
      <w:pPr>
        <w:pStyle w:val="FootnoteText"/>
      </w:pPr>
    </w:p>
  </w:footnote>
  <w:footnote w:id="24">
    <w:p w14:paraId="60862760" w14:textId="055A4818" w:rsidR="00A40251" w:rsidRDefault="00A40251">
      <w:pPr>
        <w:pStyle w:val="FootnoteText"/>
      </w:pPr>
      <w:r>
        <w:rPr>
          <w:rStyle w:val="FootnoteReference"/>
        </w:rPr>
        <w:footnoteRef/>
      </w:r>
      <w:r>
        <w:t xml:space="preserve"> </w:t>
      </w:r>
      <w:r w:rsidRPr="005D10A7">
        <w:t xml:space="preserve">G.Robb, </w:t>
      </w:r>
      <w:r w:rsidRPr="005D10A7">
        <w:rPr>
          <w:i/>
        </w:rPr>
        <w:t>British Culture and th</w:t>
      </w:r>
      <w:r>
        <w:rPr>
          <w:i/>
        </w:rPr>
        <w:t>e</w:t>
      </w:r>
      <w:r w:rsidRPr="005D10A7">
        <w:rPr>
          <w:i/>
        </w:rPr>
        <w:t xml:space="preserve"> First World War </w:t>
      </w:r>
      <w:r w:rsidRPr="005D10A7">
        <w:t>(Hampshire; Palgrave,2002)</w:t>
      </w:r>
    </w:p>
  </w:footnote>
  <w:footnote w:id="25">
    <w:p w14:paraId="11FA601A" w14:textId="65172689" w:rsidR="00A40251" w:rsidRDefault="00A40251">
      <w:pPr>
        <w:pStyle w:val="FootnoteText"/>
      </w:pPr>
      <w:r>
        <w:rPr>
          <w:rStyle w:val="FootnoteReference"/>
        </w:rPr>
        <w:footnoteRef/>
      </w:r>
      <w:r>
        <w:t xml:space="preserve"> Ibid Pg 67</w:t>
      </w:r>
    </w:p>
  </w:footnote>
  <w:footnote w:id="26">
    <w:p w14:paraId="65C25AE6" w14:textId="18F71052" w:rsidR="00A40251" w:rsidRDefault="00A40251">
      <w:pPr>
        <w:pStyle w:val="FootnoteText"/>
      </w:pPr>
      <w:r>
        <w:rPr>
          <w:rStyle w:val="FootnoteReference"/>
        </w:rPr>
        <w:footnoteRef/>
      </w:r>
      <w:r>
        <w:t xml:space="preserve"> Ibid Pg 68</w:t>
      </w:r>
    </w:p>
  </w:footnote>
  <w:footnote w:id="27">
    <w:p w14:paraId="4BCCC3FD" w14:textId="7A67D584" w:rsidR="00A40251" w:rsidRDefault="00A40251">
      <w:pPr>
        <w:pStyle w:val="FootnoteText"/>
      </w:pPr>
      <w:r>
        <w:rPr>
          <w:rStyle w:val="FootnoteReference"/>
        </w:rPr>
        <w:footnoteRef/>
      </w:r>
      <w:r>
        <w:t xml:space="preserve"> Ibid</w:t>
      </w:r>
    </w:p>
  </w:footnote>
  <w:footnote w:id="28">
    <w:p w14:paraId="36C764DB" w14:textId="6928935B" w:rsidR="00A40251" w:rsidRDefault="00A40251">
      <w:pPr>
        <w:pStyle w:val="FootnoteText"/>
      </w:pPr>
      <w:r>
        <w:rPr>
          <w:rStyle w:val="FootnoteReference"/>
        </w:rPr>
        <w:footnoteRef/>
      </w:r>
      <w:r>
        <w:t xml:space="preserve"> Ibid</w:t>
      </w:r>
    </w:p>
  </w:footnote>
  <w:footnote w:id="29">
    <w:p w14:paraId="422DB7E6" w14:textId="0C51C6A1" w:rsidR="00A40251" w:rsidRDefault="00A40251">
      <w:pPr>
        <w:pStyle w:val="FootnoteText"/>
      </w:pPr>
      <w:r>
        <w:rPr>
          <w:rStyle w:val="FootnoteReference"/>
        </w:rPr>
        <w:footnoteRef/>
      </w:r>
      <w:r>
        <w:t xml:space="preserve"> Ibid</w:t>
      </w:r>
    </w:p>
  </w:footnote>
  <w:footnote w:id="30">
    <w:p w14:paraId="7FF0ECF3" w14:textId="5154C436" w:rsidR="00A40251" w:rsidRDefault="00A40251">
      <w:pPr>
        <w:pStyle w:val="FootnoteText"/>
      </w:pPr>
      <w:r>
        <w:rPr>
          <w:rStyle w:val="FootnoteReference"/>
        </w:rPr>
        <w:footnoteRef/>
      </w:r>
      <w:r>
        <w:t xml:space="preserve"> Ibid Pg 69</w:t>
      </w:r>
    </w:p>
  </w:footnote>
  <w:footnote w:id="31">
    <w:p w14:paraId="77DCBE29" w14:textId="61B178E1" w:rsidR="00A40251" w:rsidRDefault="00A40251">
      <w:pPr>
        <w:pStyle w:val="FootnoteText"/>
      </w:pPr>
      <w:r>
        <w:rPr>
          <w:rStyle w:val="FootnoteReference"/>
        </w:rPr>
        <w:footnoteRef/>
      </w:r>
      <w:r>
        <w:t xml:space="preserve"> Ibid Pg 70</w:t>
      </w:r>
    </w:p>
  </w:footnote>
  <w:footnote w:id="32">
    <w:p w14:paraId="726C8521" w14:textId="0566AF1B" w:rsidR="00A40251" w:rsidRDefault="00A40251">
      <w:pPr>
        <w:pStyle w:val="FootnoteText"/>
      </w:pPr>
      <w:r>
        <w:rPr>
          <w:rStyle w:val="FootnoteReference"/>
        </w:rPr>
        <w:footnoteRef/>
      </w:r>
      <w:r>
        <w:t xml:space="preserve"> Ibid Pg 72</w:t>
      </w:r>
    </w:p>
  </w:footnote>
  <w:footnote w:id="33">
    <w:p w14:paraId="1287E87F" w14:textId="5D269C70" w:rsidR="00A40251" w:rsidRDefault="00A40251">
      <w:pPr>
        <w:pStyle w:val="FootnoteText"/>
      </w:pPr>
      <w:r>
        <w:rPr>
          <w:rStyle w:val="FootnoteReference"/>
        </w:rPr>
        <w:footnoteRef/>
      </w:r>
      <w:r>
        <w:t xml:space="preserve"> A.J.P, Taylor, </w:t>
      </w:r>
      <w:r w:rsidRPr="00B11A77">
        <w:rPr>
          <w:i/>
        </w:rPr>
        <w:t>The First World War: An Illustrated History</w:t>
      </w:r>
      <w:r>
        <w:rPr>
          <w:i/>
        </w:rPr>
        <w:t xml:space="preserve"> </w:t>
      </w:r>
      <w:r>
        <w:t>(London; Penguin Books, 1974)</w:t>
      </w:r>
    </w:p>
  </w:footnote>
  <w:footnote w:id="34">
    <w:p w14:paraId="13ECB9D8" w14:textId="6E599D04" w:rsidR="00A40251" w:rsidRDefault="00A40251">
      <w:pPr>
        <w:pStyle w:val="FootnoteText"/>
      </w:pPr>
      <w:r>
        <w:rPr>
          <w:rStyle w:val="FootnoteReference"/>
        </w:rPr>
        <w:footnoteRef/>
      </w:r>
      <w:r>
        <w:t xml:space="preserve"> </w:t>
      </w:r>
      <w:r w:rsidRPr="005D10A7">
        <w:t xml:space="preserve">G.Robb, </w:t>
      </w:r>
      <w:r w:rsidRPr="005D10A7">
        <w:rPr>
          <w:i/>
        </w:rPr>
        <w:t>British Culture and th</w:t>
      </w:r>
      <w:r>
        <w:rPr>
          <w:i/>
        </w:rPr>
        <w:t>e</w:t>
      </w:r>
      <w:r w:rsidRPr="005D10A7">
        <w:rPr>
          <w:i/>
        </w:rPr>
        <w:t xml:space="preserve"> First World War </w:t>
      </w:r>
      <w:r w:rsidRPr="005D10A7">
        <w:t>(Hampshire; Palgrave,2002)</w:t>
      </w:r>
      <w:r>
        <w:t xml:space="preserve"> Pg 71</w:t>
      </w:r>
    </w:p>
  </w:footnote>
  <w:footnote w:id="35">
    <w:p w14:paraId="074D5BF3" w14:textId="10C50A49" w:rsidR="00A40251" w:rsidRDefault="00A40251">
      <w:pPr>
        <w:pStyle w:val="FootnoteText"/>
      </w:pPr>
      <w:r>
        <w:rPr>
          <w:rStyle w:val="FootnoteReference"/>
        </w:rPr>
        <w:footnoteRef/>
      </w:r>
      <w:r>
        <w:t xml:space="preserve"> Ibid Pg 85</w:t>
      </w:r>
    </w:p>
  </w:footnote>
  <w:footnote w:id="36">
    <w:p w14:paraId="7E2DC8AC" w14:textId="424740F6" w:rsidR="00A40251" w:rsidRDefault="00A40251">
      <w:pPr>
        <w:pStyle w:val="FootnoteText"/>
      </w:pPr>
      <w:r>
        <w:rPr>
          <w:rStyle w:val="FootnoteReference"/>
        </w:rPr>
        <w:footnoteRef/>
      </w:r>
      <w:r>
        <w:t xml:space="preserve"> Ibid</w:t>
      </w:r>
    </w:p>
  </w:footnote>
  <w:footnote w:id="37">
    <w:p w14:paraId="4647191A" w14:textId="1FFDFD1A" w:rsidR="00A40251" w:rsidRDefault="00A40251">
      <w:pPr>
        <w:pStyle w:val="FootnoteText"/>
      </w:pPr>
      <w:r>
        <w:rPr>
          <w:rStyle w:val="FootnoteReference"/>
        </w:rPr>
        <w:footnoteRef/>
      </w:r>
      <w:r>
        <w:t xml:space="preserve"> Z.Steiner, </w:t>
      </w:r>
      <w:r w:rsidRPr="00164957">
        <w:rPr>
          <w:i/>
        </w:rPr>
        <w:t>Britain and the Origins of the First World War</w:t>
      </w:r>
      <w:r>
        <w:rPr>
          <w:i/>
        </w:rPr>
        <w:t xml:space="preserve"> </w:t>
      </w:r>
      <w:r>
        <w:t>(London; The Macmillan Press Ltd, 1977)</w:t>
      </w:r>
    </w:p>
  </w:footnote>
  <w:footnote w:id="38">
    <w:p w14:paraId="34DAC089" w14:textId="7F303016" w:rsidR="00A40251" w:rsidRDefault="00A40251" w:rsidP="00923C6A">
      <w:r>
        <w:rPr>
          <w:rStyle w:val="FootnoteReference"/>
        </w:rPr>
        <w:footnoteRef/>
      </w:r>
      <w:r>
        <w:t xml:space="preserve"> L.Woodward, </w:t>
      </w:r>
      <w:r w:rsidRPr="00164957">
        <w:rPr>
          <w:i/>
        </w:rPr>
        <w:t>Great Britain and the War of 1914-1918</w:t>
      </w:r>
      <w:r>
        <w:t xml:space="preserve">  (Great Britain;Butler and Tanner Ltd, 1967)</w:t>
      </w:r>
    </w:p>
  </w:footnote>
  <w:footnote w:id="39">
    <w:p w14:paraId="179D45ED" w14:textId="22CA03B0" w:rsidR="00A40251" w:rsidRDefault="00A40251">
      <w:pPr>
        <w:pStyle w:val="FootnoteText"/>
      </w:pPr>
      <w:r>
        <w:rPr>
          <w:rStyle w:val="FootnoteReference"/>
        </w:rPr>
        <w:footnoteRef/>
      </w:r>
      <w:r>
        <w:t xml:space="preserve"> J.M.Winter, </w:t>
      </w:r>
      <w:r w:rsidRPr="00164957">
        <w:rPr>
          <w:i/>
        </w:rPr>
        <w:t>The Great War and the British People</w:t>
      </w:r>
      <w:r>
        <w:t xml:space="preserve"> (London; Macmillan Education Ltd, 1985)</w:t>
      </w:r>
    </w:p>
  </w:footnote>
  <w:footnote w:id="40">
    <w:p w14:paraId="739C3224" w14:textId="5BFC972D" w:rsidR="00A40251" w:rsidRDefault="00A40251">
      <w:pPr>
        <w:pStyle w:val="FootnoteText"/>
      </w:pPr>
      <w:r>
        <w:rPr>
          <w:rStyle w:val="FootnoteReference"/>
        </w:rPr>
        <w:footnoteRef/>
      </w:r>
      <w:r>
        <w:t xml:space="preserve"> </w:t>
      </w:r>
      <w:bookmarkStart w:id="15" w:name="_Hlk503357390"/>
      <w:r>
        <w:t>P.Clarke, Hope and Glory: Britain 1900-2000 (London; Penguin Books, 1997)</w:t>
      </w:r>
      <w:bookmarkEnd w:id="15"/>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BF9AF4" w14:textId="77777777" w:rsidR="00A40251" w:rsidRDefault="00A40251">
    <w:pPr>
      <w:pStyle w:val="Header"/>
    </w:pPr>
    <w:r>
      <w:t>AHHI6007- 1500629- Donoghue</w:t>
    </w:r>
  </w:p>
  <w:p w14:paraId="73A83D9B" w14:textId="77777777" w:rsidR="00A40251" w:rsidRDefault="00A4025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F3B6B22"/>
    <w:multiLevelType w:val="hybridMultilevel"/>
    <w:tmpl w:val="8B0E3D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A792B"/>
    <w:rsid w:val="0002273A"/>
    <w:rsid w:val="0003056E"/>
    <w:rsid w:val="00031DA1"/>
    <w:rsid w:val="00035D20"/>
    <w:rsid w:val="00041EC4"/>
    <w:rsid w:val="00043BE2"/>
    <w:rsid w:val="00047234"/>
    <w:rsid w:val="00054E55"/>
    <w:rsid w:val="000679B5"/>
    <w:rsid w:val="000B26A4"/>
    <w:rsid w:val="000C7B2D"/>
    <w:rsid w:val="000D471B"/>
    <w:rsid w:val="000D70A9"/>
    <w:rsid w:val="0013334B"/>
    <w:rsid w:val="001459E7"/>
    <w:rsid w:val="00154E47"/>
    <w:rsid w:val="001D4E19"/>
    <w:rsid w:val="001F4E50"/>
    <w:rsid w:val="001F5D38"/>
    <w:rsid w:val="002051CB"/>
    <w:rsid w:val="0021213D"/>
    <w:rsid w:val="002141C0"/>
    <w:rsid w:val="002230BD"/>
    <w:rsid w:val="00223F80"/>
    <w:rsid w:val="00225704"/>
    <w:rsid w:val="002605FC"/>
    <w:rsid w:val="00276911"/>
    <w:rsid w:val="0028170C"/>
    <w:rsid w:val="00292859"/>
    <w:rsid w:val="002A3EA6"/>
    <w:rsid w:val="002A46BF"/>
    <w:rsid w:val="002A545B"/>
    <w:rsid w:val="002A792B"/>
    <w:rsid w:val="002B2963"/>
    <w:rsid w:val="002B4802"/>
    <w:rsid w:val="002B5612"/>
    <w:rsid w:val="002B6230"/>
    <w:rsid w:val="002C5807"/>
    <w:rsid w:val="002C7EC2"/>
    <w:rsid w:val="002E4CD2"/>
    <w:rsid w:val="0037434C"/>
    <w:rsid w:val="003D37E6"/>
    <w:rsid w:val="003E2DCD"/>
    <w:rsid w:val="003E4D24"/>
    <w:rsid w:val="00416272"/>
    <w:rsid w:val="00432322"/>
    <w:rsid w:val="004347C6"/>
    <w:rsid w:val="00437A8F"/>
    <w:rsid w:val="004518D7"/>
    <w:rsid w:val="004630D7"/>
    <w:rsid w:val="00470D2E"/>
    <w:rsid w:val="00483A59"/>
    <w:rsid w:val="00486E65"/>
    <w:rsid w:val="00491A35"/>
    <w:rsid w:val="004A2929"/>
    <w:rsid w:val="004E346D"/>
    <w:rsid w:val="005354F8"/>
    <w:rsid w:val="00540ABE"/>
    <w:rsid w:val="00584AF1"/>
    <w:rsid w:val="00593FA7"/>
    <w:rsid w:val="005A2F39"/>
    <w:rsid w:val="005F11EB"/>
    <w:rsid w:val="005F5274"/>
    <w:rsid w:val="00605A55"/>
    <w:rsid w:val="00626785"/>
    <w:rsid w:val="0062706A"/>
    <w:rsid w:val="006434D2"/>
    <w:rsid w:val="00647206"/>
    <w:rsid w:val="0067434E"/>
    <w:rsid w:val="006743E0"/>
    <w:rsid w:val="006839B3"/>
    <w:rsid w:val="00686E8E"/>
    <w:rsid w:val="006C307F"/>
    <w:rsid w:val="006C3082"/>
    <w:rsid w:val="006E2A9F"/>
    <w:rsid w:val="006E2D8E"/>
    <w:rsid w:val="00702E18"/>
    <w:rsid w:val="00704186"/>
    <w:rsid w:val="00706151"/>
    <w:rsid w:val="0071312A"/>
    <w:rsid w:val="00726724"/>
    <w:rsid w:val="00740894"/>
    <w:rsid w:val="007408EB"/>
    <w:rsid w:val="007431A2"/>
    <w:rsid w:val="0074462A"/>
    <w:rsid w:val="00756388"/>
    <w:rsid w:val="00756EFC"/>
    <w:rsid w:val="007853DA"/>
    <w:rsid w:val="00793DC0"/>
    <w:rsid w:val="007941F1"/>
    <w:rsid w:val="007A52B8"/>
    <w:rsid w:val="007B62CB"/>
    <w:rsid w:val="007C39DA"/>
    <w:rsid w:val="007D64FB"/>
    <w:rsid w:val="007F4B33"/>
    <w:rsid w:val="007F75E9"/>
    <w:rsid w:val="008164F3"/>
    <w:rsid w:val="0082688F"/>
    <w:rsid w:val="00842FF7"/>
    <w:rsid w:val="00854A9C"/>
    <w:rsid w:val="008763FD"/>
    <w:rsid w:val="008930A4"/>
    <w:rsid w:val="008A4A35"/>
    <w:rsid w:val="008C40A2"/>
    <w:rsid w:val="008E1A6A"/>
    <w:rsid w:val="009200E5"/>
    <w:rsid w:val="00923C6A"/>
    <w:rsid w:val="0093236E"/>
    <w:rsid w:val="009511DD"/>
    <w:rsid w:val="0096190D"/>
    <w:rsid w:val="00964D32"/>
    <w:rsid w:val="00967B31"/>
    <w:rsid w:val="00975246"/>
    <w:rsid w:val="00990020"/>
    <w:rsid w:val="009B051A"/>
    <w:rsid w:val="009D7B4E"/>
    <w:rsid w:val="00A024BE"/>
    <w:rsid w:val="00A05F60"/>
    <w:rsid w:val="00A07519"/>
    <w:rsid w:val="00A159AB"/>
    <w:rsid w:val="00A31D5B"/>
    <w:rsid w:val="00A40251"/>
    <w:rsid w:val="00A64082"/>
    <w:rsid w:val="00A743FB"/>
    <w:rsid w:val="00A74508"/>
    <w:rsid w:val="00AA275F"/>
    <w:rsid w:val="00AB2F27"/>
    <w:rsid w:val="00AB5D38"/>
    <w:rsid w:val="00AD08FA"/>
    <w:rsid w:val="00AE0B03"/>
    <w:rsid w:val="00AF2E15"/>
    <w:rsid w:val="00B073B7"/>
    <w:rsid w:val="00B200CD"/>
    <w:rsid w:val="00B34156"/>
    <w:rsid w:val="00B3421A"/>
    <w:rsid w:val="00B467CE"/>
    <w:rsid w:val="00B56CB9"/>
    <w:rsid w:val="00B573CF"/>
    <w:rsid w:val="00B628B2"/>
    <w:rsid w:val="00B768DC"/>
    <w:rsid w:val="00BA144C"/>
    <w:rsid w:val="00BB7BB4"/>
    <w:rsid w:val="00BC37FC"/>
    <w:rsid w:val="00BF11B0"/>
    <w:rsid w:val="00BF1297"/>
    <w:rsid w:val="00C07C5D"/>
    <w:rsid w:val="00C16A0D"/>
    <w:rsid w:val="00C27940"/>
    <w:rsid w:val="00C36163"/>
    <w:rsid w:val="00C54A0F"/>
    <w:rsid w:val="00C7047B"/>
    <w:rsid w:val="00C87C8B"/>
    <w:rsid w:val="00C935CE"/>
    <w:rsid w:val="00C93D35"/>
    <w:rsid w:val="00CA204F"/>
    <w:rsid w:val="00CE470A"/>
    <w:rsid w:val="00D009CE"/>
    <w:rsid w:val="00D213BB"/>
    <w:rsid w:val="00D3599F"/>
    <w:rsid w:val="00D403E5"/>
    <w:rsid w:val="00D4187F"/>
    <w:rsid w:val="00D670F6"/>
    <w:rsid w:val="00D71784"/>
    <w:rsid w:val="00D71EE3"/>
    <w:rsid w:val="00D85D41"/>
    <w:rsid w:val="00DB0969"/>
    <w:rsid w:val="00DB413D"/>
    <w:rsid w:val="00DB5384"/>
    <w:rsid w:val="00DC748D"/>
    <w:rsid w:val="00DD1ED0"/>
    <w:rsid w:val="00DD389F"/>
    <w:rsid w:val="00DD3C1A"/>
    <w:rsid w:val="00DE2CBA"/>
    <w:rsid w:val="00E30B88"/>
    <w:rsid w:val="00E410D1"/>
    <w:rsid w:val="00E429ED"/>
    <w:rsid w:val="00E864D2"/>
    <w:rsid w:val="00E920F2"/>
    <w:rsid w:val="00E9524C"/>
    <w:rsid w:val="00EC7B71"/>
    <w:rsid w:val="00ED16E1"/>
    <w:rsid w:val="00F03C09"/>
    <w:rsid w:val="00F0441E"/>
    <w:rsid w:val="00F25C9C"/>
    <w:rsid w:val="00F32163"/>
    <w:rsid w:val="00F340AA"/>
    <w:rsid w:val="00F369A5"/>
    <w:rsid w:val="00F429CC"/>
    <w:rsid w:val="00F51739"/>
    <w:rsid w:val="00F5468E"/>
    <w:rsid w:val="00F618FC"/>
    <w:rsid w:val="00F6432C"/>
    <w:rsid w:val="00F756AA"/>
    <w:rsid w:val="00F86E74"/>
    <w:rsid w:val="00F86E90"/>
    <w:rsid w:val="00FB453E"/>
    <w:rsid w:val="00FD04D0"/>
    <w:rsid w:val="00FD20D3"/>
    <w:rsid w:val="00FF4934"/>
    <w:rsid w:val="00FF53A6"/>
    <w:rsid w:val="00FF5C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F5BF1FD"/>
  <w15:chartTrackingRefBased/>
  <w15:docId w15:val="{6D7F5376-83D2-4CB7-A24A-90AAFD3A47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429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29CC"/>
  </w:style>
  <w:style w:type="paragraph" w:styleId="Footer">
    <w:name w:val="footer"/>
    <w:basedOn w:val="Normal"/>
    <w:link w:val="FooterChar"/>
    <w:uiPriority w:val="99"/>
    <w:unhideWhenUsed/>
    <w:rsid w:val="00F429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29CC"/>
  </w:style>
  <w:style w:type="character" w:styleId="CommentReference">
    <w:name w:val="annotation reference"/>
    <w:basedOn w:val="DefaultParagraphFont"/>
    <w:uiPriority w:val="99"/>
    <w:semiHidden/>
    <w:unhideWhenUsed/>
    <w:rsid w:val="00626785"/>
    <w:rPr>
      <w:sz w:val="16"/>
      <w:szCs w:val="16"/>
    </w:rPr>
  </w:style>
  <w:style w:type="paragraph" w:styleId="CommentText">
    <w:name w:val="annotation text"/>
    <w:basedOn w:val="Normal"/>
    <w:link w:val="CommentTextChar"/>
    <w:uiPriority w:val="99"/>
    <w:semiHidden/>
    <w:unhideWhenUsed/>
    <w:rsid w:val="00626785"/>
    <w:pPr>
      <w:spacing w:line="240" w:lineRule="auto"/>
    </w:pPr>
    <w:rPr>
      <w:sz w:val="20"/>
      <w:szCs w:val="20"/>
    </w:rPr>
  </w:style>
  <w:style w:type="character" w:customStyle="1" w:styleId="CommentTextChar">
    <w:name w:val="Comment Text Char"/>
    <w:basedOn w:val="DefaultParagraphFont"/>
    <w:link w:val="CommentText"/>
    <w:uiPriority w:val="99"/>
    <w:semiHidden/>
    <w:rsid w:val="00626785"/>
    <w:rPr>
      <w:sz w:val="20"/>
      <w:szCs w:val="20"/>
    </w:rPr>
  </w:style>
  <w:style w:type="paragraph" w:styleId="CommentSubject">
    <w:name w:val="annotation subject"/>
    <w:basedOn w:val="CommentText"/>
    <w:next w:val="CommentText"/>
    <w:link w:val="CommentSubjectChar"/>
    <w:uiPriority w:val="99"/>
    <w:semiHidden/>
    <w:unhideWhenUsed/>
    <w:rsid w:val="00626785"/>
    <w:rPr>
      <w:b/>
      <w:bCs/>
    </w:rPr>
  </w:style>
  <w:style w:type="character" w:customStyle="1" w:styleId="CommentSubjectChar">
    <w:name w:val="Comment Subject Char"/>
    <w:basedOn w:val="CommentTextChar"/>
    <w:link w:val="CommentSubject"/>
    <w:uiPriority w:val="99"/>
    <w:semiHidden/>
    <w:rsid w:val="00626785"/>
    <w:rPr>
      <w:b/>
      <w:bCs/>
      <w:sz w:val="20"/>
      <w:szCs w:val="20"/>
    </w:rPr>
  </w:style>
  <w:style w:type="paragraph" w:styleId="BalloonText">
    <w:name w:val="Balloon Text"/>
    <w:basedOn w:val="Normal"/>
    <w:link w:val="BalloonTextChar"/>
    <w:uiPriority w:val="99"/>
    <w:semiHidden/>
    <w:unhideWhenUsed/>
    <w:rsid w:val="0062678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26785"/>
    <w:rPr>
      <w:rFonts w:ascii="Segoe UI" w:hAnsi="Segoe UI" w:cs="Segoe UI"/>
      <w:sz w:val="18"/>
      <w:szCs w:val="18"/>
    </w:rPr>
  </w:style>
  <w:style w:type="paragraph" w:styleId="Revision">
    <w:name w:val="Revision"/>
    <w:hidden/>
    <w:uiPriority w:val="99"/>
    <w:semiHidden/>
    <w:rsid w:val="00D009CE"/>
    <w:pPr>
      <w:spacing w:after="0" w:line="240" w:lineRule="auto"/>
    </w:pPr>
  </w:style>
  <w:style w:type="paragraph" w:styleId="FootnoteText">
    <w:name w:val="footnote text"/>
    <w:basedOn w:val="Normal"/>
    <w:link w:val="FootnoteTextChar"/>
    <w:uiPriority w:val="99"/>
    <w:semiHidden/>
    <w:unhideWhenUsed/>
    <w:rsid w:val="009B051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B051A"/>
    <w:rPr>
      <w:sz w:val="20"/>
      <w:szCs w:val="20"/>
    </w:rPr>
  </w:style>
  <w:style w:type="character" w:styleId="FootnoteReference">
    <w:name w:val="footnote reference"/>
    <w:basedOn w:val="DefaultParagraphFont"/>
    <w:uiPriority w:val="99"/>
    <w:semiHidden/>
    <w:unhideWhenUsed/>
    <w:rsid w:val="009B051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AEBDBC-9234-40C3-BFE0-6A0F5701F2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TotalTime>
  <Pages>7</Pages>
  <Words>3400</Words>
  <Characters>15913</Characters>
  <Application>Microsoft Office Word</Application>
  <DocSecurity>0</DocSecurity>
  <Lines>237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Donoghue</dc:creator>
  <cp:keywords/>
  <dc:description/>
  <cp:lastModifiedBy>Adam Donoghue</cp:lastModifiedBy>
  <cp:revision>8</cp:revision>
  <dcterms:created xsi:type="dcterms:W3CDTF">2018-01-12T13:00:00Z</dcterms:created>
  <dcterms:modified xsi:type="dcterms:W3CDTF">2018-01-12T14:58:00Z</dcterms:modified>
</cp:coreProperties>
</file>