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4D9C33" w14:textId="14449EBC" w:rsidR="00F436D7" w:rsidRDefault="00256D8C" w:rsidP="00B90D80">
      <w:pPr>
        <w:pStyle w:val="NormalWeb"/>
        <w:spacing w:before="139" w:beforeAutospacing="0" w:after="0" w:afterAutospacing="0"/>
        <w:ind w:right="241"/>
        <w:jc w:val="center"/>
        <w:textAlignment w:val="baseline"/>
        <w:rPr>
          <w:b/>
          <w:bCs/>
          <w:color w:val="000000"/>
          <w:sz w:val="32"/>
          <w:szCs w:val="32"/>
        </w:rPr>
      </w:pPr>
      <w:r>
        <w:rPr>
          <w:b/>
          <w:bCs/>
          <w:noProof/>
          <w:color w:val="000000"/>
          <w:sz w:val="32"/>
          <w:szCs w:val="32"/>
        </w:rPr>
        <w:drawing>
          <wp:inline distT="0" distB="0" distL="0" distR="0" wp14:anchorId="278A6147" wp14:editId="02C29625">
            <wp:extent cx="2095500" cy="695325"/>
            <wp:effectExtent l="0" t="0" r="0" b="9525"/>
            <wp:docPr id="557006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006109" name="Picture 557006109"/>
                    <pic:cNvPicPr/>
                  </pic:nvPicPr>
                  <pic:blipFill>
                    <a:blip r:embed="rId8">
                      <a:extLst>
                        <a:ext uri="{28A0092B-C50C-407E-A947-70E740481C1C}">
                          <a14:useLocalDpi xmlns:a14="http://schemas.microsoft.com/office/drawing/2010/main" val="0"/>
                        </a:ext>
                      </a:extLst>
                    </a:blip>
                    <a:stretch>
                      <a:fillRect/>
                    </a:stretch>
                  </pic:blipFill>
                  <pic:spPr>
                    <a:xfrm>
                      <a:off x="0" y="0"/>
                      <a:ext cx="2095500" cy="695325"/>
                    </a:xfrm>
                    <a:prstGeom prst="rect">
                      <a:avLst/>
                    </a:prstGeom>
                  </pic:spPr>
                </pic:pic>
              </a:graphicData>
            </a:graphic>
          </wp:inline>
        </w:drawing>
      </w:r>
    </w:p>
    <w:p w14:paraId="1597ADA2" w14:textId="77777777" w:rsidR="00F436D7" w:rsidRDefault="00F436D7" w:rsidP="00F436D7">
      <w:pPr>
        <w:pStyle w:val="NormalWeb"/>
        <w:spacing w:before="139" w:beforeAutospacing="0" w:after="0" w:afterAutospacing="0"/>
        <w:ind w:right="241"/>
        <w:jc w:val="center"/>
        <w:textAlignment w:val="baseline"/>
        <w:rPr>
          <w:b/>
          <w:bCs/>
          <w:color w:val="000000"/>
          <w:sz w:val="32"/>
          <w:szCs w:val="32"/>
        </w:rPr>
      </w:pPr>
    </w:p>
    <w:p w14:paraId="7717E7D0" w14:textId="77777777" w:rsidR="00F436D7" w:rsidRDefault="00F436D7" w:rsidP="00F436D7">
      <w:pPr>
        <w:pStyle w:val="NormalWeb"/>
        <w:spacing w:before="139" w:beforeAutospacing="0" w:after="0" w:afterAutospacing="0"/>
        <w:ind w:right="241"/>
        <w:jc w:val="center"/>
        <w:textAlignment w:val="baseline"/>
        <w:rPr>
          <w:b/>
          <w:bCs/>
          <w:color w:val="000000"/>
          <w:sz w:val="32"/>
          <w:szCs w:val="32"/>
        </w:rPr>
      </w:pPr>
    </w:p>
    <w:p w14:paraId="0823B7BF" w14:textId="77777777" w:rsidR="00F436D7" w:rsidRDefault="00F436D7" w:rsidP="00F436D7">
      <w:pPr>
        <w:pStyle w:val="NormalWeb"/>
        <w:spacing w:before="139" w:beforeAutospacing="0" w:after="0" w:afterAutospacing="0"/>
        <w:ind w:right="241"/>
        <w:jc w:val="center"/>
        <w:textAlignment w:val="baseline"/>
        <w:rPr>
          <w:b/>
          <w:bCs/>
          <w:color w:val="000000"/>
          <w:sz w:val="32"/>
          <w:szCs w:val="32"/>
        </w:rPr>
      </w:pPr>
    </w:p>
    <w:p w14:paraId="693FC966" w14:textId="77777777" w:rsidR="00F436D7" w:rsidRPr="00B90D80" w:rsidRDefault="00F436D7" w:rsidP="00F436D7">
      <w:pPr>
        <w:pStyle w:val="NormalWeb"/>
        <w:spacing w:before="139" w:beforeAutospacing="0" w:after="0" w:afterAutospacing="0"/>
        <w:ind w:right="241"/>
        <w:jc w:val="center"/>
        <w:textAlignment w:val="baseline"/>
        <w:rPr>
          <w:rStyle w:val="Strong"/>
        </w:rPr>
      </w:pPr>
    </w:p>
    <w:p w14:paraId="57655A64" w14:textId="77777777" w:rsidR="00F436D7" w:rsidRDefault="00F436D7" w:rsidP="00B90D80">
      <w:pPr>
        <w:pStyle w:val="NormalWeb"/>
        <w:spacing w:before="139" w:beforeAutospacing="0" w:after="0" w:afterAutospacing="0"/>
        <w:ind w:right="241"/>
        <w:jc w:val="center"/>
        <w:textAlignment w:val="baseline"/>
        <w:rPr>
          <w:b/>
          <w:bCs/>
          <w:color w:val="000000"/>
          <w:sz w:val="32"/>
          <w:szCs w:val="32"/>
        </w:rPr>
      </w:pPr>
    </w:p>
    <w:p w14:paraId="315CD17E" w14:textId="3178A616" w:rsidR="00F436D7" w:rsidRPr="00F436D7" w:rsidRDefault="00F436D7" w:rsidP="00B90D80">
      <w:pPr>
        <w:pStyle w:val="NormalWeb"/>
        <w:spacing w:before="139" w:beforeAutospacing="0" w:after="0" w:afterAutospacing="0"/>
        <w:ind w:right="241"/>
        <w:jc w:val="center"/>
        <w:textAlignment w:val="baseline"/>
        <w:rPr>
          <w:b/>
          <w:bCs/>
          <w:color w:val="000000"/>
          <w:sz w:val="32"/>
          <w:szCs w:val="32"/>
        </w:rPr>
      </w:pPr>
      <w:r w:rsidRPr="00F436D7">
        <w:rPr>
          <w:b/>
          <w:bCs/>
          <w:color w:val="000000"/>
          <w:sz w:val="32"/>
          <w:szCs w:val="32"/>
        </w:rPr>
        <w:t xml:space="preserve">Title Of </w:t>
      </w:r>
      <w:proofErr w:type="gramStart"/>
      <w:r w:rsidRPr="00F436D7">
        <w:rPr>
          <w:b/>
          <w:bCs/>
          <w:color w:val="000000"/>
          <w:sz w:val="32"/>
          <w:szCs w:val="32"/>
        </w:rPr>
        <w:t>The</w:t>
      </w:r>
      <w:proofErr w:type="gramEnd"/>
      <w:r w:rsidRPr="00F436D7">
        <w:rPr>
          <w:b/>
          <w:bCs/>
          <w:color w:val="000000"/>
          <w:sz w:val="32"/>
          <w:szCs w:val="32"/>
        </w:rPr>
        <w:t xml:space="preserve"> Assignment: International Business</w:t>
      </w:r>
    </w:p>
    <w:p w14:paraId="6F847C6C" w14:textId="77777777" w:rsidR="00D602EC" w:rsidRDefault="00F436D7" w:rsidP="00B90D80">
      <w:pPr>
        <w:pStyle w:val="NormalWeb"/>
        <w:spacing w:before="139" w:beforeAutospacing="0" w:after="0" w:afterAutospacing="0"/>
        <w:ind w:right="241"/>
        <w:jc w:val="center"/>
        <w:textAlignment w:val="baseline"/>
        <w:rPr>
          <w:b/>
          <w:bCs/>
          <w:color w:val="000000"/>
          <w:sz w:val="32"/>
          <w:szCs w:val="32"/>
        </w:rPr>
      </w:pPr>
      <w:r w:rsidRPr="00F436D7">
        <w:rPr>
          <w:b/>
          <w:bCs/>
          <w:color w:val="000000"/>
          <w:sz w:val="32"/>
          <w:szCs w:val="32"/>
        </w:rPr>
        <w:t xml:space="preserve">Student Name: </w:t>
      </w:r>
      <w:r w:rsidR="00256D8C">
        <w:rPr>
          <w:b/>
          <w:bCs/>
          <w:color w:val="000000"/>
          <w:sz w:val="32"/>
          <w:szCs w:val="32"/>
        </w:rPr>
        <w:t>Pranjal Parthiv Trivedi</w:t>
      </w:r>
    </w:p>
    <w:p w14:paraId="4A330D65" w14:textId="1EE91983" w:rsidR="00F436D7" w:rsidRDefault="00F436D7" w:rsidP="00B90D80">
      <w:pPr>
        <w:pStyle w:val="NormalWeb"/>
        <w:spacing w:before="139" w:beforeAutospacing="0" w:after="0" w:afterAutospacing="0"/>
        <w:ind w:right="241"/>
        <w:jc w:val="center"/>
        <w:textAlignment w:val="baseline"/>
        <w:rPr>
          <w:b/>
          <w:bCs/>
          <w:color w:val="000000"/>
          <w:sz w:val="32"/>
          <w:szCs w:val="32"/>
        </w:rPr>
      </w:pPr>
      <w:r w:rsidRPr="00F436D7">
        <w:rPr>
          <w:b/>
          <w:bCs/>
          <w:color w:val="000000"/>
          <w:sz w:val="32"/>
          <w:szCs w:val="32"/>
        </w:rPr>
        <w:t xml:space="preserve">Student Number: </w:t>
      </w:r>
      <w:r w:rsidR="00256D8C">
        <w:rPr>
          <w:b/>
          <w:bCs/>
          <w:color w:val="000000"/>
          <w:sz w:val="32"/>
          <w:szCs w:val="32"/>
        </w:rPr>
        <w:t>2241418</w:t>
      </w:r>
    </w:p>
    <w:p w14:paraId="023C7410" w14:textId="77777777" w:rsidR="00D602EC" w:rsidRDefault="00D602EC" w:rsidP="00B90D80">
      <w:pPr>
        <w:pStyle w:val="NormalWeb"/>
        <w:spacing w:before="139" w:beforeAutospacing="0" w:after="0" w:afterAutospacing="0"/>
        <w:ind w:right="241"/>
        <w:jc w:val="center"/>
        <w:textAlignment w:val="baseline"/>
        <w:rPr>
          <w:b/>
          <w:bCs/>
          <w:color w:val="000000"/>
          <w:sz w:val="32"/>
          <w:szCs w:val="32"/>
        </w:rPr>
      </w:pPr>
      <w:r w:rsidRPr="00F436D7">
        <w:rPr>
          <w:b/>
          <w:bCs/>
          <w:color w:val="000000"/>
          <w:sz w:val="32"/>
          <w:szCs w:val="32"/>
        </w:rPr>
        <w:t>Module Name: International Business</w:t>
      </w:r>
    </w:p>
    <w:p w14:paraId="16AAC4CD" w14:textId="77777777" w:rsidR="00B90D80" w:rsidRDefault="00B90D80" w:rsidP="00B90D80">
      <w:pPr>
        <w:pStyle w:val="NormalWeb"/>
        <w:spacing w:before="139" w:beforeAutospacing="0" w:after="0" w:afterAutospacing="0"/>
        <w:ind w:right="241"/>
        <w:jc w:val="center"/>
        <w:textAlignment w:val="baseline"/>
        <w:rPr>
          <w:b/>
          <w:bCs/>
          <w:color w:val="000000"/>
          <w:sz w:val="32"/>
          <w:szCs w:val="32"/>
        </w:rPr>
      </w:pPr>
      <w:r w:rsidRPr="00F436D7">
        <w:rPr>
          <w:b/>
          <w:bCs/>
          <w:color w:val="000000"/>
          <w:sz w:val="32"/>
          <w:szCs w:val="32"/>
        </w:rPr>
        <w:t>Module Number: LCMB</w:t>
      </w:r>
      <w:r>
        <w:rPr>
          <w:b/>
          <w:bCs/>
          <w:color w:val="000000"/>
          <w:sz w:val="32"/>
          <w:szCs w:val="32"/>
        </w:rPr>
        <w:t xml:space="preserve"> </w:t>
      </w:r>
      <w:r w:rsidRPr="00F436D7">
        <w:rPr>
          <w:b/>
          <w:bCs/>
          <w:color w:val="000000"/>
          <w:sz w:val="32"/>
          <w:szCs w:val="32"/>
        </w:rPr>
        <w:t>7014</w:t>
      </w:r>
    </w:p>
    <w:p w14:paraId="3ED8DDAC" w14:textId="54608A69" w:rsidR="00B90D80" w:rsidRDefault="00D602EC" w:rsidP="00B90D80">
      <w:pPr>
        <w:pStyle w:val="NormalWeb"/>
        <w:spacing w:before="139" w:beforeAutospacing="0" w:after="0" w:afterAutospacing="0"/>
        <w:ind w:right="241"/>
        <w:jc w:val="center"/>
        <w:textAlignment w:val="baseline"/>
        <w:rPr>
          <w:b/>
          <w:bCs/>
          <w:color w:val="000000"/>
          <w:sz w:val="32"/>
          <w:szCs w:val="32"/>
        </w:rPr>
      </w:pPr>
      <w:r>
        <w:rPr>
          <w:b/>
          <w:bCs/>
          <w:color w:val="000000"/>
          <w:sz w:val="32"/>
          <w:szCs w:val="32"/>
        </w:rPr>
        <w:t xml:space="preserve">Lecturer: </w:t>
      </w:r>
      <w:r w:rsidR="00B90D80">
        <w:rPr>
          <w:b/>
          <w:bCs/>
          <w:color w:val="000000"/>
          <w:sz w:val="32"/>
          <w:szCs w:val="32"/>
        </w:rPr>
        <w:t xml:space="preserve">Prof. Aderemi </w:t>
      </w:r>
      <w:proofErr w:type="spellStart"/>
      <w:r w:rsidR="00B90D80">
        <w:rPr>
          <w:b/>
          <w:bCs/>
          <w:color w:val="000000"/>
          <w:sz w:val="32"/>
          <w:szCs w:val="32"/>
        </w:rPr>
        <w:t>Ojebode</w:t>
      </w:r>
      <w:proofErr w:type="spellEnd"/>
    </w:p>
    <w:p w14:paraId="5D1BFCD1" w14:textId="36E65F0A" w:rsidR="006E264F" w:rsidRDefault="00F436D7" w:rsidP="00B90D80">
      <w:pPr>
        <w:pStyle w:val="NormalWeb"/>
        <w:spacing w:before="139" w:beforeAutospacing="0" w:after="0" w:afterAutospacing="0"/>
        <w:ind w:right="241"/>
        <w:jc w:val="center"/>
        <w:textAlignment w:val="baseline"/>
        <w:rPr>
          <w:b/>
          <w:bCs/>
          <w:color w:val="000000"/>
          <w:sz w:val="32"/>
          <w:szCs w:val="32"/>
        </w:rPr>
      </w:pPr>
      <w:r w:rsidRPr="00F436D7">
        <w:rPr>
          <w:b/>
          <w:bCs/>
          <w:color w:val="000000"/>
          <w:sz w:val="32"/>
          <w:szCs w:val="32"/>
        </w:rPr>
        <w:t>Word Count: 5000</w:t>
      </w:r>
    </w:p>
    <w:p w14:paraId="6B5105CD" w14:textId="77777777" w:rsidR="006E264F" w:rsidRDefault="006E264F" w:rsidP="00B90D80">
      <w:pPr>
        <w:jc w:val="center"/>
        <w:rPr>
          <w:rFonts w:ascii="Times New Roman" w:eastAsia="Times New Roman" w:hAnsi="Times New Roman" w:cs="Times New Roman"/>
          <w:b/>
          <w:bCs/>
          <w:color w:val="000000"/>
          <w:sz w:val="32"/>
          <w:szCs w:val="32"/>
        </w:rPr>
      </w:pPr>
      <w:r>
        <w:rPr>
          <w:b/>
          <w:bCs/>
          <w:color w:val="000000"/>
          <w:sz w:val="32"/>
          <w:szCs w:val="32"/>
        </w:rPr>
        <w:br w:type="page"/>
      </w:r>
    </w:p>
    <w:p w14:paraId="34AF4A90" w14:textId="77777777" w:rsidR="006E264F" w:rsidRPr="00256D8C" w:rsidRDefault="006E264F" w:rsidP="006E264F">
      <w:pPr>
        <w:pStyle w:val="Heading1"/>
        <w:rPr>
          <w:color w:val="auto"/>
        </w:rPr>
      </w:pPr>
      <w:bookmarkStart w:id="0" w:name="_Toc150029496"/>
      <w:r w:rsidRPr="00256D8C">
        <w:rPr>
          <w:color w:val="auto"/>
        </w:rPr>
        <w:lastRenderedPageBreak/>
        <w:t>Executive Summary</w:t>
      </w:r>
      <w:bookmarkEnd w:id="0"/>
      <w:r w:rsidRPr="00256D8C">
        <w:rPr>
          <w:color w:val="auto"/>
        </w:rPr>
        <w:t> </w:t>
      </w:r>
    </w:p>
    <w:p w14:paraId="43CC35DA" w14:textId="77777777" w:rsidR="006E264F" w:rsidRPr="00256D8C" w:rsidRDefault="006E264F" w:rsidP="006E264F">
      <w:pPr>
        <w:spacing w:after="0" w:line="360" w:lineRule="auto"/>
        <w:jc w:val="both"/>
        <w:rPr>
          <w:rFonts w:ascii="Times New Roman" w:eastAsia="Times New Roman" w:hAnsi="Times New Roman" w:cs="Times New Roman"/>
          <w:sz w:val="24"/>
          <w:szCs w:val="24"/>
        </w:rPr>
      </w:pPr>
      <w:r w:rsidRPr="00256D8C">
        <w:rPr>
          <w:rFonts w:ascii="Times New Roman" w:eastAsia="Times New Roman" w:hAnsi="Times New Roman" w:cs="Times New Roman"/>
          <w:b/>
          <w:bCs/>
          <w:sz w:val="24"/>
          <w:szCs w:val="24"/>
        </w:rPr>
        <w:t>Vision </w:t>
      </w:r>
    </w:p>
    <w:p w14:paraId="0C3AC73D" w14:textId="77777777" w:rsidR="006E264F" w:rsidRPr="00256D8C" w:rsidRDefault="006E264F" w:rsidP="006E264F">
      <w:pPr>
        <w:spacing w:after="0" w:line="360" w:lineRule="auto"/>
        <w:jc w:val="both"/>
        <w:rPr>
          <w:rFonts w:ascii="Times New Roman" w:eastAsia="Times New Roman" w:hAnsi="Times New Roman" w:cs="Times New Roman"/>
          <w:sz w:val="24"/>
          <w:szCs w:val="24"/>
        </w:rPr>
      </w:pPr>
      <w:r w:rsidRPr="00256D8C">
        <w:rPr>
          <w:rFonts w:ascii="Times New Roman" w:eastAsia="Times New Roman" w:hAnsi="Times New Roman" w:cs="Times New Roman"/>
          <w:sz w:val="24"/>
          <w:szCs w:val="24"/>
        </w:rPr>
        <w:t>The vision of Toyota to internationalize its business will engage it in identifying suitable options for business expansion. The company aims to assess suitable internationalization strategies to support the possible ways of improving its international business marketing activities. The company's performance in the market will be evaluated based on strategies such as ethnocentric, polycentric, and geocentric. Toyota has created a balance within the competitive market to increase profitability. The vision of international expansion will be based on its geocentric strategy of hiring people from different regions to expand the market. The focus on the host country, China, will support the company in pursuing its vision of internationalization.</w:t>
      </w:r>
    </w:p>
    <w:p w14:paraId="45FA16DF" w14:textId="77777777" w:rsidR="006E264F" w:rsidRPr="00256D8C" w:rsidRDefault="006E264F" w:rsidP="006E264F">
      <w:pPr>
        <w:spacing w:after="0" w:line="360" w:lineRule="auto"/>
        <w:jc w:val="both"/>
        <w:rPr>
          <w:rFonts w:ascii="Times New Roman" w:eastAsia="Times New Roman" w:hAnsi="Times New Roman" w:cs="Times New Roman"/>
          <w:sz w:val="24"/>
          <w:szCs w:val="24"/>
        </w:rPr>
      </w:pPr>
      <w:r w:rsidRPr="00256D8C">
        <w:rPr>
          <w:rFonts w:ascii="Times New Roman" w:eastAsia="Times New Roman" w:hAnsi="Times New Roman" w:cs="Times New Roman"/>
          <w:b/>
          <w:bCs/>
          <w:sz w:val="24"/>
          <w:szCs w:val="24"/>
        </w:rPr>
        <w:t>Mission </w:t>
      </w:r>
    </w:p>
    <w:p w14:paraId="264C4D31" w14:textId="77777777" w:rsidR="006E264F" w:rsidRPr="00256D8C" w:rsidRDefault="006E264F" w:rsidP="006E264F">
      <w:pPr>
        <w:spacing w:after="0" w:line="360" w:lineRule="auto"/>
        <w:jc w:val="both"/>
        <w:rPr>
          <w:rFonts w:ascii="Times New Roman" w:eastAsia="Times New Roman" w:hAnsi="Times New Roman" w:cs="Times New Roman"/>
          <w:sz w:val="24"/>
          <w:szCs w:val="24"/>
        </w:rPr>
      </w:pPr>
      <w:r w:rsidRPr="00256D8C">
        <w:rPr>
          <w:rFonts w:ascii="Times New Roman" w:eastAsia="Times New Roman" w:hAnsi="Times New Roman" w:cs="Times New Roman"/>
          <w:sz w:val="24"/>
          <w:szCs w:val="24"/>
        </w:rPr>
        <w:t xml:space="preserve">The mission of Toyota to expand the market in China will engage it in identifying the market threats and opportunities. The company's objective to assess the ways of managing business expansion will be addressed through external environment analysis. Toyota also needs to understand its performance in Japan to understand the need for a suitable strategy while expanding the market in China. The international strategy of Toyota will be based on the objective of maintaining contextualization of business marketing strategy within the global competitive market. Toyota will implement its internationalization strategy by empowering its presence in the Chinese market. </w:t>
      </w:r>
    </w:p>
    <w:p w14:paraId="583A2505" w14:textId="77777777" w:rsidR="006E264F" w:rsidRDefault="006E264F" w:rsidP="006E264F">
      <w:pPr>
        <w:spacing w:line="360" w:lineRule="auto"/>
        <w:jc w:val="both"/>
        <w:rPr>
          <w:rFonts w:ascii="Times New Roman" w:hAnsi="Times New Roman" w:cs="Times New Roman"/>
          <w:sz w:val="24"/>
          <w:szCs w:val="24"/>
        </w:rPr>
      </w:pPr>
    </w:p>
    <w:p w14:paraId="49AB10F3" w14:textId="77777777" w:rsidR="006E264F" w:rsidRDefault="006E264F" w:rsidP="006E264F"/>
    <w:p w14:paraId="751A0C99" w14:textId="77777777" w:rsidR="00F436D7" w:rsidRPr="00F436D7" w:rsidRDefault="00F436D7" w:rsidP="00F436D7">
      <w:pPr>
        <w:pStyle w:val="NormalWeb"/>
        <w:spacing w:before="139" w:beforeAutospacing="0" w:after="0" w:afterAutospacing="0"/>
        <w:ind w:right="241"/>
        <w:jc w:val="center"/>
        <w:textAlignment w:val="baseline"/>
        <w:rPr>
          <w:b/>
          <w:bCs/>
          <w:color w:val="000000"/>
          <w:sz w:val="32"/>
          <w:szCs w:val="32"/>
        </w:rPr>
      </w:pPr>
    </w:p>
    <w:p w14:paraId="2233C30C" w14:textId="77777777" w:rsidR="00BA3211" w:rsidRDefault="00AF7AF3">
      <w:pP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br w:type="page"/>
      </w:r>
    </w:p>
    <w:sdt>
      <w:sdtPr>
        <w:rPr>
          <w:rFonts w:ascii="Times New Roman" w:eastAsiaTheme="minorHAnsi" w:hAnsi="Times New Roman" w:cs="Times New Roman"/>
          <w:b w:val="0"/>
          <w:bCs w:val="0"/>
          <w:color w:val="auto"/>
          <w:sz w:val="22"/>
          <w:szCs w:val="24"/>
        </w:rPr>
        <w:id w:val="748462960"/>
        <w:docPartObj>
          <w:docPartGallery w:val="Table of Contents"/>
          <w:docPartUnique/>
        </w:docPartObj>
      </w:sdtPr>
      <w:sdtEndPr>
        <w:rPr>
          <w:rFonts w:eastAsiaTheme="minorEastAsia"/>
          <w:noProof/>
          <w:sz w:val="24"/>
        </w:rPr>
      </w:sdtEndPr>
      <w:sdtContent>
        <w:p w14:paraId="36CE5DE1" w14:textId="77777777" w:rsidR="00BA3211" w:rsidRPr="006E264F" w:rsidRDefault="00AF7AF3" w:rsidP="006E264F">
          <w:pPr>
            <w:pStyle w:val="TOCHeading"/>
            <w:spacing w:line="360" w:lineRule="auto"/>
            <w:jc w:val="both"/>
            <w:rPr>
              <w:rFonts w:ascii="Times New Roman" w:hAnsi="Times New Roman" w:cs="Times New Roman"/>
              <w:color w:val="auto"/>
              <w:sz w:val="24"/>
              <w:szCs w:val="24"/>
            </w:rPr>
          </w:pPr>
          <w:r w:rsidRPr="006E264F">
            <w:rPr>
              <w:rFonts w:ascii="Times New Roman" w:hAnsi="Times New Roman" w:cs="Times New Roman"/>
              <w:color w:val="auto"/>
              <w:sz w:val="24"/>
              <w:szCs w:val="24"/>
            </w:rPr>
            <w:t>Table of Contents</w:t>
          </w:r>
        </w:p>
        <w:p w14:paraId="41F30E2C" w14:textId="02874A0F" w:rsidR="006E264F" w:rsidRPr="006E264F" w:rsidRDefault="00AF7AF3" w:rsidP="006E264F">
          <w:pPr>
            <w:pStyle w:val="TOC1"/>
            <w:tabs>
              <w:tab w:val="right" w:leader="dot" w:pos="9350"/>
            </w:tabs>
            <w:spacing w:line="360" w:lineRule="auto"/>
            <w:jc w:val="both"/>
            <w:rPr>
              <w:rFonts w:ascii="Times New Roman" w:hAnsi="Times New Roman" w:cs="Times New Roman"/>
              <w:noProof/>
              <w:kern w:val="2"/>
              <w:sz w:val="24"/>
              <w:szCs w:val="24"/>
              <w:lang w:val="en-GB" w:eastAsia="zh-CN"/>
              <w14:ligatures w14:val="standardContextual"/>
            </w:rPr>
          </w:pPr>
          <w:r w:rsidRPr="006E264F">
            <w:rPr>
              <w:rFonts w:ascii="Times New Roman" w:hAnsi="Times New Roman" w:cs="Times New Roman"/>
              <w:sz w:val="24"/>
              <w:szCs w:val="24"/>
            </w:rPr>
            <w:fldChar w:fldCharType="begin"/>
          </w:r>
          <w:r w:rsidR="00BA3211" w:rsidRPr="006E264F">
            <w:rPr>
              <w:rFonts w:ascii="Times New Roman" w:hAnsi="Times New Roman" w:cs="Times New Roman"/>
              <w:sz w:val="24"/>
              <w:szCs w:val="24"/>
            </w:rPr>
            <w:instrText xml:space="preserve"> TOC \o "1-3" \h \z \u </w:instrText>
          </w:r>
          <w:r w:rsidRPr="006E264F">
            <w:rPr>
              <w:rFonts w:ascii="Times New Roman" w:hAnsi="Times New Roman" w:cs="Times New Roman"/>
              <w:sz w:val="24"/>
              <w:szCs w:val="24"/>
            </w:rPr>
            <w:fldChar w:fldCharType="separate"/>
          </w:r>
          <w:hyperlink w:anchor="_Toc150029496" w:history="1">
            <w:r w:rsidR="006E264F" w:rsidRPr="006E264F">
              <w:rPr>
                <w:rStyle w:val="Hyperlink"/>
                <w:rFonts w:ascii="Times New Roman" w:hAnsi="Times New Roman" w:cs="Times New Roman"/>
                <w:noProof/>
                <w:sz w:val="24"/>
                <w:szCs w:val="24"/>
              </w:rPr>
              <w:t>Executive Summary</w:t>
            </w:r>
            <w:r w:rsidR="006E264F" w:rsidRPr="006E264F">
              <w:rPr>
                <w:rFonts w:ascii="Times New Roman" w:hAnsi="Times New Roman" w:cs="Times New Roman"/>
                <w:noProof/>
                <w:webHidden/>
                <w:sz w:val="24"/>
                <w:szCs w:val="24"/>
              </w:rPr>
              <w:tab/>
            </w:r>
            <w:r w:rsidR="006E264F" w:rsidRPr="006E264F">
              <w:rPr>
                <w:rFonts w:ascii="Times New Roman" w:hAnsi="Times New Roman" w:cs="Times New Roman"/>
                <w:noProof/>
                <w:webHidden/>
                <w:sz w:val="24"/>
                <w:szCs w:val="24"/>
              </w:rPr>
              <w:fldChar w:fldCharType="begin"/>
            </w:r>
            <w:r w:rsidR="006E264F" w:rsidRPr="006E264F">
              <w:rPr>
                <w:rFonts w:ascii="Times New Roman" w:hAnsi="Times New Roman" w:cs="Times New Roman"/>
                <w:noProof/>
                <w:webHidden/>
                <w:sz w:val="24"/>
                <w:szCs w:val="24"/>
              </w:rPr>
              <w:instrText xml:space="preserve"> PAGEREF _Toc150029496 \h </w:instrText>
            </w:r>
            <w:r w:rsidR="006E264F" w:rsidRPr="006E264F">
              <w:rPr>
                <w:rFonts w:ascii="Times New Roman" w:hAnsi="Times New Roman" w:cs="Times New Roman"/>
                <w:noProof/>
                <w:webHidden/>
                <w:sz w:val="24"/>
                <w:szCs w:val="24"/>
              </w:rPr>
            </w:r>
            <w:r w:rsidR="006E264F" w:rsidRPr="006E264F">
              <w:rPr>
                <w:rFonts w:ascii="Times New Roman" w:hAnsi="Times New Roman" w:cs="Times New Roman"/>
                <w:noProof/>
                <w:webHidden/>
                <w:sz w:val="24"/>
                <w:szCs w:val="24"/>
              </w:rPr>
              <w:fldChar w:fldCharType="separate"/>
            </w:r>
            <w:r w:rsidR="006E264F" w:rsidRPr="006E264F">
              <w:rPr>
                <w:rFonts w:ascii="Times New Roman" w:hAnsi="Times New Roman" w:cs="Times New Roman"/>
                <w:noProof/>
                <w:webHidden/>
                <w:sz w:val="24"/>
                <w:szCs w:val="24"/>
              </w:rPr>
              <w:t>2</w:t>
            </w:r>
            <w:r w:rsidR="006E264F" w:rsidRPr="006E264F">
              <w:rPr>
                <w:rFonts w:ascii="Times New Roman" w:hAnsi="Times New Roman" w:cs="Times New Roman"/>
                <w:noProof/>
                <w:webHidden/>
                <w:sz w:val="24"/>
                <w:szCs w:val="24"/>
              </w:rPr>
              <w:fldChar w:fldCharType="end"/>
            </w:r>
          </w:hyperlink>
        </w:p>
        <w:p w14:paraId="2473868D" w14:textId="6DD5008B" w:rsidR="006E264F" w:rsidRPr="006E264F" w:rsidRDefault="00000000" w:rsidP="006E264F">
          <w:pPr>
            <w:pStyle w:val="TOC1"/>
            <w:tabs>
              <w:tab w:val="right" w:leader="dot" w:pos="9350"/>
            </w:tabs>
            <w:spacing w:line="360" w:lineRule="auto"/>
            <w:jc w:val="both"/>
            <w:rPr>
              <w:rFonts w:ascii="Times New Roman" w:hAnsi="Times New Roman" w:cs="Times New Roman"/>
              <w:noProof/>
              <w:kern w:val="2"/>
              <w:sz w:val="24"/>
              <w:szCs w:val="24"/>
              <w:lang w:val="en-GB" w:eastAsia="zh-CN"/>
              <w14:ligatures w14:val="standardContextual"/>
            </w:rPr>
          </w:pPr>
          <w:hyperlink w:anchor="_Toc150029497" w:history="1">
            <w:r w:rsidR="006E264F" w:rsidRPr="006E264F">
              <w:rPr>
                <w:rStyle w:val="Hyperlink"/>
                <w:rFonts w:ascii="Times New Roman" w:hAnsi="Times New Roman" w:cs="Times New Roman"/>
                <w:noProof/>
                <w:sz w:val="24"/>
                <w:szCs w:val="24"/>
              </w:rPr>
              <w:t>1. Introduction</w:t>
            </w:r>
            <w:r w:rsidR="006E264F" w:rsidRPr="006E264F">
              <w:rPr>
                <w:rFonts w:ascii="Times New Roman" w:hAnsi="Times New Roman" w:cs="Times New Roman"/>
                <w:noProof/>
                <w:webHidden/>
                <w:sz w:val="24"/>
                <w:szCs w:val="24"/>
              </w:rPr>
              <w:tab/>
            </w:r>
            <w:r w:rsidR="006E264F" w:rsidRPr="006E264F">
              <w:rPr>
                <w:rFonts w:ascii="Times New Roman" w:hAnsi="Times New Roman" w:cs="Times New Roman"/>
                <w:noProof/>
                <w:webHidden/>
                <w:sz w:val="24"/>
                <w:szCs w:val="24"/>
              </w:rPr>
              <w:fldChar w:fldCharType="begin"/>
            </w:r>
            <w:r w:rsidR="006E264F" w:rsidRPr="006E264F">
              <w:rPr>
                <w:rFonts w:ascii="Times New Roman" w:hAnsi="Times New Roman" w:cs="Times New Roman"/>
                <w:noProof/>
                <w:webHidden/>
                <w:sz w:val="24"/>
                <w:szCs w:val="24"/>
              </w:rPr>
              <w:instrText xml:space="preserve"> PAGEREF _Toc150029497 \h </w:instrText>
            </w:r>
            <w:r w:rsidR="006E264F" w:rsidRPr="006E264F">
              <w:rPr>
                <w:rFonts w:ascii="Times New Roman" w:hAnsi="Times New Roman" w:cs="Times New Roman"/>
                <w:noProof/>
                <w:webHidden/>
                <w:sz w:val="24"/>
                <w:szCs w:val="24"/>
              </w:rPr>
            </w:r>
            <w:r w:rsidR="006E264F" w:rsidRPr="006E264F">
              <w:rPr>
                <w:rFonts w:ascii="Times New Roman" w:hAnsi="Times New Roman" w:cs="Times New Roman"/>
                <w:noProof/>
                <w:webHidden/>
                <w:sz w:val="24"/>
                <w:szCs w:val="24"/>
              </w:rPr>
              <w:fldChar w:fldCharType="separate"/>
            </w:r>
            <w:r w:rsidR="006E264F" w:rsidRPr="006E264F">
              <w:rPr>
                <w:rFonts w:ascii="Times New Roman" w:hAnsi="Times New Roman" w:cs="Times New Roman"/>
                <w:noProof/>
                <w:webHidden/>
                <w:sz w:val="24"/>
                <w:szCs w:val="24"/>
              </w:rPr>
              <w:t>4</w:t>
            </w:r>
            <w:r w:rsidR="006E264F" w:rsidRPr="006E264F">
              <w:rPr>
                <w:rFonts w:ascii="Times New Roman" w:hAnsi="Times New Roman" w:cs="Times New Roman"/>
                <w:noProof/>
                <w:webHidden/>
                <w:sz w:val="24"/>
                <w:szCs w:val="24"/>
              </w:rPr>
              <w:fldChar w:fldCharType="end"/>
            </w:r>
          </w:hyperlink>
        </w:p>
        <w:p w14:paraId="7EFD9D85" w14:textId="1313066E" w:rsidR="006E264F" w:rsidRPr="006E264F" w:rsidRDefault="00000000" w:rsidP="006E264F">
          <w:pPr>
            <w:pStyle w:val="TOC1"/>
            <w:tabs>
              <w:tab w:val="right" w:leader="dot" w:pos="9350"/>
            </w:tabs>
            <w:spacing w:line="360" w:lineRule="auto"/>
            <w:jc w:val="both"/>
            <w:rPr>
              <w:rFonts w:ascii="Times New Roman" w:hAnsi="Times New Roman" w:cs="Times New Roman"/>
              <w:noProof/>
              <w:kern w:val="2"/>
              <w:sz w:val="24"/>
              <w:szCs w:val="24"/>
              <w:lang w:val="en-GB" w:eastAsia="zh-CN"/>
              <w14:ligatures w14:val="standardContextual"/>
            </w:rPr>
          </w:pPr>
          <w:hyperlink w:anchor="_Toc150029498" w:history="1">
            <w:r w:rsidR="006E264F" w:rsidRPr="006E264F">
              <w:rPr>
                <w:rStyle w:val="Hyperlink"/>
                <w:rFonts w:ascii="Times New Roman" w:hAnsi="Times New Roman" w:cs="Times New Roman"/>
                <w:noProof/>
                <w:sz w:val="24"/>
                <w:szCs w:val="24"/>
              </w:rPr>
              <w:t>2. Background Analysis</w:t>
            </w:r>
            <w:r w:rsidR="006E264F" w:rsidRPr="006E264F">
              <w:rPr>
                <w:rFonts w:ascii="Times New Roman" w:hAnsi="Times New Roman" w:cs="Times New Roman"/>
                <w:noProof/>
                <w:webHidden/>
                <w:sz w:val="24"/>
                <w:szCs w:val="24"/>
              </w:rPr>
              <w:tab/>
            </w:r>
            <w:r w:rsidR="006E264F" w:rsidRPr="006E264F">
              <w:rPr>
                <w:rFonts w:ascii="Times New Roman" w:hAnsi="Times New Roman" w:cs="Times New Roman"/>
                <w:noProof/>
                <w:webHidden/>
                <w:sz w:val="24"/>
                <w:szCs w:val="24"/>
              </w:rPr>
              <w:fldChar w:fldCharType="begin"/>
            </w:r>
            <w:r w:rsidR="006E264F" w:rsidRPr="006E264F">
              <w:rPr>
                <w:rFonts w:ascii="Times New Roman" w:hAnsi="Times New Roman" w:cs="Times New Roman"/>
                <w:noProof/>
                <w:webHidden/>
                <w:sz w:val="24"/>
                <w:szCs w:val="24"/>
              </w:rPr>
              <w:instrText xml:space="preserve"> PAGEREF _Toc150029498 \h </w:instrText>
            </w:r>
            <w:r w:rsidR="006E264F" w:rsidRPr="006E264F">
              <w:rPr>
                <w:rFonts w:ascii="Times New Roman" w:hAnsi="Times New Roman" w:cs="Times New Roman"/>
                <w:noProof/>
                <w:webHidden/>
                <w:sz w:val="24"/>
                <w:szCs w:val="24"/>
              </w:rPr>
            </w:r>
            <w:r w:rsidR="006E264F" w:rsidRPr="006E264F">
              <w:rPr>
                <w:rFonts w:ascii="Times New Roman" w:hAnsi="Times New Roman" w:cs="Times New Roman"/>
                <w:noProof/>
                <w:webHidden/>
                <w:sz w:val="24"/>
                <w:szCs w:val="24"/>
              </w:rPr>
              <w:fldChar w:fldCharType="separate"/>
            </w:r>
            <w:r w:rsidR="006E264F" w:rsidRPr="006E264F">
              <w:rPr>
                <w:rFonts w:ascii="Times New Roman" w:hAnsi="Times New Roman" w:cs="Times New Roman"/>
                <w:noProof/>
                <w:webHidden/>
                <w:sz w:val="24"/>
                <w:szCs w:val="24"/>
              </w:rPr>
              <w:t>4</w:t>
            </w:r>
            <w:r w:rsidR="006E264F" w:rsidRPr="006E264F">
              <w:rPr>
                <w:rFonts w:ascii="Times New Roman" w:hAnsi="Times New Roman" w:cs="Times New Roman"/>
                <w:noProof/>
                <w:webHidden/>
                <w:sz w:val="24"/>
                <w:szCs w:val="24"/>
              </w:rPr>
              <w:fldChar w:fldCharType="end"/>
            </w:r>
          </w:hyperlink>
        </w:p>
        <w:p w14:paraId="6290F066" w14:textId="5066DF92" w:rsidR="006E264F" w:rsidRPr="006E264F" w:rsidRDefault="00000000" w:rsidP="006E264F">
          <w:pPr>
            <w:pStyle w:val="TOC1"/>
            <w:tabs>
              <w:tab w:val="right" w:leader="dot" w:pos="9350"/>
            </w:tabs>
            <w:spacing w:line="360" w:lineRule="auto"/>
            <w:jc w:val="both"/>
            <w:rPr>
              <w:rFonts w:ascii="Times New Roman" w:hAnsi="Times New Roman" w:cs="Times New Roman"/>
              <w:noProof/>
              <w:kern w:val="2"/>
              <w:sz w:val="24"/>
              <w:szCs w:val="24"/>
              <w:lang w:val="en-GB" w:eastAsia="zh-CN"/>
              <w14:ligatures w14:val="standardContextual"/>
            </w:rPr>
          </w:pPr>
          <w:hyperlink w:anchor="_Toc150029499" w:history="1">
            <w:r w:rsidR="006E264F" w:rsidRPr="006E264F">
              <w:rPr>
                <w:rStyle w:val="Hyperlink"/>
                <w:rFonts w:ascii="Times New Roman" w:hAnsi="Times New Roman" w:cs="Times New Roman"/>
                <w:noProof/>
                <w:sz w:val="24"/>
                <w:szCs w:val="24"/>
              </w:rPr>
              <w:t>3. Internationalisation strategies</w:t>
            </w:r>
            <w:r w:rsidR="006E264F" w:rsidRPr="006E264F">
              <w:rPr>
                <w:rFonts w:ascii="Times New Roman" w:hAnsi="Times New Roman" w:cs="Times New Roman"/>
                <w:noProof/>
                <w:webHidden/>
                <w:sz w:val="24"/>
                <w:szCs w:val="24"/>
              </w:rPr>
              <w:tab/>
            </w:r>
            <w:r w:rsidR="006E264F" w:rsidRPr="006E264F">
              <w:rPr>
                <w:rFonts w:ascii="Times New Roman" w:hAnsi="Times New Roman" w:cs="Times New Roman"/>
                <w:noProof/>
                <w:webHidden/>
                <w:sz w:val="24"/>
                <w:szCs w:val="24"/>
              </w:rPr>
              <w:fldChar w:fldCharType="begin"/>
            </w:r>
            <w:r w:rsidR="006E264F" w:rsidRPr="006E264F">
              <w:rPr>
                <w:rFonts w:ascii="Times New Roman" w:hAnsi="Times New Roman" w:cs="Times New Roman"/>
                <w:noProof/>
                <w:webHidden/>
                <w:sz w:val="24"/>
                <w:szCs w:val="24"/>
              </w:rPr>
              <w:instrText xml:space="preserve"> PAGEREF _Toc150029499 \h </w:instrText>
            </w:r>
            <w:r w:rsidR="006E264F" w:rsidRPr="006E264F">
              <w:rPr>
                <w:rFonts w:ascii="Times New Roman" w:hAnsi="Times New Roman" w:cs="Times New Roman"/>
                <w:noProof/>
                <w:webHidden/>
                <w:sz w:val="24"/>
                <w:szCs w:val="24"/>
              </w:rPr>
            </w:r>
            <w:r w:rsidR="006E264F" w:rsidRPr="006E264F">
              <w:rPr>
                <w:rFonts w:ascii="Times New Roman" w:hAnsi="Times New Roman" w:cs="Times New Roman"/>
                <w:noProof/>
                <w:webHidden/>
                <w:sz w:val="24"/>
                <w:szCs w:val="24"/>
              </w:rPr>
              <w:fldChar w:fldCharType="separate"/>
            </w:r>
            <w:r w:rsidR="006E264F" w:rsidRPr="006E264F">
              <w:rPr>
                <w:rFonts w:ascii="Times New Roman" w:hAnsi="Times New Roman" w:cs="Times New Roman"/>
                <w:noProof/>
                <w:webHidden/>
                <w:sz w:val="24"/>
                <w:szCs w:val="24"/>
              </w:rPr>
              <w:t>6</w:t>
            </w:r>
            <w:r w:rsidR="006E264F" w:rsidRPr="006E264F">
              <w:rPr>
                <w:rFonts w:ascii="Times New Roman" w:hAnsi="Times New Roman" w:cs="Times New Roman"/>
                <w:noProof/>
                <w:webHidden/>
                <w:sz w:val="24"/>
                <w:szCs w:val="24"/>
              </w:rPr>
              <w:fldChar w:fldCharType="end"/>
            </w:r>
          </w:hyperlink>
        </w:p>
        <w:p w14:paraId="6D636746" w14:textId="63F16F3C" w:rsidR="006E264F" w:rsidRPr="006E264F" w:rsidRDefault="00000000" w:rsidP="006E264F">
          <w:pPr>
            <w:pStyle w:val="TOC1"/>
            <w:tabs>
              <w:tab w:val="right" w:leader="dot" w:pos="9350"/>
            </w:tabs>
            <w:spacing w:line="360" w:lineRule="auto"/>
            <w:jc w:val="both"/>
            <w:rPr>
              <w:rFonts w:ascii="Times New Roman" w:hAnsi="Times New Roman" w:cs="Times New Roman"/>
              <w:noProof/>
              <w:kern w:val="2"/>
              <w:sz w:val="24"/>
              <w:szCs w:val="24"/>
              <w:lang w:val="en-GB" w:eastAsia="zh-CN"/>
              <w14:ligatures w14:val="standardContextual"/>
            </w:rPr>
          </w:pPr>
          <w:hyperlink w:anchor="_Toc150029500" w:history="1">
            <w:r w:rsidR="006E264F" w:rsidRPr="006E264F">
              <w:rPr>
                <w:rStyle w:val="Hyperlink"/>
                <w:rFonts w:ascii="Times New Roman" w:hAnsi="Times New Roman" w:cs="Times New Roman"/>
                <w:noProof/>
                <w:sz w:val="24"/>
                <w:szCs w:val="24"/>
              </w:rPr>
              <w:t>4. Toyota's internationalisation approach</w:t>
            </w:r>
            <w:r w:rsidR="006E264F" w:rsidRPr="006E264F">
              <w:rPr>
                <w:rFonts w:ascii="Times New Roman" w:hAnsi="Times New Roman" w:cs="Times New Roman"/>
                <w:noProof/>
                <w:webHidden/>
                <w:sz w:val="24"/>
                <w:szCs w:val="24"/>
              </w:rPr>
              <w:tab/>
            </w:r>
            <w:r w:rsidR="006E264F" w:rsidRPr="006E264F">
              <w:rPr>
                <w:rFonts w:ascii="Times New Roman" w:hAnsi="Times New Roman" w:cs="Times New Roman"/>
                <w:noProof/>
                <w:webHidden/>
                <w:sz w:val="24"/>
                <w:szCs w:val="24"/>
              </w:rPr>
              <w:fldChar w:fldCharType="begin"/>
            </w:r>
            <w:r w:rsidR="006E264F" w:rsidRPr="006E264F">
              <w:rPr>
                <w:rFonts w:ascii="Times New Roman" w:hAnsi="Times New Roman" w:cs="Times New Roman"/>
                <w:noProof/>
                <w:webHidden/>
                <w:sz w:val="24"/>
                <w:szCs w:val="24"/>
              </w:rPr>
              <w:instrText xml:space="preserve"> PAGEREF _Toc150029500 \h </w:instrText>
            </w:r>
            <w:r w:rsidR="006E264F" w:rsidRPr="006E264F">
              <w:rPr>
                <w:rFonts w:ascii="Times New Roman" w:hAnsi="Times New Roman" w:cs="Times New Roman"/>
                <w:noProof/>
                <w:webHidden/>
                <w:sz w:val="24"/>
                <w:szCs w:val="24"/>
              </w:rPr>
            </w:r>
            <w:r w:rsidR="006E264F" w:rsidRPr="006E264F">
              <w:rPr>
                <w:rFonts w:ascii="Times New Roman" w:hAnsi="Times New Roman" w:cs="Times New Roman"/>
                <w:noProof/>
                <w:webHidden/>
                <w:sz w:val="24"/>
                <w:szCs w:val="24"/>
              </w:rPr>
              <w:fldChar w:fldCharType="separate"/>
            </w:r>
            <w:r w:rsidR="006E264F" w:rsidRPr="006E264F">
              <w:rPr>
                <w:rFonts w:ascii="Times New Roman" w:hAnsi="Times New Roman" w:cs="Times New Roman"/>
                <w:noProof/>
                <w:webHidden/>
                <w:sz w:val="24"/>
                <w:szCs w:val="24"/>
              </w:rPr>
              <w:t>9</w:t>
            </w:r>
            <w:r w:rsidR="006E264F" w:rsidRPr="006E264F">
              <w:rPr>
                <w:rFonts w:ascii="Times New Roman" w:hAnsi="Times New Roman" w:cs="Times New Roman"/>
                <w:noProof/>
                <w:webHidden/>
                <w:sz w:val="24"/>
                <w:szCs w:val="24"/>
              </w:rPr>
              <w:fldChar w:fldCharType="end"/>
            </w:r>
          </w:hyperlink>
        </w:p>
        <w:p w14:paraId="197DC9B0" w14:textId="5E4D7757" w:rsidR="006E264F" w:rsidRPr="006E264F" w:rsidRDefault="00000000" w:rsidP="006E264F">
          <w:pPr>
            <w:pStyle w:val="TOC1"/>
            <w:tabs>
              <w:tab w:val="right" w:leader="dot" w:pos="9350"/>
            </w:tabs>
            <w:spacing w:line="360" w:lineRule="auto"/>
            <w:jc w:val="both"/>
            <w:rPr>
              <w:rFonts w:ascii="Times New Roman" w:hAnsi="Times New Roman" w:cs="Times New Roman"/>
              <w:noProof/>
              <w:kern w:val="2"/>
              <w:sz w:val="24"/>
              <w:szCs w:val="24"/>
              <w:lang w:val="en-GB" w:eastAsia="zh-CN"/>
              <w14:ligatures w14:val="standardContextual"/>
            </w:rPr>
          </w:pPr>
          <w:hyperlink w:anchor="_Toc150029501" w:history="1">
            <w:r w:rsidR="006E264F" w:rsidRPr="006E264F">
              <w:rPr>
                <w:rStyle w:val="Hyperlink"/>
                <w:rFonts w:ascii="Times New Roman" w:hAnsi="Times New Roman" w:cs="Times New Roman"/>
                <w:noProof/>
                <w:sz w:val="24"/>
                <w:szCs w:val="24"/>
              </w:rPr>
              <w:t>5. PESTLE Analysis of Toyota</w:t>
            </w:r>
            <w:r w:rsidR="006E264F" w:rsidRPr="006E264F">
              <w:rPr>
                <w:rFonts w:ascii="Times New Roman" w:hAnsi="Times New Roman" w:cs="Times New Roman"/>
                <w:noProof/>
                <w:webHidden/>
                <w:sz w:val="24"/>
                <w:szCs w:val="24"/>
              </w:rPr>
              <w:tab/>
            </w:r>
            <w:r w:rsidR="006E264F" w:rsidRPr="006E264F">
              <w:rPr>
                <w:rFonts w:ascii="Times New Roman" w:hAnsi="Times New Roman" w:cs="Times New Roman"/>
                <w:noProof/>
                <w:webHidden/>
                <w:sz w:val="24"/>
                <w:szCs w:val="24"/>
              </w:rPr>
              <w:fldChar w:fldCharType="begin"/>
            </w:r>
            <w:r w:rsidR="006E264F" w:rsidRPr="006E264F">
              <w:rPr>
                <w:rFonts w:ascii="Times New Roman" w:hAnsi="Times New Roman" w:cs="Times New Roman"/>
                <w:noProof/>
                <w:webHidden/>
                <w:sz w:val="24"/>
                <w:szCs w:val="24"/>
              </w:rPr>
              <w:instrText xml:space="preserve"> PAGEREF _Toc150029501 \h </w:instrText>
            </w:r>
            <w:r w:rsidR="006E264F" w:rsidRPr="006E264F">
              <w:rPr>
                <w:rFonts w:ascii="Times New Roman" w:hAnsi="Times New Roman" w:cs="Times New Roman"/>
                <w:noProof/>
                <w:webHidden/>
                <w:sz w:val="24"/>
                <w:szCs w:val="24"/>
              </w:rPr>
            </w:r>
            <w:r w:rsidR="006E264F" w:rsidRPr="006E264F">
              <w:rPr>
                <w:rFonts w:ascii="Times New Roman" w:hAnsi="Times New Roman" w:cs="Times New Roman"/>
                <w:noProof/>
                <w:webHidden/>
                <w:sz w:val="24"/>
                <w:szCs w:val="24"/>
              </w:rPr>
              <w:fldChar w:fldCharType="separate"/>
            </w:r>
            <w:r w:rsidR="006E264F" w:rsidRPr="006E264F">
              <w:rPr>
                <w:rFonts w:ascii="Times New Roman" w:hAnsi="Times New Roman" w:cs="Times New Roman"/>
                <w:noProof/>
                <w:webHidden/>
                <w:sz w:val="24"/>
                <w:szCs w:val="24"/>
              </w:rPr>
              <w:t>11</w:t>
            </w:r>
            <w:r w:rsidR="006E264F" w:rsidRPr="006E264F">
              <w:rPr>
                <w:rFonts w:ascii="Times New Roman" w:hAnsi="Times New Roman" w:cs="Times New Roman"/>
                <w:noProof/>
                <w:webHidden/>
                <w:sz w:val="24"/>
                <w:szCs w:val="24"/>
              </w:rPr>
              <w:fldChar w:fldCharType="end"/>
            </w:r>
          </w:hyperlink>
        </w:p>
        <w:p w14:paraId="09AF3617" w14:textId="30CD2292" w:rsidR="006E264F" w:rsidRPr="006E264F" w:rsidRDefault="00000000" w:rsidP="006E264F">
          <w:pPr>
            <w:pStyle w:val="TOC1"/>
            <w:tabs>
              <w:tab w:val="right" w:leader="dot" w:pos="9350"/>
            </w:tabs>
            <w:spacing w:line="360" w:lineRule="auto"/>
            <w:jc w:val="both"/>
            <w:rPr>
              <w:rFonts w:ascii="Times New Roman" w:hAnsi="Times New Roman" w:cs="Times New Roman"/>
              <w:noProof/>
              <w:kern w:val="2"/>
              <w:sz w:val="24"/>
              <w:szCs w:val="24"/>
              <w:lang w:val="en-GB" w:eastAsia="zh-CN"/>
              <w14:ligatures w14:val="standardContextual"/>
            </w:rPr>
          </w:pPr>
          <w:hyperlink w:anchor="_Toc150029502" w:history="1">
            <w:r w:rsidR="006E264F" w:rsidRPr="006E264F">
              <w:rPr>
                <w:rStyle w:val="Hyperlink"/>
                <w:rFonts w:ascii="Times New Roman" w:hAnsi="Times New Roman" w:cs="Times New Roman"/>
                <w:noProof/>
                <w:sz w:val="24"/>
                <w:szCs w:val="24"/>
              </w:rPr>
              <w:t xml:space="preserve">6. Integration of contextual factors and </w:t>
            </w:r>
            <w:r w:rsidR="00256D8C">
              <w:rPr>
                <w:rStyle w:val="Hyperlink"/>
                <w:rFonts w:ascii="Times New Roman" w:hAnsi="Times New Roman" w:cs="Times New Roman"/>
                <w:noProof/>
                <w:sz w:val="24"/>
                <w:szCs w:val="24"/>
              </w:rPr>
              <w:t>internationalization</w:t>
            </w:r>
            <w:r w:rsidR="006E264F" w:rsidRPr="006E264F">
              <w:rPr>
                <w:rStyle w:val="Hyperlink"/>
                <w:rFonts w:ascii="Times New Roman" w:hAnsi="Times New Roman" w:cs="Times New Roman"/>
                <w:noProof/>
                <w:sz w:val="24"/>
                <w:szCs w:val="24"/>
              </w:rPr>
              <w:t xml:space="preserve"> strategy</w:t>
            </w:r>
            <w:r w:rsidR="006E264F" w:rsidRPr="006E264F">
              <w:rPr>
                <w:rFonts w:ascii="Times New Roman" w:hAnsi="Times New Roman" w:cs="Times New Roman"/>
                <w:noProof/>
                <w:webHidden/>
                <w:sz w:val="24"/>
                <w:szCs w:val="24"/>
              </w:rPr>
              <w:tab/>
            </w:r>
            <w:r w:rsidR="006E264F" w:rsidRPr="006E264F">
              <w:rPr>
                <w:rFonts w:ascii="Times New Roman" w:hAnsi="Times New Roman" w:cs="Times New Roman"/>
                <w:noProof/>
                <w:webHidden/>
                <w:sz w:val="24"/>
                <w:szCs w:val="24"/>
              </w:rPr>
              <w:fldChar w:fldCharType="begin"/>
            </w:r>
            <w:r w:rsidR="006E264F" w:rsidRPr="006E264F">
              <w:rPr>
                <w:rFonts w:ascii="Times New Roman" w:hAnsi="Times New Roman" w:cs="Times New Roman"/>
                <w:noProof/>
                <w:webHidden/>
                <w:sz w:val="24"/>
                <w:szCs w:val="24"/>
              </w:rPr>
              <w:instrText xml:space="preserve"> PAGEREF _Toc150029502 \h </w:instrText>
            </w:r>
            <w:r w:rsidR="006E264F" w:rsidRPr="006E264F">
              <w:rPr>
                <w:rFonts w:ascii="Times New Roman" w:hAnsi="Times New Roman" w:cs="Times New Roman"/>
                <w:noProof/>
                <w:webHidden/>
                <w:sz w:val="24"/>
                <w:szCs w:val="24"/>
              </w:rPr>
            </w:r>
            <w:r w:rsidR="006E264F" w:rsidRPr="006E264F">
              <w:rPr>
                <w:rFonts w:ascii="Times New Roman" w:hAnsi="Times New Roman" w:cs="Times New Roman"/>
                <w:noProof/>
                <w:webHidden/>
                <w:sz w:val="24"/>
                <w:szCs w:val="24"/>
              </w:rPr>
              <w:fldChar w:fldCharType="separate"/>
            </w:r>
            <w:r w:rsidR="006E264F" w:rsidRPr="006E264F">
              <w:rPr>
                <w:rFonts w:ascii="Times New Roman" w:hAnsi="Times New Roman" w:cs="Times New Roman"/>
                <w:noProof/>
                <w:webHidden/>
                <w:sz w:val="24"/>
                <w:szCs w:val="24"/>
              </w:rPr>
              <w:t>14</w:t>
            </w:r>
            <w:r w:rsidR="006E264F" w:rsidRPr="006E264F">
              <w:rPr>
                <w:rFonts w:ascii="Times New Roman" w:hAnsi="Times New Roman" w:cs="Times New Roman"/>
                <w:noProof/>
                <w:webHidden/>
                <w:sz w:val="24"/>
                <w:szCs w:val="24"/>
              </w:rPr>
              <w:fldChar w:fldCharType="end"/>
            </w:r>
          </w:hyperlink>
        </w:p>
        <w:p w14:paraId="21BAB8F8" w14:textId="3CD5D389" w:rsidR="006E264F" w:rsidRPr="006E264F" w:rsidRDefault="00000000" w:rsidP="006E264F">
          <w:pPr>
            <w:pStyle w:val="TOC1"/>
            <w:tabs>
              <w:tab w:val="right" w:leader="dot" w:pos="9350"/>
            </w:tabs>
            <w:spacing w:line="360" w:lineRule="auto"/>
            <w:jc w:val="both"/>
            <w:rPr>
              <w:rFonts w:ascii="Times New Roman" w:hAnsi="Times New Roman" w:cs="Times New Roman"/>
              <w:noProof/>
              <w:kern w:val="2"/>
              <w:sz w:val="24"/>
              <w:szCs w:val="24"/>
              <w:lang w:val="en-GB" w:eastAsia="zh-CN"/>
              <w14:ligatures w14:val="standardContextual"/>
            </w:rPr>
          </w:pPr>
          <w:hyperlink w:anchor="_Toc150029503" w:history="1">
            <w:r w:rsidR="006E264F" w:rsidRPr="006E264F">
              <w:rPr>
                <w:rStyle w:val="Hyperlink"/>
                <w:rFonts w:ascii="Times New Roman" w:hAnsi="Times New Roman" w:cs="Times New Roman"/>
                <w:noProof/>
                <w:sz w:val="24"/>
                <w:szCs w:val="24"/>
              </w:rPr>
              <w:t>7. Recommendations for the company</w:t>
            </w:r>
            <w:r w:rsidR="006E264F" w:rsidRPr="006E264F">
              <w:rPr>
                <w:rFonts w:ascii="Times New Roman" w:hAnsi="Times New Roman" w:cs="Times New Roman"/>
                <w:noProof/>
                <w:webHidden/>
                <w:sz w:val="24"/>
                <w:szCs w:val="24"/>
              </w:rPr>
              <w:tab/>
            </w:r>
            <w:r w:rsidR="006E264F" w:rsidRPr="006E264F">
              <w:rPr>
                <w:rFonts w:ascii="Times New Roman" w:hAnsi="Times New Roman" w:cs="Times New Roman"/>
                <w:noProof/>
                <w:webHidden/>
                <w:sz w:val="24"/>
                <w:szCs w:val="24"/>
              </w:rPr>
              <w:fldChar w:fldCharType="begin"/>
            </w:r>
            <w:r w:rsidR="006E264F" w:rsidRPr="006E264F">
              <w:rPr>
                <w:rFonts w:ascii="Times New Roman" w:hAnsi="Times New Roman" w:cs="Times New Roman"/>
                <w:noProof/>
                <w:webHidden/>
                <w:sz w:val="24"/>
                <w:szCs w:val="24"/>
              </w:rPr>
              <w:instrText xml:space="preserve"> PAGEREF _Toc150029503 \h </w:instrText>
            </w:r>
            <w:r w:rsidR="006E264F" w:rsidRPr="006E264F">
              <w:rPr>
                <w:rFonts w:ascii="Times New Roman" w:hAnsi="Times New Roman" w:cs="Times New Roman"/>
                <w:noProof/>
                <w:webHidden/>
                <w:sz w:val="24"/>
                <w:szCs w:val="24"/>
              </w:rPr>
            </w:r>
            <w:r w:rsidR="006E264F" w:rsidRPr="006E264F">
              <w:rPr>
                <w:rFonts w:ascii="Times New Roman" w:hAnsi="Times New Roman" w:cs="Times New Roman"/>
                <w:noProof/>
                <w:webHidden/>
                <w:sz w:val="24"/>
                <w:szCs w:val="24"/>
              </w:rPr>
              <w:fldChar w:fldCharType="separate"/>
            </w:r>
            <w:r w:rsidR="006E264F" w:rsidRPr="006E264F">
              <w:rPr>
                <w:rFonts w:ascii="Times New Roman" w:hAnsi="Times New Roman" w:cs="Times New Roman"/>
                <w:noProof/>
                <w:webHidden/>
                <w:sz w:val="24"/>
                <w:szCs w:val="24"/>
              </w:rPr>
              <w:t>17</w:t>
            </w:r>
            <w:r w:rsidR="006E264F" w:rsidRPr="006E264F">
              <w:rPr>
                <w:rFonts w:ascii="Times New Roman" w:hAnsi="Times New Roman" w:cs="Times New Roman"/>
                <w:noProof/>
                <w:webHidden/>
                <w:sz w:val="24"/>
                <w:szCs w:val="24"/>
              </w:rPr>
              <w:fldChar w:fldCharType="end"/>
            </w:r>
          </w:hyperlink>
        </w:p>
        <w:p w14:paraId="1356C6CE" w14:textId="482C2690" w:rsidR="006E264F" w:rsidRPr="006E264F" w:rsidRDefault="00000000" w:rsidP="006E264F">
          <w:pPr>
            <w:pStyle w:val="TOC1"/>
            <w:tabs>
              <w:tab w:val="right" w:leader="dot" w:pos="9350"/>
            </w:tabs>
            <w:spacing w:line="360" w:lineRule="auto"/>
            <w:jc w:val="both"/>
            <w:rPr>
              <w:rFonts w:ascii="Times New Roman" w:hAnsi="Times New Roman" w:cs="Times New Roman"/>
              <w:noProof/>
              <w:kern w:val="2"/>
              <w:sz w:val="24"/>
              <w:szCs w:val="24"/>
              <w:lang w:val="en-GB" w:eastAsia="zh-CN"/>
              <w14:ligatures w14:val="standardContextual"/>
            </w:rPr>
          </w:pPr>
          <w:hyperlink w:anchor="_Toc150029504" w:history="1">
            <w:r w:rsidR="006E264F" w:rsidRPr="006E264F">
              <w:rPr>
                <w:rStyle w:val="Hyperlink"/>
                <w:rFonts w:ascii="Times New Roman" w:hAnsi="Times New Roman" w:cs="Times New Roman"/>
                <w:noProof/>
                <w:sz w:val="24"/>
                <w:szCs w:val="24"/>
              </w:rPr>
              <w:t>8. Conclusion</w:t>
            </w:r>
            <w:r w:rsidR="006E264F" w:rsidRPr="006E264F">
              <w:rPr>
                <w:rFonts w:ascii="Times New Roman" w:hAnsi="Times New Roman" w:cs="Times New Roman"/>
                <w:noProof/>
                <w:webHidden/>
                <w:sz w:val="24"/>
                <w:szCs w:val="24"/>
              </w:rPr>
              <w:tab/>
            </w:r>
            <w:r w:rsidR="006E264F" w:rsidRPr="006E264F">
              <w:rPr>
                <w:rFonts w:ascii="Times New Roman" w:hAnsi="Times New Roman" w:cs="Times New Roman"/>
                <w:noProof/>
                <w:webHidden/>
                <w:sz w:val="24"/>
                <w:szCs w:val="24"/>
              </w:rPr>
              <w:fldChar w:fldCharType="begin"/>
            </w:r>
            <w:r w:rsidR="006E264F" w:rsidRPr="006E264F">
              <w:rPr>
                <w:rFonts w:ascii="Times New Roman" w:hAnsi="Times New Roman" w:cs="Times New Roman"/>
                <w:noProof/>
                <w:webHidden/>
                <w:sz w:val="24"/>
                <w:szCs w:val="24"/>
              </w:rPr>
              <w:instrText xml:space="preserve"> PAGEREF _Toc150029504 \h </w:instrText>
            </w:r>
            <w:r w:rsidR="006E264F" w:rsidRPr="006E264F">
              <w:rPr>
                <w:rFonts w:ascii="Times New Roman" w:hAnsi="Times New Roman" w:cs="Times New Roman"/>
                <w:noProof/>
                <w:webHidden/>
                <w:sz w:val="24"/>
                <w:szCs w:val="24"/>
              </w:rPr>
            </w:r>
            <w:r w:rsidR="006E264F" w:rsidRPr="006E264F">
              <w:rPr>
                <w:rFonts w:ascii="Times New Roman" w:hAnsi="Times New Roman" w:cs="Times New Roman"/>
                <w:noProof/>
                <w:webHidden/>
                <w:sz w:val="24"/>
                <w:szCs w:val="24"/>
              </w:rPr>
              <w:fldChar w:fldCharType="separate"/>
            </w:r>
            <w:r w:rsidR="006E264F" w:rsidRPr="006E264F">
              <w:rPr>
                <w:rFonts w:ascii="Times New Roman" w:hAnsi="Times New Roman" w:cs="Times New Roman"/>
                <w:noProof/>
                <w:webHidden/>
                <w:sz w:val="24"/>
                <w:szCs w:val="24"/>
              </w:rPr>
              <w:t>18</w:t>
            </w:r>
            <w:r w:rsidR="006E264F" w:rsidRPr="006E264F">
              <w:rPr>
                <w:rFonts w:ascii="Times New Roman" w:hAnsi="Times New Roman" w:cs="Times New Roman"/>
                <w:noProof/>
                <w:webHidden/>
                <w:sz w:val="24"/>
                <w:szCs w:val="24"/>
              </w:rPr>
              <w:fldChar w:fldCharType="end"/>
            </w:r>
          </w:hyperlink>
        </w:p>
        <w:p w14:paraId="031595F8" w14:textId="7ED506DD" w:rsidR="006E264F" w:rsidRPr="006E264F" w:rsidRDefault="00000000" w:rsidP="006E264F">
          <w:pPr>
            <w:pStyle w:val="TOC1"/>
            <w:tabs>
              <w:tab w:val="right" w:leader="dot" w:pos="9350"/>
            </w:tabs>
            <w:spacing w:line="360" w:lineRule="auto"/>
            <w:jc w:val="both"/>
            <w:rPr>
              <w:rFonts w:ascii="Times New Roman" w:hAnsi="Times New Roman" w:cs="Times New Roman"/>
              <w:noProof/>
              <w:kern w:val="2"/>
              <w:sz w:val="24"/>
              <w:szCs w:val="24"/>
              <w:lang w:val="en-GB" w:eastAsia="zh-CN"/>
              <w14:ligatures w14:val="standardContextual"/>
            </w:rPr>
          </w:pPr>
          <w:hyperlink w:anchor="_Toc150029505" w:history="1">
            <w:r w:rsidR="006E264F" w:rsidRPr="006E264F">
              <w:rPr>
                <w:rStyle w:val="Hyperlink"/>
                <w:rFonts w:ascii="Times New Roman" w:hAnsi="Times New Roman" w:cs="Times New Roman"/>
                <w:noProof/>
                <w:sz w:val="24"/>
                <w:szCs w:val="24"/>
                <w:shd w:val="clear" w:color="auto" w:fill="FFFFFF"/>
              </w:rPr>
              <w:t>References</w:t>
            </w:r>
            <w:r w:rsidR="006E264F" w:rsidRPr="006E264F">
              <w:rPr>
                <w:rFonts w:ascii="Times New Roman" w:hAnsi="Times New Roman" w:cs="Times New Roman"/>
                <w:noProof/>
                <w:webHidden/>
                <w:sz w:val="24"/>
                <w:szCs w:val="24"/>
              </w:rPr>
              <w:tab/>
            </w:r>
            <w:r w:rsidR="006E264F" w:rsidRPr="006E264F">
              <w:rPr>
                <w:rFonts w:ascii="Times New Roman" w:hAnsi="Times New Roman" w:cs="Times New Roman"/>
                <w:noProof/>
                <w:webHidden/>
                <w:sz w:val="24"/>
                <w:szCs w:val="24"/>
              </w:rPr>
              <w:fldChar w:fldCharType="begin"/>
            </w:r>
            <w:r w:rsidR="006E264F" w:rsidRPr="006E264F">
              <w:rPr>
                <w:rFonts w:ascii="Times New Roman" w:hAnsi="Times New Roman" w:cs="Times New Roman"/>
                <w:noProof/>
                <w:webHidden/>
                <w:sz w:val="24"/>
                <w:szCs w:val="24"/>
              </w:rPr>
              <w:instrText xml:space="preserve"> PAGEREF _Toc150029505 \h </w:instrText>
            </w:r>
            <w:r w:rsidR="006E264F" w:rsidRPr="006E264F">
              <w:rPr>
                <w:rFonts w:ascii="Times New Roman" w:hAnsi="Times New Roman" w:cs="Times New Roman"/>
                <w:noProof/>
                <w:webHidden/>
                <w:sz w:val="24"/>
                <w:szCs w:val="24"/>
              </w:rPr>
            </w:r>
            <w:r w:rsidR="006E264F" w:rsidRPr="006E264F">
              <w:rPr>
                <w:rFonts w:ascii="Times New Roman" w:hAnsi="Times New Roman" w:cs="Times New Roman"/>
                <w:noProof/>
                <w:webHidden/>
                <w:sz w:val="24"/>
                <w:szCs w:val="24"/>
              </w:rPr>
              <w:fldChar w:fldCharType="separate"/>
            </w:r>
            <w:r w:rsidR="006E264F" w:rsidRPr="006E264F">
              <w:rPr>
                <w:rFonts w:ascii="Times New Roman" w:hAnsi="Times New Roman" w:cs="Times New Roman"/>
                <w:noProof/>
                <w:webHidden/>
                <w:sz w:val="24"/>
                <w:szCs w:val="24"/>
              </w:rPr>
              <w:t>19</w:t>
            </w:r>
            <w:r w:rsidR="006E264F" w:rsidRPr="006E264F">
              <w:rPr>
                <w:rFonts w:ascii="Times New Roman" w:hAnsi="Times New Roman" w:cs="Times New Roman"/>
                <w:noProof/>
                <w:webHidden/>
                <w:sz w:val="24"/>
                <w:szCs w:val="24"/>
              </w:rPr>
              <w:fldChar w:fldCharType="end"/>
            </w:r>
          </w:hyperlink>
        </w:p>
        <w:p w14:paraId="6C7390D6" w14:textId="6E27095B" w:rsidR="00BA3211" w:rsidRPr="00AF7AF3" w:rsidRDefault="00AF7AF3" w:rsidP="006E264F">
          <w:pPr>
            <w:spacing w:line="360" w:lineRule="auto"/>
            <w:jc w:val="both"/>
            <w:rPr>
              <w:rFonts w:ascii="Times New Roman" w:hAnsi="Times New Roman" w:cs="Times New Roman"/>
              <w:sz w:val="24"/>
              <w:szCs w:val="24"/>
            </w:rPr>
          </w:pPr>
          <w:r w:rsidRPr="006E264F">
            <w:rPr>
              <w:rFonts w:ascii="Times New Roman" w:hAnsi="Times New Roman" w:cs="Times New Roman"/>
              <w:b/>
              <w:bCs/>
              <w:noProof/>
              <w:sz w:val="24"/>
              <w:szCs w:val="24"/>
            </w:rPr>
            <w:fldChar w:fldCharType="end"/>
          </w:r>
        </w:p>
      </w:sdtContent>
    </w:sdt>
    <w:p w14:paraId="28886219" w14:textId="77777777" w:rsidR="00BA3211" w:rsidRPr="00EA1DFF" w:rsidRDefault="00AF7AF3" w:rsidP="00EA1DFF">
      <w:pPr>
        <w:spacing w:line="360" w:lineRule="auto"/>
        <w:jc w:val="both"/>
        <w:rPr>
          <w:rFonts w:ascii="Times New Roman" w:eastAsia="Times New Roman" w:hAnsi="Times New Roman" w:cs="Times New Roman"/>
          <w:b/>
          <w:bCs/>
          <w:color w:val="000000"/>
          <w:sz w:val="24"/>
          <w:szCs w:val="24"/>
        </w:rPr>
      </w:pPr>
      <w:r w:rsidRPr="00EA1DFF">
        <w:rPr>
          <w:rFonts w:ascii="Times New Roman" w:hAnsi="Times New Roman" w:cs="Times New Roman"/>
          <w:sz w:val="24"/>
          <w:szCs w:val="24"/>
        </w:rPr>
        <w:br w:type="page"/>
      </w:r>
    </w:p>
    <w:p w14:paraId="13281268" w14:textId="547A0AC0" w:rsidR="00B300D6" w:rsidRPr="00D1674B" w:rsidRDefault="00F436D7" w:rsidP="004631B0">
      <w:pPr>
        <w:pStyle w:val="Heading1"/>
      </w:pPr>
      <w:bookmarkStart w:id="1" w:name="_Toc150029497"/>
      <w:r>
        <w:lastRenderedPageBreak/>
        <w:t xml:space="preserve">1. </w:t>
      </w:r>
      <w:r w:rsidR="00AF7AF3" w:rsidRPr="00D1674B">
        <w:t>Introduction</w:t>
      </w:r>
      <w:bookmarkEnd w:id="1"/>
    </w:p>
    <w:p w14:paraId="0356D18A" w14:textId="77777777" w:rsidR="00B300D6" w:rsidRPr="00D1674B" w:rsidRDefault="00AF7AF3" w:rsidP="00B300D6">
      <w:pPr>
        <w:spacing w:after="0" w:line="360" w:lineRule="auto"/>
        <w:jc w:val="both"/>
        <w:rPr>
          <w:rFonts w:ascii="Times New Roman" w:eastAsia="Times New Roman" w:hAnsi="Times New Roman" w:cs="Times New Roman"/>
          <w:sz w:val="24"/>
          <w:szCs w:val="24"/>
        </w:rPr>
      </w:pPr>
      <w:r w:rsidRPr="00D1674B">
        <w:rPr>
          <w:rFonts w:ascii="Times New Roman" w:eastAsia="Times New Roman" w:hAnsi="Times New Roman" w:cs="Times New Roman"/>
          <w:color w:val="000000"/>
          <w:sz w:val="24"/>
          <w:szCs w:val="24"/>
        </w:rPr>
        <w:t xml:space="preserve">The global ecosystems based on the internationalisation of business demonstrate the importance of managing business expansion across borders (Nambisan, Zahra, and Luo, 2019). The process of internationalisation generates opportunities for businesses to maintain a global presence. Focusing on the complexities of international markets, firms adapt strategies suitable to their international marketing process. Multinational organisations expand their market by assessing the impact of external environmental factors on business performance. Through exploring the opportunities within the global business landscape, organisations maintain adaptation towards specific internationalisation strategies. Toyota, the global automotive company, expands the market based on an adaptation of its internalisation strategy, which empowers its global reputation. </w:t>
      </w:r>
    </w:p>
    <w:p w14:paraId="34B13FA0" w14:textId="77777777" w:rsidR="00B300D6" w:rsidRPr="00B300D6" w:rsidRDefault="00AF7AF3" w:rsidP="00B300D6">
      <w:pPr>
        <w:spacing w:after="0" w:line="360" w:lineRule="auto"/>
        <w:jc w:val="both"/>
        <w:rPr>
          <w:rFonts w:ascii="Times New Roman" w:eastAsia="Times New Roman" w:hAnsi="Times New Roman" w:cs="Times New Roman"/>
          <w:sz w:val="24"/>
          <w:szCs w:val="24"/>
        </w:rPr>
      </w:pPr>
      <w:r w:rsidRPr="00D1674B">
        <w:rPr>
          <w:rFonts w:ascii="Times New Roman" w:eastAsia="Times New Roman" w:hAnsi="Times New Roman" w:cs="Times New Roman"/>
          <w:color w:val="000000"/>
          <w:sz w:val="24"/>
          <w:szCs w:val="24"/>
        </w:rPr>
        <w:t xml:space="preserve">The business report involves the internationalisation strategy evaluation of Toyota. The Japanese company's international strategy concerning China will be assessed. The business overview and internalisation journey of Toyota are discussed to identify the company's internationalisation strategy. The ethnocentric, polycentric, and geocentric approaches are evaluated to assess the adapted strategy of Toyota while ensuring internalisation and strategic decisions. PESTLE analysis reveals the impact of macro-environmental factors on the company's internationalisation process. It has also shown the impact of contextual factors in shaping the internationalisation strategy. Recommendations are suggested for Toyota's business performance improvement while managing global expansion. The recommendations will support the company in addressing the potential challenges.  </w:t>
      </w:r>
    </w:p>
    <w:p w14:paraId="0EE2A236" w14:textId="0BAF91F7" w:rsidR="00CE78D3" w:rsidRPr="00F90908" w:rsidRDefault="00F436D7" w:rsidP="004631B0">
      <w:pPr>
        <w:pStyle w:val="Heading1"/>
      </w:pPr>
      <w:bookmarkStart w:id="2" w:name="_Toc150029498"/>
      <w:r>
        <w:t>2</w:t>
      </w:r>
      <w:r w:rsidR="004631B0">
        <w:t xml:space="preserve">. </w:t>
      </w:r>
      <w:r w:rsidR="00AF7AF3" w:rsidRPr="00F90908">
        <w:t>Background Analysis</w:t>
      </w:r>
      <w:bookmarkEnd w:id="2"/>
    </w:p>
    <w:p w14:paraId="2775B73A" w14:textId="77777777" w:rsidR="00CE78D3" w:rsidRPr="00F90908" w:rsidRDefault="00AF7AF3" w:rsidP="00CE78D3">
      <w:pPr>
        <w:pStyle w:val="NormalWeb"/>
        <w:spacing w:before="0" w:beforeAutospacing="0" w:after="0" w:afterAutospacing="0" w:line="360" w:lineRule="auto"/>
        <w:jc w:val="both"/>
      </w:pPr>
      <w:r w:rsidRPr="00F90908">
        <w:rPr>
          <w:color w:val="000000"/>
        </w:rPr>
        <w:t xml:space="preserve">The Japanese automobile company Toyota operates globally to provide a wide range of services. The company's advanced and innovative vehicles improved the consumer base all over the world. Toyota is one of the largest global automobile manufacturers due to its excellence and innovation. Services of the company are available in around 170 countries. Toyota employs more than 370,000 people, which has established the company's global brand position (Toyota-Europe, 2023). The company has also developed 71 manufacturing centres globally (Toyota-Europe, 2023). Research and development activities of Toyota ensured electrification services. Toyota focused on providing products such as battery electric vehicles, electric batteries, fuel cell electric vehicles, plug-in hybrid electric vehicles, and hybrid electric vehicles. Innovation is led by its employees, which </w:t>
      </w:r>
      <w:r w:rsidRPr="00F90908">
        <w:rPr>
          <w:color w:val="000000"/>
        </w:rPr>
        <w:lastRenderedPageBreak/>
        <w:t xml:space="preserve">empowers the company's operations. Around 375,235 employees work globally, as reported at the end of fiscal 2023. An increase of 0.65% in employees indicates that Toyota has a practical employee retention ability (Carlier, 2023). </w:t>
      </w:r>
    </w:p>
    <w:p w14:paraId="6A02FC17" w14:textId="77777777" w:rsidR="00CE78D3" w:rsidRPr="00F90908" w:rsidRDefault="00AF7AF3" w:rsidP="00CE78D3">
      <w:pPr>
        <w:spacing w:line="360" w:lineRule="auto"/>
        <w:jc w:val="center"/>
        <w:rPr>
          <w:rFonts w:ascii="Times New Roman" w:hAnsi="Times New Roman" w:cs="Times New Roman"/>
          <w:sz w:val="24"/>
          <w:szCs w:val="24"/>
        </w:rPr>
      </w:pPr>
      <w:r w:rsidRPr="00F90908">
        <w:rPr>
          <w:rFonts w:ascii="Times New Roman" w:hAnsi="Times New Roman" w:cs="Times New Roman"/>
          <w:noProof/>
          <w:sz w:val="24"/>
          <w:szCs w:val="24"/>
        </w:rPr>
        <w:drawing>
          <wp:inline distT="0" distB="0" distL="0" distR="0" wp14:anchorId="04250FE2" wp14:editId="1CDF08B3">
            <wp:extent cx="4975240" cy="318135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4975345" cy="3181417"/>
                    </a:xfrm>
                    <a:prstGeom prst="rect">
                      <a:avLst/>
                    </a:prstGeom>
                    <a:noFill/>
                    <a:ln w="9525">
                      <a:noFill/>
                      <a:miter lim="800000"/>
                      <a:headEnd/>
                      <a:tailEnd/>
                    </a:ln>
                  </pic:spPr>
                </pic:pic>
              </a:graphicData>
            </a:graphic>
          </wp:inline>
        </w:drawing>
      </w:r>
    </w:p>
    <w:p w14:paraId="0F8DFE43" w14:textId="77777777" w:rsidR="00CE78D3" w:rsidRPr="00F90908" w:rsidRDefault="00AF7AF3" w:rsidP="00CE78D3">
      <w:pPr>
        <w:spacing w:line="360" w:lineRule="auto"/>
        <w:jc w:val="center"/>
        <w:rPr>
          <w:rFonts w:ascii="Times New Roman" w:hAnsi="Times New Roman" w:cs="Times New Roman"/>
          <w:b/>
          <w:sz w:val="24"/>
          <w:szCs w:val="24"/>
        </w:rPr>
      </w:pPr>
      <w:r w:rsidRPr="00F90908">
        <w:rPr>
          <w:rFonts w:ascii="Times New Roman" w:hAnsi="Times New Roman" w:cs="Times New Roman"/>
          <w:b/>
          <w:sz w:val="24"/>
          <w:szCs w:val="24"/>
        </w:rPr>
        <w:t>Figure 1: Toyota Employee Number</w:t>
      </w:r>
    </w:p>
    <w:p w14:paraId="55600623" w14:textId="77777777" w:rsidR="00CE78D3" w:rsidRPr="00F90908" w:rsidRDefault="00AF7AF3" w:rsidP="00CE78D3">
      <w:pPr>
        <w:spacing w:line="360" w:lineRule="auto"/>
        <w:jc w:val="center"/>
        <w:rPr>
          <w:rFonts w:ascii="Times New Roman" w:hAnsi="Times New Roman" w:cs="Times New Roman"/>
          <w:sz w:val="24"/>
          <w:szCs w:val="24"/>
        </w:rPr>
      </w:pPr>
      <w:r w:rsidRPr="00F90908">
        <w:rPr>
          <w:rFonts w:ascii="Times New Roman" w:hAnsi="Times New Roman" w:cs="Times New Roman"/>
          <w:sz w:val="24"/>
          <w:szCs w:val="24"/>
        </w:rPr>
        <w:t>Source: (</w:t>
      </w:r>
      <w:r w:rsidRPr="00F90908">
        <w:rPr>
          <w:rFonts w:ascii="Times New Roman" w:hAnsi="Times New Roman" w:cs="Times New Roman"/>
          <w:color w:val="000000"/>
          <w:sz w:val="24"/>
          <w:szCs w:val="24"/>
        </w:rPr>
        <w:t>Carlier, 2023</w:t>
      </w:r>
      <w:r w:rsidRPr="00F90908">
        <w:rPr>
          <w:rFonts w:ascii="Times New Roman" w:hAnsi="Times New Roman" w:cs="Times New Roman"/>
          <w:sz w:val="24"/>
          <w:szCs w:val="24"/>
        </w:rPr>
        <w:t>)</w:t>
      </w:r>
    </w:p>
    <w:p w14:paraId="5FD85696" w14:textId="77777777" w:rsidR="00CE78D3" w:rsidRPr="00F90908" w:rsidRDefault="00AF7AF3" w:rsidP="00CE78D3">
      <w:pPr>
        <w:pStyle w:val="NormalWeb"/>
        <w:spacing w:before="0" w:beforeAutospacing="0" w:after="0" w:afterAutospacing="0" w:line="360" w:lineRule="auto"/>
        <w:jc w:val="both"/>
      </w:pPr>
      <w:r w:rsidRPr="00F90908">
        <w:rPr>
          <w:color w:val="000000"/>
        </w:rPr>
        <w:t>The foundation of Toyota Motor Corporation in 1937 by Kiichiro Toyoda led the Toyota production system to be spread across global regions from Japan. During the 1950s, the company reigned 40% of the market share within the Japanese automotive industry (Toyotabharat, 2023). The journey in the USA in 1957 helped Toyota to build its reputation as an international automobile manufacturer. In 1963, the company's import services in Europe helped it to consolidate its position in the European market. Toyota entered into the complex market of Europe with its innovative product designs. The company obtained the trust of customers in Germany by delivering the ten millionth car in 2000. An increase in annual sales of the company after 2000 is the result of customer satisfaction in the European countries. The company's 3500 sales outlet helped it to improve sales in the European region (Toyotabharat, 2023). </w:t>
      </w:r>
    </w:p>
    <w:p w14:paraId="097EAB96" w14:textId="77777777" w:rsidR="00CE78D3" w:rsidRPr="00F90908" w:rsidRDefault="00AF7AF3" w:rsidP="00CE78D3">
      <w:pPr>
        <w:pStyle w:val="NormalWeb"/>
        <w:spacing w:before="0" w:beforeAutospacing="0" w:after="0" w:afterAutospacing="0" w:line="360" w:lineRule="auto"/>
        <w:jc w:val="both"/>
      </w:pPr>
      <w:r w:rsidRPr="00F90908">
        <w:rPr>
          <w:color w:val="000000"/>
        </w:rPr>
        <w:t xml:space="preserve">The international journey of Toyota also engaged it in Eastern countries. The company's engagement in India, Indonesia, Thailand, Malaysia, and other Asian countries improved its brand </w:t>
      </w:r>
      <w:r w:rsidRPr="00F90908">
        <w:rPr>
          <w:color w:val="000000"/>
        </w:rPr>
        <w:lastRenderedPageBreak/>
        <w:t xml:space="preserve">presence. The internationalisation process of Toyota increased engagement in international regions with its standardised products initially. After globalisation, the company started focusing on the local needs of international people, which helped Toyota to design vehicles as per the customer needs in global regions. The adaptation process also engaged the company in maintaining efficiency to solve the problems of its global customers. </w:t>
      </w:r>
    </w:p>
    <w:p w14:paraId="5B894CF7" w14:textId="77777777" w:rsidR="00CE78D3" w:rsidRPr="00F90908" w:rsidRDefault="00AF7AF3" w:rsidP="00CE78D3">
      <w:pPr>
        <w:pStyle w:val="NormalWeb"/>
        <w:spacing w:before="0" w:beforeAutospacing="0" w:after="0" w:afterAutospacing="0" w:line="360" w:lineRule="auto"/>
        <w:jc w:val="both"/>
      </w:pPr>
      <w:r w:rsidRPr="00F90908">
        <w:rPr>
          <w:color w:val="000000"/>
        </w:rPr>
        <w:t xml:space="preserve">Toyota's domestic operations involved it in improving innovation. The company launches models, namely Sport and New Century, in Japan, which are entirely based on the company's innovation in design and operations (Toyota, 2023). Within Japan, the company's subsidiaries are involved in the production of industrial vehicles, automobile parts, and commercial vehicles. The company's operations in China are based on technology and EV development (Leussink, 2023). Toyota's sustainable approach to manufacturing involves the company producing vehicles in China with the available and affordable technologies. Focusing on electric vehicle technology, the company improved its position in China. Market expansion in China depended on local preferences, which showed possibilities for Toyota to obtain high profits in the future. Nonetheless, the Chinese market is versatile and full of uncertainty, which indicates that Toyota must be cautious of its internationalisation strategy in China. </w:t>
      </w:r>
    </w:p>
    <w:p w14:paraId="3D5A97C4" w14:textId="585C299B" w:rsidR="00CE78D3" w:rsidRPr="00F90908" w:rsidRDefault="00F436D7" w:rsidP="004631B0">
      <w:pPr>
        <w:pStyle w:val="Heading1"/>
      </w:pPr>
      <w:bookmarkStart w:id="3" w:name="_Toc150029499"/>
      <w:r>
        <w:t>3</w:t>
      </w:r>
      <w:r w:rsidR="004631B0">
        <w:t xml:space="preserve">. </w:t>
      </w:r>
      <w:r w:rsidR="00AF7AF3" w:rsidRPr="00F90908">
        <w:t>Internationalisation strategies</w:t>
      </w:r>
      <w:bookmarkEnd w:id="3"/>
      <w:r w:rsidR="00AF7AF3" w:rsidRPr="00F90908">
        <w:t xml:space="preserve"> </w:t>
      </w:r>
    </w:p>
    <w:p w14:paraId="577D1397" w14:textId="77777777" w:rsidR="00CE78D3" w:rsidRPr="00F90908" w:rsidRDefault="00AF7AF3" w:rsidP="00CE78D3">
      <w:pPr>
        <w:pStyle w:val="NormalWeb"/>
        <w:spacing w:before="0" w:beforeAutospacing="0" w:after="0" w:afterAutospacing="0" w:line="360" w:lineRule="auto"/>
        <w:jc w:val="both"/>
      </w:pPr>
      <w:r w:rsidRPr="00F90908">
        <w:rPr>
          <w:color w:val="000000"/>
        </w:rPr>
        <w:t xml:space="preserve">The internationalisation process requires knowledge of the target market and target customers (Paul and Rosado-Serrano, 2019). Toyota's international journey depends on its idea about the local needs of its international customers. Evaluation of different strategies of internationalisation and their features will generate ideas for Toyota's strategy of internalisation. The different internalisation strategies help firms to offer products outside the domestic market to engage global customers. The focus is on customer satisfaction and sales increment. Being a part of the global automobile industry, Toyota manages to maintain a strategy based on customer preferences. Evaluation of internationalisation strategies will generate an understanding of the implications of the strategies on global expansion. </w:t>
      </w:r>
    </w:p>
    <w:p w14:paraId="74657C71" w14:textId="77777777" w:rsidR="00CE78D3" w:rsidRPr="00F90908" w:rsidRDefault="00AF7AF3" w:rsidP="00CE78D3">
      <w:pPr>
        <w:spacing w:line="360" w:lineRule="auto"/>
        <w:jc w:val="center"/>
        <w:rPr>
          <w:rFonts w:ascii="Times New Roman" w:hAnsi="Times New Roman" w:cs="Times New Roman"/>
          <w:sz w:val="24"/>
          <w:szCs w:val="24"/>
        </w:rPr>
      </w:pPr>
      <w:r w:rsidRPr="00F90908">
        <w:rPr>
          <w:rFonts w:ascii="Times New Roman" w:hAnsi="Times New Roman" w:cs="Times New Roman"/>
          <w:noProof/>
          <w:sz w:val="24"/>
          <w:szCs w:val="24"/>
        </w:rPr>
        <w:lastRenderedPageBreak/>
        <w:drawing>
          <wp:inline distT="0" distB="0" distL="0" distR="0" wp14:anchorId="335D8C53" wp14:editId="26DD2911">
            <wp:extent cx="4909162" cy="2781300"/>
            <wp:effectExtent l="19050" t="0" r="5738"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10"/>
                    <a:stretch>
                      <a:fillRect/>
                    </a:stretch>
                  </pic:blipFill>
                  <pic:spPr bwMode="auto">
                    <a:xfrm>
                      <a:off x="0" y="0"/>
                      <a:ext cx="4909162" cy="2781300"/>
                    </a:xfrm>
                    <a:prstGeom prst="rect">
                      <a:avLst/>
                    </a:prstGeom>
                    <a:noFill/>
                    <a:ln w="9525">
                      <a:noFill/>
                      <a:miter lim="800000"/>
                      <a:headEnd/>
                      <a:tailEnd/>
                    </a:ln>
                  </pic:spPr>
                </pic:pic>
              </a:graphicData>
            </a:graphic>
          </wp:inline>
        </w:drawing>
      </w:r>
    </w:p>
    <w:p w14:paraId="7463ED2A" w14:textId="77777777" w:rsidR="00CE78D3" w:rsidRPr="00F90908" w:rsidRDefault="00AF7AF3" w:rsidP="00CE78D3">
      <w:pPr>
        <w:spacing w:line="360" w:lineRule="auto"/>
        <w:jc w:val="center"/>
        <w:rPr>
          <w:rFonts w:ascii="Times New Roman" w:hAnsi="Times New Roman" w:cs="Times New Roman"/>
          <w:b/>
          <w:sz w:val="24"/>
          <w:szCs w:val="24"/>
        </w:rPr>
      </w:pPr>
      <w:r w:rsidRPr="00F90908">
        <w:rPr>
          <w:rFonts w:ascii="Times New Roman" w:hAnsi="Times New Roman" w:cs="Times New Roman"/>
          <w:b/>
          <w:sz w:val="24"/>
          <w:szCs w:val="24"/>
        </w:rPr>
        <w:t>Figure 2: Internalisation approaches</w:t>
      </w:r>
    </w:p>
    <w:p w14:paraId="388E56AD" w14:textId="77777777" w:rsidR="00CE78D3" w:rsidRPr="00F90908" w:rsidRDefault="00AF7AF3" w:rsidP="00CE78D3">
      <w:pPr>
        <w:spacing w:line="360" w:lineRule="auto"/>
        <w:jc w:val="center"/>
        <w:rPr>
          <w:rFonts w:ascii="Times New Roman" w:hAnsi="Times New Roman" w:cs="Times New Roman"/>
          <w:sz w:val="24"/>
          <w:szCs w:val="24"/>
        </w:rPr>
      </w:pPr>
      <w:r w:rsidRPr="00F90908">
        <w:rPr>
          <w:rFonts w:ascii="Times New Roman" w:hAnsi="Times New Roman" w:cs="Times New Roman"/>
          <w:sz w:val="24"/>
          <w:szCs w:val="24"/>
        </w:rPr>
        <w:t>Source: (Batheories, 2023)</w:t>
      </w:r>
    </w:p>
    <w:p w14:paraId="479FEC69" w14:textId="77777777" w:rsidR="00CE78D3" w:rsidRPr="00F90908" w:rsidRDefault="00AF7AF3" w:rsidP="00CE78D3">
      <w:pPr>
        <w:pStyle w:val="NormalWeb"/>
        <w:spacing w:before="0" w:beforeAutospacing="0" w:after="0" w:afterAutospacing="0" w:line="360" w:lineRule="auto"/>
        <w:jc w:val="both"/>
      </w:pPr>
      <w:r w:rsidRPr="00F90908">
        <w:rPr>
          <w:b/>
          <w:bCs/>
          <w:color w:val="000000"/>
        </w:rPr>
        <w:t xml:space="preserve">Ethnocentric strategy: </w:t>
      </w:r>
      <w:r w:rsidRPr="00F90908">
        <w:rPr>
          <w:color w:val="000000"/>
        </w:rPr>
        <w:t xml:space="preserve">Involvement of employees of the same nationality in international operations shows the orientation of multinational firms towards the culture and preference of the home country (Hill, 2023). It shows the standardised approach of offering products to customers similar to home countries. The value of ethnicity characterises the ethnocentric approach. The home culture is prioritised, focusing on the needs of customers from the domestic market. Ethnocentric international marketing also develops the scope of implementing HR practices to international business management processes similar to the home country. The characteristic of this strategy is also its standard approach in marketing products based on international presence and customer trust. </w:t>
      </w:r>
    </w:p>
    <w:p w14:paraId="5D3D4F82" w14:textId="77777777" w:rsidR="00CE78D3" w:rsidRPr="00F90908" w:rsidRDefault="00AF7AF3" w:rsidP="00CE78D3">
      <w:pPr>
        <w:pStyle w:val="NormalWeb"/>
        <w:spacing w:before="0" w:beforeAutospacing="0" w:after="0" w:afterAutospacing="0" w:line="360" w:lineRule="auto"/>
        <w:jc w:val="both"/>
      </w:pPr>
      <w:r w:rsidRPr="00F90908">
        <w:rPr>
          <w:b/>
          <w:bCs/>
          <w:color w:val="000000"/>
        </w:rPr>
        <w:t xml:space="preserve">Polycentric strategy: </w:t>
      </w:r>
      <w:r w:rsidRPr="00F90908">
        <w:rPr>
          <w:color w:val="000000"/>
        </w:rPr>
        <w:t xml:space="preserve">The preference of multinational organisations towards international employees in international operations helps to implement the polycentric strategy in international marketing. The international subsidiaries of firms engage members from the host country, which helps to assess the local needs based on the knowledge of the native people engaged as employees. The strategic orientation in the case of a polycentric approach shows more preference for the target country and its home country. Adaptability is the main characteristic of a polycentric strategy. It allows individuals to engage in the operations of an international firm to deliver to customers of their country. The feature of this strategy is also to ensure the acquisition of talent from </w:t>
      </w:r>
      <w:r w:rsidRPr="00F90908">
        <w:rPr>
          <w:color w:val="000000"/>
        </w:rPr>
        <w:lastRenderedPageBreak/>
        <w:t xml:space="preserve">international regions. The globalisation process fostered the polycentric approach all over the world (Wild and Wild, 2023). It also developed a scope of understanding the needs of international customers and addressing them to consolidate the position of the firm in the host country. </w:t>
      </w:r>
    </w:p>
    <w:p w14:paraId="1420267D" w14:textId="77777777" w:rsidR="00CE78D3" w:rsidRPr="00F90908" w:rsidRDefault="00AF7AF3" w:rsidP="00CE78D3">
      <w:pPr>
        <w:pStyle w:val="NormalWeb"/>
        <w:spacing w:before="0" w:beforeAutospacing="0" w:after="0" w:afterAutospacing="0" w:line="360" w:lineRule="auto"/>
        <w:jc w:val="both"/>
      </w:pPr>
      <w:r w:rsidRPr="00F90908">
        <w:rPr>
          <w:b/>
          <w:bCs/>
          <w:color w:val="000000"/>
        </w:rPr>
        <w:t xml:space="preserve">Geocentric strategy: </w:t>
      </w:r>
      <w:r w:rsidRPr="00F90908">
        <w:rPr>
          <w:color w:val="000000"/>
        </w:rPr>
        <w:t xml:space="preserve">The strategy helps to hire talents irrespective of geographical regions. Focusing on the suitability and skill set of people, the geocentric approach supports multinational firms in hiring employees from different locations (Annushkina et al., 2020). The flexibility in this strategy allows the firms to expand their international regions by adapting new employees in workplace culture. The characteristic of geocentric strategy shows a preference towards organisational goal achievement through best talent retention and management. Remote management of employees is one of the features of the geocentric strategy that increases the opportunity for people to improve their skills and serve international customers. The strategy develops opportunities for firms to apply an integrated approach to international marketing. Diversity management and quick adaptation is the result of geocentric strategy implementation in the international marketing process. </w:t>
      </w:r>
    </w:p>
    <w:p w14:paraId="30715158" w14:textId="77777777" w:rsidR="00CE78D3" w:rsidRPr="00F90908" w:rsidRDefault="00AF7AF3" w:rsidP="00CE78D3">
      <w:pPr>
        <w:pStyle w:val="NormalWeb"/>
        <w:spacing w:before="0" w:beforeAutospacing="0" w:after="0" w:afterAutospacing="0" w:line="360" w:lineRule="auto"/>
        <w:jc w:val="both"/>
      </w:pPr>
      <w:r w:rsidRPr="00F90908">
        <w:rPr>
          <w:color w:val="000000"/>
        </w:rPr>
        <w:t>The contrast between polycentric and ethnocentric strategies reveals that the former prioritises the host country while the latter prioritises the home country. In an ethnocentric strategy, the preference towards ethnic culture, native cultural needs, and standard products and services of the home country helps international firms to offer standard products that customers globally demand. On the other hand, the polycentric strategy helps to consider the local needs of the host country and hire employees to develop an insightful understanding of the culture and needs of the host country. The implication of the polycentric approach lies in maintaining better opportunities for international expansion through adaptation. In contrast, the ethnocentric approach may create barriers to international expansion due to a lack of awareness about international customer needs. A sole focus on the human resources of the home country develops the risk of failure in international marketing (Daniels, Radebaugh, and Sullivan, 2022). </w:t>
      </w:r>
    </w:p>
    <w:p w14:paraId="064A5ED6" w14:textId="77777777" w:rsidR="00CE78D3" w:rsidRPr="00F90908" w:rsidRDefault="00AF7AF3" w:rsidP="00CE78D3">
      <w:pPr>
        <w:pStyle w:val="NormalWeb"/>
        <w:spacing w:before="0" w:beforeAutospacing="0" w:after="0" w:afterAutospacing="0" w:line="360" w:lineRule="auto"/>
        <w:jc w:val="both"/>
      </w:pPr>
      <w:r w:rsidRPr="00F90908">
        <w:rPr>
          <w:color w:val="000000"/>
        </w:rPr>
        <w:t xml:space="preserve">The geocentric approach, on the other hand, can be a better strategy to ensure operations of international marketing as it helps to hire people who are best suited for their operations in international regions. The approach may ensure a positive impact on the international expansion of multinational firms. However, managing diversity due to people's involvement from different regions can be challenging. It may disrupt international market planning and strategic decision-making. The polycentric strategy helps to create a balance between the need identification process </w:t>
      </w:r>
      <w:r w:rsidRPr="00F90908">
        <w:rPr>
          <w:color w:val="000000"/>
        </w:rPr>
        <w:lastRenderedPageBreak/>
        <w:t>of international customers and talent management of the international regions. The geocentric approach in the internationalisation process may increase the scope of serving better customers.</w:t>
      </w:r>
    </w:p>
    <w:p w14:paraId="6E24DE41" w14:textId="1B759DE8" w:rsidR="00CE78D3" w:rsidRPr="00F90908" w:rsidRDefault="00AF7AF3" w:rsidP="00CE78D3">
      <w:pPr>
        <w:pStyle w:val="NormalWeb"/>
        <w:spacing w:before="0" w:beforeAutospacing="0" w:after="0" w:afterAutospacing="0" w:line="360" w:lineRule="auto"/>
        <w:jc w:val="both"/>
      </w:pPr>
      <w:r w:rsidRPr="00F90908">
        <w:rPr>
          <w:color w:val="000000"/>
        </w:rPr>
        <w:t>In contrast, the focus on the host country can best be set by hiring people from only the host country using a polycentric strategy (</w:t>
      </w:r>
      <w:proofErr w:type="spellStart"/>
      <w:r w:rsidR="004631B0" w:rsidRPr="004631B0">
        <w:rPr>
          <w:color w:val="000000"/>
        </w:rPr>
        <w:t>Głodowska</w:t>
      </w:r>
      <w:proofErr w:type="spellEnd"/>
      <w:r w:rsidRPr="00F90908">
        <w:rPr>
          <w:color w:val="000000"/>
        </w:rPr>
        <w:t xml:space="preserve">, </w:t>
      </w:r>
      <w:proofErr w:type="spellStart"/>
      <w:r w:rsidRPr="00F90908">
        <w:rPr>
          <w:color w:val="000000"/>
        </w:rPr>
        <w:t>Pera</w:t>
      </w:r>
      <w:proofErr w:type="spellEnd"/>
      <w:r w:rsidRPr="00F90908">
        <w:rPr>
          <w:color w:val="000000"/>
        </w:rPr>
        <w:t xml:space="preserve"> and Wach, 2019). Nonetheless, the ethnocentric approach opposes the geocentric approach as the former shows a simplistic method of hiring and international marketing based on standardisation. On the other hand, idea development about the host country can be possible better with a geocentric strategy than an ethnocentric approach. </w:t>
      </w:r>
    </w:p>
    <w:p w14:paraId="176F4B64" w14:textId="5356DD85" w:rsidR="00CE78D3" w:rsidRPr="00F90908" w:rsidRDefault="00F436D7" w:rsidP="004631B0">
      <w:pPr>
        <w:pStyle w:val="Heading1"/>
      </w:pPr>
      <w:bookmarkStart w:id="4" w:name="_Toc150029500"/>
      <w:r>
        <w:t>4</w:t>
      </w:r>
      <w:r w:rsidR="004631B0">
        <w:t xml:space="preserve">. </w:t>
      </w:r>
      <w:r w:rsidR="00AF7AF3" w:rsidRPr="00F90908">
        <w:t>Toyota's internationalisation approach</w:t>
      </w:r>
      <w:bookmarkEnd w:id="4"/>
      <w:r w:rsidR="00AF7AF3" w:rsidRPr="00F90908">
        <w:t xml:space="preserve"> </w:t>
      </w:r>
    </w:p>
    <w:p w14:paraId="23AC04D6" w14:textId="77777777" w:rsidR="00CE78D3" w:rsidRPr="00F90908" w:rsidRDefault="00AF7AF3" w:rsidP="00CE78D3">
      <w:pPr>
        <w:pStyle w:val="NormalWeb"/>
        <w:spacing w:before="0" w:beforeAutospacing="0" w:after="0" w:afterAutospacing="0" w:line="360" w:lineRule="auto"/>
        <w:jc w:val="both"/>
      </w:pPr>
      <w:r w:rsidRPr="00F90908">
        <w:rPr>
          <w:color w:val="000000"/>
        </w:rPr>
        <w:t xml:space="preserve">Toyota's home market, Japan, showed its opportunity to grow through the expansion of its automobile business within the European region, Asian countries, and the USA. The company initiated its journey as Toyota Motor Corporation by offering products similar to its home country within the international markets. The models of Toyota are world famous after its global expansion. People in different regions desired to purchase standardised models of Toyota. Japan's production centres exported products to international regions, which reflected the company's initial stress on ethnocentric strategy. Toyota preferred its standard products to serve global customers, which developed the scope for the company to ensure customer satisfaction. Operations based on Japan's native employees helped Toyota to use its skills for international marketing. </w:t>
      </w:r>
    </w:p>
    <w:p w14:paraId="1942407D" w14:textId="77777777" w:rsidR="00CE78D3" w:rsidRPr="00F90908" w:rsidRDefault="00AF7AF3" w:rsidP="00CE78D3">
      <w:pPr>
        <w:pStyle w:val="NormalWeb"/>
        <w:spacing w:before="0" w:beforeAutospacing="0" w:after="0" w:afterAutospacing="0" w:line="360" w:lineRule="auto"/>
        <w:jc w:val="both"/>
      </w:pPr>
      <w:r w:rsidRPr="00F90908">
        <w:rPr>
          <w:color w:val="000000"/>
        </w:rPr>
        <w:t xml:space="preserve">However, after globalisation, the multinational companies operating within the global automotive industry started hiring people from different regions. Toyota is engaged in the intensely competitive market of the international automotive industry. It threatened the company's position in the global market. Firms like Audi, BMW, Tesla, Ford, and Tata Motors also increased complexities to carry forward international marketing with Toyota's ethnocentric approach. The company started hiring people from the host country to obtain better insights into customer needs. The polycentric strategy helps to develop knowledge of customer needs through engaging employees from a target country (Garrido et al., 2021). Toyota's effort to engage people from the host country in its manufacturing operations helped to increase sales. The company's international market was boosted after the implementation of the polycentric approach. It also increased the possibility for the company to improve its designs as per the local preferences of the host country. </w:t>
      </w:r>
    </w:p>
    <w:p w14:paraId="1DB0BE79" w14:textId="77777777" w:rsidR="00CE78D3" w:rsidRPr="00F90908" w:rsidRDefault="00AF7AF3" w:rsidP="00CE78D3">
      <w:pPr>
        <w:pStyle w:val="NormalWeb"/>
        <w:spacing w:before="0" w:beforeAutospacing="0" w:after="0" w:afterAutospacing="0" w:line="360" w:lineRule="auto"/>
        <w:jc w:val="both"/>
      </w:pPr>
      <w:r w:rsidRPr="00F90908">
        <w:rPr>
          <w:color w:val="000000"/>
        </w:rPr>
        <w:t xml:space="preserve">Nonetheless, currently, the company manages global diversity at its workplace, which encourages HR practices based on diversity and inclusion. Diverse leadership at Toyota helped to engage </w:t>
      </w:r>
      <w:r w:rsidRPr="00F90908">
        <w:rPr>
          <w:color w:val="000000"/>
        </w:rPr>
        <w:lastRenderedPageBreak/>
        <w:t xml:space="preserve">Latino, Black, and Asian people in its workplace (PR Newswire, 2019). The company's geocentric strategy adaptation to support the hiring of people from different geographic backgrounds supported the international expansion of the company. Toyota's geocentric approach to expanding the market in the host country also encouraged its members to value the diverse needs of customers. An inclusive culture at Toyota also developed a scope of maintaining engagement of people from different countries to support the company's strategic decision-making process. Toyota's current international marketing strategy is based on a geocentric approach, which empowers the company's global brand position. </w:t>
      </w:r>
    </w:p>
    <w:p w14:paraId="2087F13D" w14:textId="77777777" w:rsidR="00CE78D3" w:rsidRPr="00F90908" w:rsidRDefault="00AF7AF3" w:rsidP="00CE78D3">
      <w:pPr>
        <w:pStyle w:val="NormalWeb"/>
        <w:spacing w:before="0" w:beforeAutospacing="0" w:after="0" w:afterAutospacing="0" w:line="360" w:lineRule="auto"/>
        <w:jc w:val="both"/>
      </w:pPr>
      <w:r w:rsidRPr="00F90908">
        <w:rPr>
          <w:color w:val="000000"/>
        </w:rPr>
        <w:t xml:space="preserve">The </w:t>
      </w:r>
      <w:r w:rsidRPr="00F90908">
        <w:rPr>
          <w:b/>
          <w:bCs/>
          <w:i/>
          <w:iCs/>
          <w:color w:val="000000"/>
        </w:rPr>
        <w:t xml:space="preserve">strategic decision </w:t>
      </w:r>
      <w:r w:rsidRPr="00F90908">
        <w:rPr>
          <w:color w:val="000000"/>
        </w:rPr>
        <w:t xml:space="preserve">of Toyota is influenced by its internationalisation strategy. The factors involve: </w:t>
      </w:r>
    </w:p>
    <w:p w14:paraId="1A3E7D5D" w14:textId="77777777" w:rsidR="00CE78D3" w:rsidRPr="00F90908" w:rsidRDefault="00AF7AF3" w:rsidP="00CE78D3">
      <w:pPr>
        <w:pStyle w:val="NormalWeb"/>
        <w:numPr>
          <w:ilvl w:val="0"/>
          <w:numId w:val="2"/>
        </w:numPr>
        <w:spacing w:before="0" w:beforeAutospacing="0" w:after="0" w:afterAutospacing="0" w:line="360" w:lineRule="auto"/>
        <w:jc w:val="both"/>
      </w:pPr>
      <w:r w:rsidRPr="00F90908">
        <w:rPr>
          <w:b/>
          <w:bCs/>
          <w:color w:val="000000"/>
        </w:rPr>
        <w:t xml:space="preserve">Internal inclusivity: </w:t>
      </w:r>
      <w:r w:rsidRPr="00F90908">
        <w:rPr>
          <w:color w:val="000000"/>
        </w:rPr>
        <w:t xml:space="preserve">The company's internal employees belong to diverse regions. The strategic decision of Toyota depends on internal inclusiveness (PR Newswire, 2019). Employees from different cultures engage in collaboration to make decisions. The strategy of the geocentric approach allows the people in the company to align with the HR practices of inclusivity while making decisions for international expansion. </w:t>
      </w:r>
    </w:p>
    <w:p w14:paraId="6A5C2835" w14:textId="77777777" w:rsidR="00CE78D3" w:rsidRPr="00F90908" w:rsidRDefault="00AF7AF3" w:rsidP="00CE78D3">
      <w:pPr>
        <w:pStyle w:val="NormalWeb"/>
        <w:numPr>
          <w:ilvl w:val="0"/>
          <w:numId w:val="2"/>
        </w:numPr>
        <w:spacing w:before="0" w:beforeAutospacing="0" w:after="0" w:afterAutospacing="0" w:line="360" w:lineRule="auto"/>
        <w:jc w:val="both"/>
      </w:pPr>
      <w:r w:rsidRPr="00F90908">
        <w:rPr>
          <w:b/>
          <w:bCs/>
          <w:color w:val="000000"/>
        </w:rPr>
        <w:t xml:space="preserve">Customer preferences: </w:t>
      </w:r>
      <w:r w:rsidRPr="00F90908">
        <w:rPr>
          <w:color w:val="000000"/>
        </w:rPr>
        <w:t xml:space="preserve">Different needs of customers from the host country influence the strategic decisions of the company. Toyota adopts a geocentric strategy to identify the preferences of customers from different locations to improve customer services. </w:t>
      </w:r>
    </w:p>
    <w:p w14:paraId="6C7F67C5" w14:textId="77777777" w:rsidR="00CE78D3" w:rsidRPr="00F90908" w:rsidRDefault="00AF7AF3" w:rsidP="00CE78D3">
      <w:pPr>
        <w:pStyle w:val="NormalWeb"/>
        <w:numPr>
          <w:ilvl w:val="0"/>
          <w:numId w:val="2"/>
        </w:numPr>
        <w:spacing w:before="0" w:beforeAutospacing="0" w:after="0" w:afterAutospacing="0" w:line="360" w:lineRule="auto"/>
        <w:jc w:val="both"/>
      </w:pPr>
      <w:r w:rsidRPr="00F90908">
        <w:rPr>
          <w:b/>
          <w:bCs/>
          <w:color w:val="000000"/>
        </w:rPr>
        <w:t xml:space="preserve">Diverse opinions of employees: </w:t>
      </w:r>
      <w:r w:rsidRPr="00F90908">
        <w:rPr>
          <w:color w:val="000000"/>
        </w:rPr>
        <w:t xml:space="preserve">The strategic decision-making process within Toyota is influenced by the opinions of employees. The employees within the company express their diverse opinions to make decisions. Diversity in Toyota helps to consider the opinions of employees in the internationalisation process. </w:t>
      </w:r>
    </w:p>
    <w:p w14:paraId="6EBCEDB2" w14:textId="77777777" w:rsidR="00CE78D3" w:rsidRPr="00F90908" w:rsidRDefault="00AF7AF3" w:rsidP="00CE78D3">
      <w:pPr>
        <w:pStyle w:val="NormalWeb"/>
        <w:numPr>
          <w:ilvl w:val="0"/>
          <w:numId w:val="2"/>
        </w:numPr>
        <w:spacing w:before="0" w:beforeAutospacing="0" w:after="0" w:afterAutospacing="0" w:line="360" w:lineRule="auto"/>
        <w:jc w:val="both"/>
      </w:pPr>
      <w:r w:rsidRPr="00F90908">
        <w:rPr>
          <w:b/>
          <w:bCs/>
          <w:color w:val="000000"/>
        </w:rPr>
        <w:t xml:space="preserve">Global leadership: </w:t>
      </w:r>
      <w:r w:rsidRPr="00F90908">
        <w:rPr>
          <w:color w:val="000000"/>
        </w:rPr>
        <w:t xml:space="preserve">Practices of global leadership increase opportunities for the company to maintain strategic decisions. Toyota engages leaders who are capable of managing diversity in the workplace. The global leadership practices also increase opportunities for Toyota to improve its international expansion strategy. </w:t>
      </w:r>
    </w:p>
    <w:p w14:paraId="60F7ACB0" w14:textId="77777777" w:rsidR="00CE78D3" w:rsidRPr="00F90908" w:rsidRDefault="00AF7AF3" w:rsidP="00CE78D3">
      <w:pPr>
        <w:pStyle w:val="NormalWeb"/>
        <w:numPr>
          <w:ilvl w:val="0"/>
          <w:numId w:val="2"/>
        </w:numPr>
        <w:spacing w:before="0" w:beforeAutospacing="0" w:after="0" w:afterAutospacing="0" w:line="360" w:lineRule="auto"/>
        <w:jc w:val="both"/>
      </w:pPr>
      <w:r w:rsidRPr="00F90908">
        <w:rPr>
          <w:b/>
          <w:bCs/>
          <w:color w:val="000000"/>
        </w:rPr>
        <w:t>Changing market needs:</w:t>
      </w:r>
      <w:r w:rsidRPr="00F90908">
        <w:rPr>
          <w:color w:val="000000"/>
        </w:rPr>
        <w:t xml:space="preserve"> Demands in the global market are constantly changing, which impacts international marketing strategies (Collinson et al., 2020). Toyota identifies the changing market demands in its host country to engage its employees and leaders in the strategic decision-making process. The company also increased profitability through the strategic decisions of its members. </w:t>
      </w:r>
    </w:p>
    <w:p w14:paraId="18A8D2DA" w14:textId="77777777" w:rsidR="00CE78D3" w:rsidRDefault="00AF7AF3" w:rsidP="00BA3211">
      <w:pPr>
        <w:pStyle w:val="NormalWeb"/>
        <w:numPr>
          <w:ilvl w:val="0"/>
          <w:numId w:val="2"/>
        </w:numPr>
        <w:spacing w:before="0" w:beforeAutospacing="0" w:after="0" w:afterAutospacing="0" w:line="360" w:lineRule="auto"/>
        <w:jc w:val="both"/>
      </w:pPr>
      <w:r w:rsidRPr="00F90908">
        <w:rPr>
          <w:b/>
          <w:bCs/>
          <w:color w:val="000000"/>
        </w:rPr>
        <w:lastRenderedPageBreak/>
        <w:t xml:space="preserve">Culture of the host country: </w:t>
      </w:r>
      <w:r w:rsidRPr="00F90908">
        <w:rPr>
          <w:color w:val="000000"/>
        </w:rPr>
        <w:t>The strategic decision-making process depends highly on the culture of the host country. Toyota assesses the cultural differences within its home country and host country that developed opportunities for the company to improve its internalisation strategy. It has also increased the possibilities of maintaining a geocentric approach.</w:t>
      </w:r>
    </w:p>
    <w:p w14:paraId="1FADB2CA" w14:textId="1C1E53D6" w:rsidR="006A1B14" w:rsidRPr="00BA3211" w:rsidRDefault="00F436D7" w:rsidP="00BA3211">
      <w:pPr>
        <w:pStyle w:val="Heading1"/>
      </w:pPr>
      <w:bookmarkStart w:id="5" w:name="_Toc150029501"/>
      <w:r>
        <w:t>5</w:t>
      </w:r>
      <w:r w:rsidR="004631B0">
        <w:t xml:space="preserve">. </w:t>
      </w:r>
      <w:r w:rsidR="00AF7AF3" w:rsidRPr="00BA3211">
        <w:t>PESTLE Analysis of Toyota</w:t>
      </w:r>
      <w:bookmarkEnd w:id="5"/>
    </w:p>
    <w:p w14:paraId="65B0AEB2" w14:textId="77777777" w:rsidR="006A1B14" w:rsidRPr="006A1B14" w:rsidRDefault="00AF7AF3" w:rsidP="006A1B14">
      <w:pPr>
        <w:spacing w:after="0" w:line="360" w:lineRule="auto"/>
        <w:jc w:val="both"/>
        <w:rPr>
          <w:rFonts w:ascii="Times New Roman" w:eastAsia="Times New Roman" w:hAnsi="Times New Roman" w:cs="Times New Roman"/>
          <w:sz w:val="24"/>
          <w:szCs w:val="24"/>
        </w:rPr>
      </w:pPr>
      <w:r w:rsidRPr="006A1B14">
        <w:rPr>
          <w:rFonts w:ascii="Times New Roman" w:eastAsia="Times New Roman" w:hAnsi="Times New Roman" w:cs="Times New Roman"/>
          <w:color w:val="000000"/>
          <w:sz w:val="24"/>
          <w:szCs w:val="24"/>
        </w:rPr>
        <w:t xml:space="preserve">Macro environmental analysis helps consider factors affecting business operations and management practices (Klein, Puck, and Weiss, 2019). The PESTLE framework will generate ideas about how the political, economic, social, technological, legal, and environmental factors control the operations of Toyota. External environmental factors also influence the company's expansion within the UK, Europe, and Eastern countries. While targeting China as a host country to provide automotive services, the company must identify the influence of the macro-environmental factors over the internationalisation process. It will help Toyota in its strategic decision-making process and increase scope to ensure efficiency in international market expansion. </w:t>
      </w:r>
    </w:p>
    <w:p w14:paraId="462ACF29" w14:textId="77777777" w:rsidR="00CE78D3" w:rsidRPr="00F90908" w:rsidRDefault="00AF7AF3" w:rsidP="00CE78D3">
      <w:pPr>
        <w:pStyle w:val="NormalWeb"/>
        <w:spacing w:before="0" w:beforeAutospacing="0" w:after="0" w:afterAutospacing="0" w:line="360" w:lineRule="auto"/>
        <w:jc w:val="center"/>
        <w:rPr>
          <w:b/>
          <w:bCs/>
          <w:color w:val="000000"/>
        </w:rPr>
      </w:pPr>
      <w:r w:rsidRPr="00F90908">
        <w:rPr>
          <w:noProof/>
        </w:rPr>
        <w:drawing>
          <wp:inline distT="0" distB="0" distL="0" distR="0" wp14:anchorId="0D7D2DA5" wp14:editId="164CDCD3">
            <wp:extent cx="3708400" cy="2781300"/>
            <wp:effectExtent l="0" t="0" r="0" b="0"/>
            <wp:docPr id="3" name="Picture 1" descr="Pestle Analysis: A Mechanism for Analysis of Businesses - Entersl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Pestle Analysis: A Mechanism for Analysis of Businesses - Enterslice"/>
                    <pic:cNvPicPr>
                      <a:picLocks noChangeAspect="1" noChangeArrowheads="1"/>
                    </pic:cNvPicPr>
                  </pic:nvPicPr>
                  <pic:blipFill>
                    <a:blip r:embed="rId11"/>
                    <a:stretch>
                      <a:fillRect/>
                    </a:stretch>
                  </pic:blipFill>
                  <pic:spPr bwMode="auto">
                    <a:xfrm>
                      <a:off x="0" y="0"/>
                      <a:ext cx="3708400" cy="2781300"/>
                    </a:xfrm>
                    <a:prstGeom prst="rect">
                      <a:avLst/>
                    </a:prstGeom>
                    <a:noFill/>
                    <a:ln w="9525">
                      <a:noFill/>
                      <a:miter lim="800000"/>
                      <a:headEnd/>
                      <a:tailEnd/>
                    </a:ln>
                  </pic:spPr>
                </pic:pic>
              </a:graphicData>
            </a:graphic>
          </wp:inline>
        </w:drawing>
      </w:r>
    </w:p>
    <w:p w14:paraId="735A3255" w14:textId="77777777" w:rsidR="00CE78D3" w:rsidRPr="00F90908" w:rsidRDefault="00AF7AF3" w:rsidP="00CE78D3">
      <w:pPr>
        <w:pStyle w:val="NormalWeb"/>
        <w:spacing w:before="0" w:beforeAutospacing="0" w:after="0" w:afterAutospacing="0" w:line="360" w:lineRule="auto"/>
        <w:jc w:val="center"/>
        <w:rPr>
          <w:b/>
          <w:bCs/>
          <w:color w:val="000000"/>
        </w:rPr>
      </w:pPr>
      <w:r w:rsidRPr="00F90908">
        <w:rPr>
          <w:b/>
          <w:bCs/>
          <w:color w:val="000000"/>
        </w:rPr>
        <w:t>Figure 3: PESTLE Analysis</w:t>
      </w:r>
    </w:p>
    <w:p w14:paraId="6649C9EF" w14:textId="77777777" w:rsidR="00CE78D3" w:rsidRPr="00CE78D3" w:rsidRDefault="00AF7AF3" w:rsidP="00CE78D3">
      <w:pPr>
        <w:pStyle w:val="NormalWeb"/>
        <w:spacing w:before="0" w:beforeAutospacing="0" w:after="0" w:afterAutospacing="0" w:line="360" w:lineRule="auto"/>
        <w:jc w:val="center"/>
        <w:rPr>
          <w:bCs/>
          <w:color w:val="000000"/>
        </w:rPr>
      </w:pPr>
      <w:r w:rsidRPr="00F90908">
        <w:rPr>
          <w:bCs/>
          <w:color w:val="000000"/>
        </w:rPr>
        <w:t>Source: (</w:t>
      </w:r>
      <w:r w:rsidRPr="00F90908">
        <w:t>Enterslice, 2020</w:t>
      </w:r>
      <w:r w:rsidRPr="00F90908">
        <w:rPr>
          <w:bCs/>
          <w:color w:val="000000"/>
        </w:rPr>
        <w:t>)</w:t>
      </w:r>
    </w:p>
    <w:p w14:paraId="37D4B4C2" w14:textId="77777777" w:rsidR="006A1B14" w:rsidRPr="006A1B14" w:rsidRDefault="00AF7AF3" w:rsidP="006A1B14">
      <w:pPr>
        <w:spacing w:after="0" w:line="360" w:lineRule="auto"/>
        <w:jc w:val="both"/>
        <w:rPr>
          <w:rFonts w:ascii="Times New Roman" w:eastAsia="Times New Roman" w:hAnsi="Times New Roman" w:cs="Times New Roman"/>
          <w:sz w:val="24"/>
          <w:szCs w:val="24"/>
        </w:rPr>
      </w:pPr>
      <w:r w:rsidRPr="006A1B14">
        <w:rPr>
          <w:rFonts w:ascii="Times New Roman" w:eastAsia="Times New Roman" w:hAnsi="Times New Roman" w:cs="Times New Roman"/>
          <w:b/>
          <w:bCs/>
          <w:color w:val="000000"/>
          <w:sz w:val="24"/>
          <w:szCs w:val="24"/>
        </w:rPr>
        <w:t xml:space="preserve">Political factors: </w:t>
      </w:r>
      <w:r w:rsidRPr="006A1B14">
        <w:rPr>
          <w:rFonts w:ascii="Times New Roman" w:eastAsia="Times New Roman" w:hAnsi="Times New Roman" w:cs="Times New Roman"/>
          <w:color w:val="000000"/>
          <w:sz w:val="24"/>
          <w:szCs w:val="24"/>
        </w:rPr>
        <w:t xml:space="preserve">The stable democracy of Japan is the second-largest economy (Smith, 2020). The country's democratic environment promotes businesses to expand their market into </w:t>
      </w:r>
      <w:r w:rsidRPr="006A1B14">
        <w:rPr>
          <w:rFonts w:ascii="Times New Roman" w:eastAsia="Times New Roman" w:hAnsi="Times New Roman" w:cs="Times New Roman"/>
          <w:color w:val="000000"/>
          <w:sz w:val="24"/>
          <w:szCs w:val="24"/>
        </w:rPr>
        <w:lastRenderedPageBreak/>
        <w:t xml:space="preserve">international regions. The stable democracy of Japan shows a collectivist approach that prioritises team effort in organisations. The political environment of Japan is suitable for business growth and business expansion. Toyota's international expansion in China is possible due to the support of Japan's government towards the multinational company. Toyota has reflected its team spirit, which increased the scope for the company to maintain a collective approach in decision-making regarding foreign subsidiary establishment in China. The political environment of Japan also shows the scope of acquiring labourers from the foreign market and engaging them in its automobile manufacturing process. Toyota's strategy to manage market expansion in China will be effectively implemented due to the stable political environment of its home country. The company's effort to internationalise its operations depends on its market expansion scope in the domestic country. </w:t>
      </w:r>
    </w:p>
    <w:p w14:paraId="762755A2" w14:textId="77777777" w:rsidR="006A1B14" w:rsidRPr="006A1B14" w:rsidRDefault="00AF7AF3" w:rsidP="006A1B14">
      <w:pPr>
        <w:spacing w:after="0" w:line="360" w:lineRule="auto"/>
        <w:jc w:val="both"/>
        <w:rPr>
          <w:rFonts w:ascii="Times New Roman" w:eastAsia="Times New Roman" w:hAnsi="Times New Roman" w:cs="Times New Roman"/>
          <w:sz w:val="24"/>
          <w:szCs w:val="24"/>
        </w:rPr>
      </w:pPr>
      <w:r w:rsidRPr="006A1B14">
        <w:rPr>
          <w:rFonts w:ascii="Times New Roman" w:eastAsia="Times New Roman" w:hAnsi="Times New Roman" w:cs="Times New Roman"/>
          <w:b/>
          <w:bCs/>
          <w:color w:val="000000"/>
          <w:sz w:val="24"/>
          <w:szCs w:val="24"/>
        </w:rPr>
        <w:t xml:space="preserve">Economic factors: </w:t>
      </w:r>
      <w:r w:rsidRPr="006A1B14">
        <w:rPr>
          <w:rFonts w:ascii="Times New Roman" w:eastAsia="Times New Roman" w:hAnsi="Times New Roman" w:cs="Times New Roman"/>
          <w:color w:val="000000"/>
          <w:sz w:val="24"/>
          <w:szCs w:val="24"/>
        </w:rPr>
        <w:t xml:space="preserve">The brimming economy of Japan shows alluring opportunities for businesses. Japan's current GDP is $5.6 trillion (Heritage, 2023). The per capita GDP of the country is around $44,739 (Heritage, 2023). The opportunities in Japan's economic environment reflect ways to manage high-level investment of businesses. The country offers an environment suitable for obtaining high returns on investment. The unemployment rate in Japan is 2.8%, which also reflects the availability of labour for businesses. The country's economic freedom score 69.3 positioned it as the 31st freest economy in the 2023 index (Heritage, 2023). The growing economy of Japan is also the result of business expansion of organisations into international markets. However, investment freedom within the country is comparatively lower than in other economically developed countries. Investment freedom in Japan is around 60%, and trade freedom is 75.2% (Heritage, 2023). The economic condition within the country shows both opportunities and threats. In the case of Toyota, the company's international expansion can be possible within Japan's developing economy. Using the trade freedom within the country, the company can enter China. Toyota must not focus on domestic investment as it may limit the returns and lead to financial loss. The company's focus must be on international trading by using the opportunity of the growing economic score of Japan. Economic support to Toyota will also help the company adapt internationalisation strategies based on financial strength. </w:t>
      </w:r>
    </w:p>
    <w:p w14:paraId="5E0D1BEA" w14:textId="77777777" w:rsidR="006A1B14" w:rsidRPr="006A1B14" w:rsidRDefault="00AF7AF3" w:rsidP="006A1B14">
      <w:pPr>
        <w:spacing w:after="0" w:line="360" w:lineRule="auto"/>
        <w:jc w:val="both"/>
        <w:rPr>
          <w:rFonts w:ascii="Times New Roman" w:eastAsia="Times New Roman" w:hAnsi="Times New Roman" w:cs="Times New Roman"/>
          <w:sz w:val="24"/>
          <w:szCs w:val="24"/>
        </w:rPr>
      </w:pPr>
      <w:r w:rsidRPr="006A1B14">
        <w:rPr>
          <w:rFonts w:ascii="Times New Roman" w:eastAsia="Times New Roman" w:hAnsi="Times New Roman" w:cs="Times New Roman"/>
          <w:b/>
          <w:bCs/>
          <w:color w:val="000000"/>
          <w:sz w:val="24"/>
          <w:szCs w:val="24"/>
        </w:rPr>
        <w:t xml:space="preserve">Social factors: </w:t>
      </w:r>
      <w:r w:rsidRPr="006A1B14">
        <w:rPr>
          <w:rFonts w:ascii="Times New Roman" w:eastAsia="Times New Roman" w:hAnsi="Times New Roman" w:cs="Times New Roman"/>
          <w:color w:val="000000"/>
          <w:sz w:val="24"/>
          <w:szCs w:val="24"/>
        </w:rPr>
        <w:t xml:space="preserve">The culture of Japan shows collectivism, which prioritises harmony (Chan, 2022). People within the country show a long-term orientation towards their culture. Their respect towards culture also reflects a solid cultural hierarchy within the country. The taste of Japanese </w:t>
      </w:r>
      <w:r w:rsidRPr="006A1B14">
        <w:rPr>
          <w:rFonts w:ascii="Times New Roman" w:eastAsia="Times New Roman" w:hAnsi="Times New Roman" w:cs="Times New Roman"/>
          <w:color w:val="000000"/>
          <w:sz w:val="24"/>
          <w:szCs w:val="24"/>
        </w:rPr>
        <w:lastRenderedPageBreak/>
        <w:t xml:space="preserve">people depends mainly on its cultural aspects. The collective society believes in values and native cultural norms. It shows that Toyota has the benefit of developing a vast customer base as it is a Japanese company. Focusing on the preferences of domestic customers, the company has designed automobile vehicles. It has improved the satisfaction of its customers. However, the company's transnational strategy to identify the local needs of foreign markets also improved its customer satisfaction. </w:t>
      </w:r>
    </w:p>
    <w:p w14:paraId="37F4C7C9" w14:textId="77777777" w:rsidR="006A1B14" w:rsidRPr="006A1B14" w:rsidRDefault="00AF7AF3" w:rsidP="006A1B14">
      <w:pPr>
        <w:spacing w:after="0" w:line="360" w:lineRule="auto"/>
        <w:jc w:val="both"/>
        <w:rPr>
          <w:rFonts w:ascii="Times New Roman" w:eastAsia="Times New Roman" w:hAnsi="Times New Roman" w:cs="Times New Roman"/>
          <w:sz w:val="24"/>
          <w:szCs w:val="24"/>
        </w:rPr>
      </w:pPr>
      <w:r w:rsidRPr="006A1B14">
        <w:rPr>
          <w:rFonts w:ascii="Times New Roman" w:eastAsia="Times New Roman" w:hAnsi="Times New Roman" w:cs="Times New Roman"/>
          <w:color w:val="000000"/>
          <w:sz w:val="24"/>
          <w:szCs w:val="24"/>
        </w:rPr>
        <w:t xml:space="preserve">The current population of Japan is around 125.7 million (Heritage, 2023). It shows opportunities to develop a significant consumer base. Toyota has increased its consumer base due to the interest of Japan's customers in its products. The company has maintained a strong position in the market due to the customers' support in its home country (Simbolon, Handayani, and Nugraedy, 2020). Toyota has a more extensive scope to enter Japan due to its cultural awareness of different international regions. The company values local customers' needs, improving its performance in global regions. The subsidiary of the company in Japan can be opened with the possibility to influence international customers with its practical knowledge about cultural aspects. Nonetheless, the team effort of the company's human resources will also ensure the success of the company in the international expansion process through a collective decision-making process. </w:t>
      </w:r>
    </w:p>
    <w:p w14:paraId="44A13373" w14:textId="77777777" w:rsidR="006A1B14" w:rsidRPr="006A1B14" w:rsidRDefault="00AF7AF3" w:rsidP="006A1B14">
      <w:pPr>
        <w:spacing w:after="0" w:line="360" w:lineRule="auto"/>
        <w:jc w:val="both"/>
        <w:rPr>
          <w:rFonts w:ascii="Times New Roman" w:eastAsia="Times New Roman" w:hAnsi="Times New Roman" w:cs="Times New Roman"/>
          <w:sz w:val="24"/>
          <w:szCs w:val="24"/>
        </w:rPr>
      </w:pPr>
      <w:r w:rsidRPr="006A1B14">
        <w:rPr>
          <w:rFonts w:ascii="Times New Roman" w:eastAsia="Times New Roman" w:hAnsi="Times New Roman" w:cs="Times New Roman"/>
          <w:b/>
          <w:bCs/>
          <w:color w:val="000000"/>
          <w:sz w:val="24"/>
          <w:szCs w:val="24"/>
        </w:rPr>
        <w:t xml:space="preserve">Technological factors: </w:t>
      </w:r>
      <w:r w:rsidRPr="006A1B14">
        <w:rPr>
          <w:rFonts w:ascii="Times New Roman" w:eastAsia="Times New Roman" w:hAnsi="Times New Roman" w:cs="Times New Roman"/>
          <w:color w:val="000000"/>
          <w:sz w:val="24"/>
          <w:szCs w:val="24"/>
        </w:rPr>
        <w:t>The ICT market of Japan shows a greater scope of using technologies for improving business operations. In 2022, the ICT market of the country was valued at $301.97 billion with a CAGR of 8.28% (GlobalData, 2023). The latest technologies, such as AI, Machine Learning, IoT, and Robotics, are available in Japan's market, which supports business operations. The ICT industry in Japan promotes the success of other industries by providing advanced technologies. In the case of automobiles, automation, electric operations, and sensor-based operations have become possible due to technology implementation. The technology market of Japan is expected to reach $2181.48 billion between 2022 and 2027 (GlobalData, 2023). The exponential growth of the technology market increased opportunities to maintain technological adaptation to Toyota. </w:t>
      </w:r>
    </w:p>
    <w:p w14:paraId="773F9CEA" w14:textId="77777777" w:rsidR="006A1B14" w:rsidRPr="006A1B14" w:rsidRDefault="00AF7AF3" w:rsidP="006A1B14">
      <w:pPr>
        <w:spacing w:after="0" w:line="360" w:lineRule="auto"/>
        <w:jc w:val="both"/>
        <w:rPr>
          <w:rFonts w:ascii="Times New Roman" w:eastAsia="Times New Roman" w:hAnsi="Times New Roman" w:cs="Times New Roman"/>
          <w:sz w:val="24"/>
          <w:szCs w:val="24"/>
        </w:rPr>
      </w:pPr>
      <w:r w:rsidRPr="006A1B14">
        <w:rPr>
          <w:rFonts w:ascii="Times New Roman" w:eastAsia="Times New Roman" w:hAnsi="Times New Roman" w:cs="Times New Roman"/>
          <w:color w:val="000000"/>
          <w:sz w:val="24"/>
          <w:szCs w:val="24"/>
        </w:rPr>
        <w:t xml:space="preserve">Toyota uses the latest technologies to ensure advancement in its production. Considering the advantages of the ICT market of its home country, the company has expanded its market in international regions. Toyota's efficiency in using the latest technologies in manufacturing operations also empowered customer satisfaction. Consumer buying rate increased due to the implementation of technologies. Japan's ICT market also helps Toyota to increase its annual </w:t>
      </w:r>
      <w:r w:rsidRPr="006A1B14">
        <w:rPr>
          <w:rFonts w:ascii="Times New Roman" w:eastAsia="Times New Roman" w:hAnsi="Times New Roman" w:cs="Times New Roman"/>
          <w:color w:val="000000"/>
          <w:sz w:val="24"/>
          <w:szCs w:val="24"/>
        </w:rPr>
        <w:lastRenderedPageBreak/>
        <w:t xml:space="preserve">revenue by introducing new digital services to its customers continuously. Customer attraction and long-term market development in the target country will be possible. Furthermore, technological equipment also will support internal management and decision-making processes at Toyota. The company may obtain high financial gain through technological interventions. </w:t>
      </w:r>
    </w:p>
    <w:p w14:paraId="5E73AA8D" w14:textId="77777777" w:rsidR="006A1B14" w:rsidRPr="006A1B14" w:rsidRDefault="00AF7AF3" w:rsidP="006A1B14">
      <w:pPr>
        <w:spacing w:after="0" w:line="360" w:lineRule="auto"/>
        <w:jc w:val="both"/>
        <w:rPr>
          <w:rFonts w:ascii="Times New Roman" w:eastAsia="Times New Roman" w:hAnsi="Times New Roman" w:cs="Times New Roman"/>
          <w:sz w:val="24"/>
          <w:szCs w:val="24"/>
        </w:rPr>
      </w:pPr>
      <w:r w:rsidRPr="006A1B14">
        <w:rPr>
          <w:rFonts w:ascii="Times New Roman" w:eastAsia="Times New Roman" w:hAnsi="Times New Roman" w:cs="Times New Roman"/>
          <w:b/>
          <w:bCs/>
          <w:color w:val="000000"/>
          <w:sz w:val="24"/>
          <w:szCs w:val="24"/>
        </w:rPr>
        <w:t>Legal factors:</w:t>
      </w:r>
      <w:r w:rsidRPr="006A1B14">
        <w:rPr>
          <w:rFonts w:ascii="Times New Roman" w:eastAsia="Times New Roman" w:hAnsi="Times New Roman" w:cs="Times New Roman"/>
          <w:color w:val="000000"/>
          <w:sz w:val="24"/>
          <w:szCs w:val="24"/>
        </w:rPr>
        <w:t xml:space="preserve"> The tax burden within Japan is around 68.1% (Heritage, 2023). It creates significant barriers to improving profitability. Financial benefits to businesses are limited in Japan, showing a lack of scope for businesses to grow. A significantly high tax burden to maintain the growth of business also develops challenges in maintaining the profitability of Toyota. Restrictions in maintaining cross-border trading also pose a threat for Toyota in the Japanese market. Government spending in Japan is around 48.4% (Heritage, 2023). It increases difficulties in maintaining growth with the support of the government. The regulatory burden over businesses often restricts business expansion across borders.</w:t>
      </w:r>
    </w:p>
    <w:p w14:paraId="1662D2A5" w14:textId="77777777" w:rsidR="006A1B14" w:rsidRPr="006A1B14" w:rsidRDefault="00AF7AF3" w:rsidP="006A1B14">
      <w:pPr>
        <w:spacing w:after="0" w:line="360" w:lineRule="auto"/>
        <w:jc w:val="both"/>
        <w:rPr>
          <w:rFonts w:ascii="Times New Roman" w:eastAsia="Times New Roman" w:hAnsi="Times New Roman" w:cs="Times New Roman"/>
          <w:sz w:val="24"/>
          <w:szCs w:val="24"/>
        </w:rPr>
      </w:pPr>
      <w:r w:rsidRPr="006A1B14">
        <w:rPr>
          <w:rFonts w:ascii="Times New Roman" w:eastAsia="Times New Roman" w:hAnsi="Times New Roman" w:cs="Times New Roman"/>
          <w:color w:val="000000"/>
          <w:sz w:val="24"/>
          <w:szCs w:val="24"/>
        </w:rPr>
        <w:t xml:space="preserve">Moreover, patent rights of manufacturing designs also need to be genuine to expand business within international regions. Considering the legal challenges in Japan's market, it can be assessed that Toyota needs to be aware of legal policies while expanding business into China. The company's decision-making process must be firm to withstand the legal complexities in the cross-border expansion process. </w:t>
      </w:r>
    </w:p>
    <w:p w14:paraId="6837BB3D" w14:textId="77777777" w:rsidR="00CE78D3" w:rsidRDefault="00AF7AF3" w:rsidP="006A1B14">
      <w:pPr>
        <w:spacing w:line="360" w:lineRule="auto"/>
        <w:jc w:val="both"/>
        <w:rPr>
          <w:rFonts w:ascii="Times New Roman" w:eastAsia="Times New Roman" w:hAnsi="Times New Roman" w:cs="Times New Roman"/>
          <w:color w:val="000000"/>
          <w:sz w:val="24"/>
          <w:szCs w:val="24"/>
        </w:rPr>
      </w:pPr>
      <w:r w:rsidRPr="006A1B14">
        <w:rPr>
          <w:rFonts w:ascii="Times New Roman" w:eastAsia="Times New Roman" w:hAnsi="Times New Roman" w:cs="Times New Roman"/>
          <w:b/>
          <w:bCs/>
          <w:color w:val="000000"/>
          <w:sz w:val="24"/>
          <w:szCs w:val="24"/>
        </w:rPr>
        <w:t xml:space="preserve">Environmental factors: </w:t>
      </w:r>
      <w:r w:rsidRPr="006A1B14">
        <w:rPr>
          <w:rFonts w:ascii="Times New Roman" w:eastAsia="Times New Roman" w:hAnsi="Times New Roman" w:cs="Times New Roman"/>
          <w:color w:val="000000"/>
          <w:sz w:val="24"/>
          <w:szCs w:val="24"/>
        </w:rPr>
        <w:t xml:space="preserve">The concerns of environmental sustainability increased issues in business operations (Vesal, Siahtiri, and O'Cass, 2021). Growing carbon emissions, environmental pollution, GHG, and other issues developed difficulties in maintaining environmental sustainability. The challenges in sustainability management increased issues for Toyota. As part of the automotive industry, the company is responsible for managing environmental sustainability. Automotive vehicles emit carbon and other harmful elements, which develop more significant concerns about environmental well-being. In the case of Toyota, the company's carbon fuel and waste is mainly responsible for environmental issues in Japan. It has developed a threat to the company's ability to maintain environmental sustainability. Focusing on the increased challenges in maintaining environmental sustainability, the company must be aware of challenges in international expansion within China. The awareness about the possible sustainability issues through launching new vehicles in the target country may help Toyota be responsible for managing sustainability. The company must also manage its corporate responsibilities with the help of an informed decision-making process. </w:t>
      </w:r>
    </w:p>
    <w:p w14:paraId="3D16EEF3" w14:textId="0547FF87" w:rsidR="00CE78D3" w:rsidRPr="00F90908" w:rsidRDefault="00F436D7" w:rsidP="004631B0">
      <w:pPr>
        <w:pStyle w:val="Heading1"/>
      </w:pPr>
      <w:bookmarkStart w:id="6" w:name="_Toc150029502"/>
      <w:r>
        <w:lastRenderedPageBreak/>
        <w:t>6</w:t>
      </w:r>
      <w:r w:rsidR="004631B0">
        <w:t xml:space="preserve">. </w:t>
      </w:r>
      <w:r w:rsidR="00AF7AF3" w:rsidRPr="00F90908">
        <w:t>Integration of contextual factors and internationalisation strategy</w:t>
      </w:r>
      <w:bookmarkEnd w:id="6"/>
      <w:r w:rsidR="00AF7AF3" w:rsidRPr="00F90908">
        <w:t xml:space="preserve"> </w:t>
      </w:r>
    </w:p>
    <w:p w14:paraId="33D9A74F" w14:textId="77777777" w:rsidR="00CE78D3" w:rsidRPr="00F90908" w:rsidRDefault="00AF7AF3" w:rsidP="00CE78D3">
      <w:pPr>
        <w:pStyle w:val="NormalWeb"/>
        <w:spacing w:before="0" w:beforeAutospacing="0" w:after="0" w:afterAutospacing="0" w:line="360" w:lineRule="auto"/>
        <w:jc w:val="both"/>
      </w:pPr>
      <w:r w:rsidRPr="00F90908">
        <w:rPr>
          <w:color w:val="000000"/>
        </w:rPr>
        <w:t>PESTLE analysis reflected that Toyota has the scope in the political environment of Japan. The company's geocentric internationalisation process shows the scope of managing international expansion from the stable democracy of Japan. International marketing of Toyota can also be influenced by its strategic decision-making process to obtain profitability. The political democracy in Japan increased the scope of Toyota to maintain a collective approach to attract customers from its host country, China. International marketing is heavily impacted by the political environment of a country (Tien, Phu, and Chi, 2019). However, the collectivist approach in Japan may disrupt the company's geocentric strategy as it can limit the scope of engaging people from different cultures in its workplace environment for managing international operations in China. </w:t>
      </w:r>
    </w:p>
    <w:p w14:paraId="3FF46308" w14:textId="77777777" w:rsidR="00CE78D3" w:rsidRPr="00F90908" w:rsidRDefault="00AF7AF3" w:rsidP="00CE78D3">
      <w:pPr>
        <w:pStyle w:val="NormalWeb"/>
        <w:spacing w:before="0" w:beforeAutospacing="0" w:after="0" w:afterAutospacing="0" w:line="360" w:lineRule="auto"/>
        <w:jc w:val="both"/>
      </w:pPr>
      <w:r w:rsidRPr="00F90908">
        <w:rPr>
          <w:color w:val="000000"/>
        </w:rPr>
        <w:t xml:space="preserve">The implementation of a geocentric strategy for international expansion in China is influenced by the economic environment of Toyota's home country. Increased opportunities for investment and high revenue growth supported Toyota to maintain growth in the global markets. The internationalisation process of Toyota depends on the economic stability of the company. New design creation, innovation maintenance, and launch of electric vehicles and other technology-based vehicles are the result of the economic development of the company. The growth of Japan's economy positively influenced the organisations operating within the automotive industry of the country. It also empowered Toyota's vision to achieve high revenue through international expansion. The company also used financial resources to implement its geocentric approach to hire international employees and run its marketing operations in China. </w:t>
      </w:r>
    </w:p>
    <w:p w14:paraId="1D8801E0" w14:textId="77777777" w:rsidR="00CE78D3" w:rsidRPr="00F90908" w:rsidRDefault="00AF7AF3" w:rsidP="00CE78D3">
      <w:pPr>
        <w:pStyle w:val="NormalWeb"/>
        <w:spacing w:before="0" w:beforeAutospacing="0" w:after="0" w:afterAutospacing="0" w:line="360" w:lineRule="auto"/>
        <w:jc w:val="both"/>
      </w:pPr>
      <w:r w:rsidRPr="00F90908">
        <w:rPr>
          <w:color w:val="000000"/>
        </w:rPr>
        <w:t xml:space="preserve">Toyota shaped its geocentric strategy after perceiving the changing social needs. Customer demands from the company shifted after the increase in market competition. The company's idea about customer needs also depended on its marketing strategies based on a geocentric approach. Social factors reflected a solid consumer base in Japan, which helped Toyota to obtain high revenue. The company also designs vehicles based on the demand of customers. It has increased opportunities to maintain customer-centricity. The brand value of Toyota also influences customer demands (Armawan, 2021). The company's effort to identify the diverse needs of employees also increases the possibility of maintaining growth in China. Toyota's long-term orientation to Japan's culture, however, may increase difficulties in implementing the geocentric approach. The company needs to consider the diverse needs of customers to obtain insights into international customer needs with the help of employees from international regions. </w:t>
      </w:r>
    </w:p>
    <w:p w14:paraId="05BCAB4C" w14:textId="77777777" w:rsidR="00CE78D3" w:rsidRPr="00F90908" w:rsidRDefault="00AF7AF3" w:rsidP="00CE78D3">
      <w:pPr>
        <w:pStyle w:val="NormalWeb"/>
        <w:spacing w:before="0" w:beforeAutospacing="0" w:after="0" w:afterAutospacing="0" w:line="360" w:lineRule="auto"/>
        <w:jc w:val="both"/>
      </w:pPr>
      <w:r w:rsidRPr="00F90908">
        <w:rPr>
          <w:color w:val="000000"/>
        </w:rPr>
        <w:lastRenderedPageBreak/>
        <w:t xml:space="preserve">Technological factors also influence Toyota's international marketing. The growth of Japan's ICT industry showed opportunities to maintain efficiency that increased the scope for Toyota to utilise advanced technologies in maintaining product design improvement. Technologies for automation, sensor-based operations, and speed of vehicles helped the company to offer innovative products. The company's launch of Sport and New Century is the result of continuous innovation (Toyota, 2023). Toyota increased efficiency in its global operations by managing a geocentric strategy. Technologies support the company's geocentric strategy to expand the market in China. With the help of digital networks, the company engages employees from global regions. Toyota's engagement in managing growth in the Chinese market is the result of its geocentric strategy. The technological environment in Japan will support Toyota in maintaining global expansion. International marketing success in the digital age is influenced by the strategic decisions of firms (Falahat et al., 2020). Toyota shaped its global strategy, focusing on the advantages of technologies in the market. </w:t>
      </w:r>
    </w:p>
    <w:p w14:paraId="32042993" w14:textId="77777777" w:rsidR="00CE78D3" w:rsidRPr="00F90908" w:rsidRDefault="00AF7AF3" w:rsidP="00CE78D3">
      <w:pPr>
        <w:pStyle w:val="NormalWeb"/>
        <w:spacing w:before="0" w:beforeAutospacing="0" w:after="0" w:afterAutospacing="0" w:line="360" w:lineRule="auto"/>
        <w:jc w:val="both"/>
      </w:pPr>
      <w:r w:rsidRPr="00F90908">
        <w:rPr>
          <w:color w:val="000000"/>
        </w:rPr>
        <w:t xml:space="preserve">The external environment analysis revealed the legal threats. With the help of a geocentric approach, Toyota can engage global talents to operate in the international region. Legal complications and trade restrictions may develop challenges in implementing the geocentric strategy. The company's focus on managing legal challenges may help its international expansion within China. Toyota's effort to ensure patent rights of its design also enhanced opportunities for the company to avoid legal complexities in the market expansion process. Nonetheless, the tax burden rate in Japan is high, which may disrupt Toyota's international market expansion process.  </w:t>
      </w:r>
    </w:p>
    <w:p w14:paraId="64BBB142" w14:textId="77777777" w:rsidR="00CE78D3" w:rsidRPr="00F90908" w:rsidRDefault="00AF7AF3" w:rsidP="00CE78D3">
      <w:pPr>
        <w:pStyle w:val="NormalWeb"/>
        <w:spacing w:before="0" w:beforeAutospacing="0" w:after="0" w:afterAutospacing="0" w:line="360" w:lineRule="auto"/>
        <w:jc w:val="both"/>
      </w:pPr>
      <w:r w:rsidRPr="00F90908">
        <w:rPr>
          <w:color w:val="000000"/>
        </w:rPr>
        <w:t xml:space="preserve">Toyota engages global people within its geocentric strategy that empowers responsible decision-making processes within the company. Due to the increased focus on innovation, the company produces more vehicles for internationalisation. It is part of the company's geocentric strategy. Diverse people help companies increase the production of vehicles and batteries. It increases the challenges to manage environmental sustainability. Toyota engaged its global employees in its CSR activities to maintain environmental sustainability by reducing carbon footprint. For that purpose, the company initiated manufacturing electric vehicles for global customers. The issues of environmental sustainability influence the company's geocentric approach to international marketing in China. Sustainable operations may help Toyota to overcome the challenges of environmental concerns. The process of internationalisation associates global people and global </w:t>
      </w:r>
      <w:r w:rsidRPr="00F90908">
        <w:rPr>
          <w:color w:val="000000"/>
        </w:rPr>
        <w:lastRenderedPageBreak/>
        <w:t xml:space="preserve">leaders in decision-making (Reim et al., 2022). Toyota must empower global leadership to ensure proper internalisation in China. </w:t>
      </w:r>
    </w:p>
    <w:p w14:paraId="0F8C2E69" w14:textId="1D392479" w:rsidR="00CE78D3" w:rsidRPr="00F90908" w:rsidRDefault="00F436D7" w:rsidP="004631B0">
      <w:pPr>
        <w:pStyle w:val="Heading1"/>
      </w:pPr>
      <w:bookmarkStart w:id="7" w:name="_Toc150029503"/>
      <w:r>
        <w:t>7</w:t>
      </w:r>
      <w:r w:rsidR="004631B0">
        <w:t xml:space="preserve">. </w:t>
      </w:r>
      <w:r w:rsidR="00AF7AF3" w:rsidRPr="00F90908">
        <w:t>Recommendations for the company</w:t>
      </w:r>
      <w:bookmarkEnd w:id="7"/>
      <w:r w:rsidR="00AF7AF3" w:rsidRPr="00F90908">
        <w:t> </w:t>
      </w:r>
    </w:p>
    <w:p w14:paraId="0FDD282C" w14:textId="77777777" w:rsidR="00CE78D3" w:rsidRPr="00F90908" w:rsidRDefault="00AF7AF3" w:rsidP="00CE78D3">
      <w:pPr>
        <w:pStyle w:val="NormalWeb"/>
        <w:numPr>
          <w:ilvl w:val="0"/>
          <w:numId w:val="1"/>
        </w:numPr>
        <w:spacing w:before="0" w:beforeAutospacing="0" w:after="0" w:afterAutospacing="0" w:line="360" w:lineRule="auto"/>
        <w:jc w:val="both"/>
      </w:pPr>
      <w:r w:rsidRPr="00F90908">
        <w:rPr>
          <w:color w:val="000000"/>
        </w:rPr>
        <w:t xml:space="preserve">The digital operations of Toyota must be improved to create a better opportunity for the company to ensure international marketing based on its digital operations. Virtual connections among employees may improve the collaboration of teams at Toyota. The company's digital operations may also help it to increase productivity and maintain digital ways of growing international markets. Expansion in the Chinese market can be accelerated with the help of digital technologies. Digital communication and support showed more significant opportunities to maintain the virtual engagement of people in ensuring growth. It will also help the company avoid challenges in obtaining an understanding of cross-culture and the needs of customers in international regions.  </w:t>
      </w:r>
    </w:p>
    <w:p w14:paraId="325AD20A" w14:textId="77777777" w:rsidR="00CE78D3" w:rsidRPr="00F90908" w:rsidRDefault="00AF7AF3" w:rsidP="00CE78D3">
      <w:pPr>
        <w:pStyle w:val="NormalWeb"/>
        <w:numPr>
          <w:ilvl w:val="0"/>
          <w:numId w:val="1"/>
        </w:numPr>
        <w:spacing w:before="0" w:beforeAutospacing="0" w:after="0" w:afterAutospacing="0" w:line="360" w:lineRule="auto"/>
        <w:jc w:val="both"/>
      </w:pPr>
      <w:r w:rsidRPr="00F90908">
        <w:rPr>
          <w:color w:val="000000"/>
        </w:rPr>
        <w:t xml:space="preserve">Economic investment opportunities in the market will also be helpful for Toyota to maintain economic growth—Toyota's value-added approach in marketing developed ideas for managing people across the globe. The financial stability of the global company also develops a new scope of maintaining efficiency in solving the issues related to cross-border investment. The company's engagement in managing economic growth also influenced its marketing strategies in the international market. Financial resources reflect competitive advantage for organisations (Rizvi, 2020). Toyota's awareness of economic investment scope in China may help the company to identify ways of obtaining a high competitive advantage. </w:t>
      </w:r>
    </w:p>
    <w:p w14:paraId="613889FF" w14:textId="77777777" w:rsidR="00B300D6" w:rsidRPr="00B300D6" w:rsidRDefault="00AF7AF3" w:rsidP="00B300D6">
      <w:pPr>
        <w:pStyle w:val="ListParagraph"/>
        <w:numPr>
          <w:ilvl w:val="0"/>
          <w:numId w:val="1"/>
        </w:numPr>
        <w:spacing w:after="0" w:line="360" w:lineRule="auto"/>
        <w:jc w:val="both"/>
        <w:rPr>
          <w:rFonts w:ascii="Times New Roman" w:eastAsia="Times New Roman" w:hAnsi="Times New Roman" w:cs="Times New Roman"/>
          <w:sz w:val="24"/>
          <w:szCs w:val="24"/>
        </w:rPr>
      </w:pPr>
      <w:r w:rsidRPr="00B300D6">
        <w:rPr>
          <w:rFonts w:ascii="Times New Roman" w:eastAsia="Times New Roman" w:hAnsi="Times New Roman" w:cs="Times New Roman"/>
          <w:color w:val="000000"/>
          <w:sz w:val="24"/>
          <w:szCs w:val="24"/>
        </w:rPr>
        <w:t xml:space="preserve">The legal challenges for Toyota can be addressed with increased knowledge about the company's policies to secure patent rights. The new designs of automobile vehicles must be covered under the scheme of patent rights of the company. Trading in the international region from Japan can be complicated for Toyota. However, knowledge about trading regulations in the target market may help Toyota to overcome trade barriers. The company must also consolidate its financial position to pay taxes while internationalising in China or other international markets. </w:t>
      </w:r>
    </w:p>
    <w:p w14:paraId="5112D699" w14:textId="77777777" w:rsidR="00B300D6" w:rsidRPr="00B300D6" w:rsidRDefault="00AF7AF3" w:rsidP="006A1B14">
      <w:pPr>
        <w:pStyle w:val="ListParagraph"/>
        <w:numPr>
          <w:ilvl w:val="0"/>
          <w:numId w:val="1"/>
        </w:numPr>
        <w:spacing w:after="0" w:line="360" w:lineRule="auto"/>
        <w:jc w:val="both"/>
        <w:rPr>
          <w:rFonts w:ascii="Times New Roman" w:eastAsia="Times New Roman" w:hAnsi="Times New Roman" w:cs="Times New Roman"/>
          <w:sz w:val="24"/>
          <w:szCs w:val="24"/>
        </w:rPr>
      </w:pPr>
      <w:r w:rsidRPr="00B300D6">
        <w:rPr>
          <w:rFonts w:ascii="Times New Roman" w:eastAsia="Times New Roman" w:hAnsi="Times New Roman" w:cs="Times New Roman"/>
          <w:color w:val="000000"/>
          <w:sz w:val="24"/>
          <w:szCs w:val="24"/>
        </w:rPr>
        <w:t xml:space="preserve">Toyota's approach to managing sustainability through reducing its carbon footprint must be prioritised to avoid challenges in ensuring environmental sustainability. The company's </w:t>
      </w:r>
      <w:r w:rsidRPr="00B300D6">
        <w:rPr>
          <w:rFonts w:ascii="Times New Roman" w:eastAsia="Times New Roman" w:hAnsi="Times New Roman" w:cs="Times New Roman"/>
          <w:color w:val="000000"/>
          <w:sz w:val="24"/>
          <w:szCs w:val="24"/>
        </w:rPr>
        <w:lastRenderedPageBreak/>
        <w:t>initiative to create a sustainability plan by introducing electric vehicles in the market will also help it avoid the impact of the company's operations on the environment. Toyota's environmental sustainability management plan may also empower the company's international market expansion process. CSR initiatives will develop the global reputation of the company in the global automotive industry. It may create scope for the company to reduce GHG emissions and carbon footprint to enter into a new international market with its sustainability agenda. The geocentric strategy increases ideas to meet the local needs of international markets (Babu and Aithal, 2023). By introducing electric vehicles in the international markets, the company may empower its geocentric strategy. </w:t>
      </w:r>
    </w:p>
    <w:p w14:paraId="5ABF990D" w14:textId="4D0CF0BB" w:rsidR="00B300D6" w:rsidRPr="00B300D6" w:rsidRDefault="00F436D7" w:rsidP="004631B0">
      <w:pPr>
        <w:pStyle w:val="Heading1"/>
      </w:pPr>
      <w:bookmarkStart w:id="8" w:name="_Toc150029504"/>
      <w:r>
        <w:t xml:space="preserve">8. </w:t>
      </w:r>
      <w:r w:rsidR="00AF7AF3" w:rsidRPr="00B300D6">
        <w:t>Conclusion</w:t>
      </w:r>
      <w:bookmarkEnd w:id="8"/>
      <w:r w:rsidR="00AF7AF3" w:rsidRPr="00B300D6">
        <w:t> </w:t>
      </w:r>
    </w:p>
    <w:p w14:paraId="035F7007" w14:textId="77777777" w:rsidR="00B300D6" w:rsidRPr="00B300D6" w:rsidRDefault="00AF7AF3" w:rsidP="00B300D6">
      <w:pPr>
        <w:spacing w:after="0" w:line="360" w:lineRule="auto"/>
        <w:jc w:val="both"/>
        <w:rPr>
          <w:rFonts w:ascii="Times New Roman" w:eastAsia="Times New Roman" w:hAnsi="Times New Roman" w:cs="Times New Roman"/>
          <w:sz w:val="24"/>
          <w:szCs w:val="24"/>
        </w:rPr>
      </w:pPr>
      <w:r w:rsidRPr="00B300D6">
        <w:rPr>
          <w:rFonts w:ascii="Times New Roman" w:eastAsia="Times New Roman" w:hAnsi="Times New Roman" w:cs="Times New Roman"/>
          <w:color w:val="000000"/>
          <w:sz w:val="24"/>
          <w:szCs w:val="24"/>
        </w:rPr>
        <w:t xml:space="preserve">The comparison between ethnocentric, polycentric, and geocentric strategies created ideas of benefits and challenges of implementing each strategy. Maintaining a better expansion process in the host country, the company is currently engaged in a geocentric strategy to hire suitable people from international regions to serve global customers. The strategic decision-making of Toyota is improved due to acquiring the best talents from global regions. The company's market expansion from its establishment was based on ethnocentric. However, globalisation changed the approach to internationalisation of the company. </w:t>
      </w:r>
    </w:p>
    <w:p w14:paraId="7F596A05" w14:textId="77777777" w:rsidR="00B300D6" w:rsidRPr="00B300D6" w:rsidRDefault="00AF7AF3" w:rsidP="00B300D6">
      <w:pPr>
        <w:spacing w:after="0" w:line="360" w:lineRule="auto"/>
        <w:jc w:val="both"/>
        <w:rPr>
          <w:rFonts w:ascii="Times New Roman" w:eastAsia="Times New Roman" w:hAnsi="Times New Roman" w:cs="Times New Roman"/>
          <w:sz w:val="24"/>
          <w:szCs w:val="24"/>
        </w:rPr>
      </w:pPr>
      <w:r w:rsidRPr="00B300D6">
        <w:rPr>
          <w:rFonts w:ascii="Times New Roman" w:eastAsia="Times New Roman" w:hAnsi="Times New Roman" w:cs="Times New Roman"/>
          <w:color w:val="000000"/>
          <w:sz w:val="24"/>
          <w:szCs w:val="24"/>
        </w:rPr>
        <w:t xml:space="preserve">The impact of external environmental factors controls Toyota's performance in the market. The economic, technological, and political environment may foster the company's growth in the international markets. Social factors also influence Toyota's expansion within the host country. Customer needs and the changing market environment increased challenges for Toyota to maintain cultural alliances during global expansion. Discussion of the company's geocentric approach in the internationalisation process also showed opportunities to maintain an effective decision-making process. By shaping the strategy of internationalisation within the market, the company has increased its brand presence on the global platform. Toyota needs to improve its practices of sustainability to avoid challenges in the future. The company's strategy of managing international expansion may help it to increase profitability and growth in the future. </w:t>
      </w:r>
    </w:p>
    <w:p w14:paraId="24454BD6" w14:textId="77777777" w:rsidR="006A1B14" w:rsidRPr="00B300D6" w:rsidRDefault="00AF7AF3" w:rsidP="00B300D6">
      <w:pPr>
        <w:spacing w:after="0" w:line="360" w:lineRule="auto"/>
        <w:jc w:val="both"/>
        <w:rPr>
          <w:rFonts w:ascii="Times New Roman" w:eastAsia="Times New Roman" w:hAnsi="Times New Roman" w:cs="Times New Roman"/>
          <w:sz w:val="24"/>
          <w:szCs w:val="24"/>
        </w:rPr>
      </w:pPr>
      <w:r w:rsidRPr="00B300D6">
        <w:rPr>
          <w:rFonts w:ascii="Times New Roman" w:hAnsi="Times New Roman" w:cs="Times New Roman"/>
          <w:b/>
          <w:color w:val="222222"/>
          <w:sz w:val="24"/>
          <w:szCs w:val="24"/>
          <w:shd w:val="clear" w:color="auto" w:fill="FFFFFF"/>
        </w:rPr>
        <w:br w:type="page"/>
      </w:r>
    </w:p>
    <w:p w14:paraId="117B1AB3" w14:textId="77777777" w:rsidR="006A1B14" w:rsidRPr="006A1B14" w:rsidRDefault="00AF7AF3" w:rsidP="00BA3211">
      <w:pPr>
        <w:pStyle w:val="Heading1"/>
        <w:rPr>
          <w:shd w:val="clear" w:color="auto" w:fill="FFFFFF"/>
        </w:rPr>
      </w:pPr>
      <w:bookmarkStart w:id="9" w:name="_Toc150029505"/>
      <w:r w:rsidRPr="006A1B14">
        <w:rPr>
          <w:shd w:val="clear" w:color="auto" w:fill="FFFFFF"/>
        </w:rPr>
        <w:lastRenderedPageBreak/>
        <w:t>References</w:t>
      </w:r>
      <w:bookmarkEnd w:id="9"/>
    </w:p>
    <w:p w14:paraId="3190598F" w14:textId="77777777" w:rsidR="00F436D7" w:rsidRPr="00301FA6" w:rsidRDefault="00F436D7" w:rsidP="00CE78D3">
      <w:pPr>
        <w:spacing w:before="240" w:after="240" w:line="360" w:lineRule="auto"/>
        <w:jc w:val="both"/>
        <w:rPr>
          <w:rFonts w:ascii="Times New Roman" w:eastAsia="Times New Roman" w:hAnsi="Times New Roman" w:cs="Times New Roman"/>
          <w:sz w:val="24"/>
          <w:szCs w:val="24"/>
        </w:rPr>
      </w:pPr>
      <w:proofErr w:type="spellStart"/>
      <w:r w:rsidRPr="00301FA6">
        <w:rPr>
          <w:rFonts w:ascii="Times New Roman" w:eastAsia="Times New Roman" w:hAnsi="Times New Roman" w:cs="Times New Roman"/>
          <w:color w:val="222222"/>
          <w:sz w:val="24"/>
          <w:szCs w:val="24"/>
          <w:shd w:val="clear" w:color="auto" w:fill="FFFFFF"/>
        </w:rPr>
        <w:t>Annushkina</w:t>
      </w:r>
      <w:proofErr w:type="spellEnd"/>
      <w:r w:rsidRPr="00301FA6">
        <w:rPr>
          <w:rFonts w:ascii="Times New Roman" w:eastAsia="Times New Roman" w:hAnsi="Times New Roman" w:cs="Times New Roman"/>
          <w:color w:val="222222"/>
          <w:sz w:val="24"/>
          <w:szCs w:val="24"/>
          <w:shd w:val="clear" w:color="auto" w:fill="FFFFFF"/>
        </w:rPr>
        <w:t xml:space="preserve">, O.E., </w:t>
      </w:r>
      <w:proofErr w:type="spellStart"/>
      <w:r w:rsidRPr="00301FA6">
        <w:rPr>
          <w:rFonts w:ascii="Times New Roman" w:eastAsia="Times New Roman" w:hAnsi="Times New Roman" w:cs="Times New Roman"/>
          <w:color w:val="222222"/>
          <w:sz w:val="24"/>
          <w:szCs w:val="24"/>
          <w:shd w:val="clear" w:color="auto" w:fill="FFFFFF"/>
        </w:rPr>
        <w:t>Regazzo</w:t>
      </w:r>
      <w:proofErr w:type="spellEnd"/>
      <w:r w:rsidRPr="00301FA6">
        <w:rPr>
          <w:rFonts w:ascii="Times New Roman" w:eastAsia="Times New Roman" w:hAnsi="Times New Roman" w:cs="Times New Roman"/>
          <w:color w:val="222222"/>
          <w:sz w:val="24"/>
          <w:szCs w:val="24"/>
          <w:shd w:val="clear" w:color="auto" w:fill="FFFFFF"/>
        </w:rPr>
        <w:t xml:space="preserve">, A., Annushkina, O.E. and Regazzo, A., 2020. Implementing Internationalisation Strategy: The People Question. </w:t>
      </w:r>
      <w:r w:rsidRPr="00301FA6">
        <w:rPr>
          <w:rFonts w:ascii="Times New Roman" w:eastAsia="Times New Roman" w:hAnsi="Times New Roman" w:cs="Times New Roman"/>
          <w:i/>
          <w:iCs/>
          <w:color w:val="222222"/>
          <w:sz w:val="24"/>
          <w:szCs w:val="24"/>
          <w:shd w:val="clear" w:color="auto" w:fill="FFFFFF"/>
        </w:rPr>
        <w:t>The Art of Going Global: A Practical Guide to a Firm's International Growth</w:t>
      </w:r>
      <w:r w:rsidRPr="00301FA6">
        <w:rPr>
          <w:rFonts w:ascii="Times New Roman" w:eastAsia="Times New Roman" w:hAnsi="Times New Roman" w:cs="Times New Roman"/>
          <w:color w:val="222222"/>
          <w:sz w:val="24"/>
          <w:szCs w:val="24"/>
          <w:shd w:val="clear" w:color="auto" w:fill="FFFFFF"/>
        </w:rPr>
        <w:t>, pp.155-180.</w:t>
      </w:r>
    </w:p>
    <w:p w14:paraId="09C87EE5" w14:textId="77777777" w:rsidR="00F436D7" w:rsidRPr="00301FA6" w:rsidRDefault="00F436D7" w:rsidP="00CE78D3">
      <w:pPr>
        <w:spacing w:before="240" w:after="240" w:line="360" w:lineRule="auto"/>
        <w:jc w:val="both"/>
        <w:rPr>
          <w:rFonts w:ascii="Times New Roman" w:eastAsia="Times New Roman" w:hAnsi="Times New Roman" w:cs="Times New Roman"/>
          <w:sz w:val="24"/>
          <w:szCs w:val="24"/>
        </w:rPr>
      </w:pPr>
      <w:r w:rsidRPr="00301FA6">
        <w:rPr>
          <w:rFonts w:ascii="Times New Roman" w:eastAsia="Times New Roman" w:hAnsi="Times New Roman" w:cs="Times New Roman"/>
          <w:color w:val="222222"/>
          <w:sz w:val="24"/>
          <w:szCs w:val="24"/>
          <w:shd w:val="clear" w:color="auto" w:fill="FFFFFF"/>
        </w:rPr>
        <w:t xml:space="preserve">Armawan, I., 2021. The Influence of Brand Image, Service Quality and Perceived Value on Brand Loyalty And Brand Equity Toyota Avanza. </w:t>
      </w:r>
      <w:r w:rsidRPr="00301FA6">
        <w:rPr>
          <w:rFonts w:ascii="Times New Roman" w:eastAsia="Times New Roman" w:hAnsi="Times New Roman" w:cs="Times New Roman"/>
          <w:i/>
          <w:iCs/>
          <w:color w:val="222222"/>
          <w:sz w:val="24"/>
          <w:szCs w:val="24"/>
          <w:shd w:val="clear" w:color="auto" w:fill="FFFFFF"/>
        </w:rPr>
        <w:t>Jurnal Indonesia Sosial Teknologi</w:t>
      </w:r>
      <w:r w:rsidRPr="00301FA6">
        <w:rPr>
          <w:rFonts w:ascii="Times New Roman" w:eastAsia="Times New Roman" w:hAnsi="Times New Roman" w:cs="Times New Roman"/>
          <w:color w:val="222222"/>
          <w:sz w:val="24"/>
          <w:szCs w:val="24"/>
          <w:shd w:val="clear" w:color="auto" w:fill="FFFFFF"/>
        </w:rPr>
        <w:t xml:space="preserve">, </w:t>
      </w:r>
      <w:r w:rsidRPr="00301FA6">
        <w:rPr>
          <w:rFonts w:ascii="Times New Roman" w:eastAsia="Times New Roman" w:hAnsi="Times New Roman" w:cs="Times New Roman"/>
          <w:i/>
          <w:iCs/>
          <w:color w:val="222222"/>
          <w:sz w:val="24"/>
          <w:szCs w:val="24"/>
          <w:shd w:val="clear" w:color="auto" w:fill="FFFFFF"/>
        </w:rPr>
        <w:t>2</w:t>
      </w:r>
      <w:r w:rsidRPr="00301FA6">
        <w:rPr>
          <w:rFonts w:ascii="Times New Roman" w:eastAsia="Times New Roman" w:hAnsi="Times New Roman" w:cs="Times New Roman"/>
          <w:color w:val="222222"/>
          <w:sz w:val="24"/>
          <w:szCs w:val="24"/>
          <w:shd w:val="clear" w:color="auto" w:fill="FFFFFF"/>
        </w:rPr>
        <w:t>(05), pp.828-842.</w:t>
      </w:r>
    </w:p>
    <w:p w14:paraId="6BB8D6A7" w14:textId="77777777" w:rsidR="00F436D7" w:rsidRPr="00301FA6" w:rsidRDefault="00F436D7" w:rsidP="00B300D6">
      <w:pPr>
        <w:pStyle w:val="NormalWeb"/>
        <w:spacing w:before="0" w:beforeAutospacing="0" w:after="0" w:afterAutospacing="0" w:line="360" w:lineRule="auto"/>
        <w:jc w:val="both"/>
      </w:pPr>
      <w:r w:rsidRPr="00301FA6">
        <w:rPr>
          <w:color w:val="222222"/>
          <w:shd w:val="clear" w:color="auto" w:fill="FFFFFF"/>
        </w:rPr>
        <w:t xml:space="preserve">Babu B, M. and Aithal, P.S., 2023. The Scope of Sustainability in an Orientation-based Approach to Penetration of Foreign Markets. </w:t>
      </w:r>
      <w:r w:rsidRPr="00301FA6">
        <w:rPr>
          <w:i/>
          <w:iCs/>
          <w:color w:val="222222"/>
          <w:shd w:val="clear" w:color="auto" w:fill="FFFFFF"/>
        </w:rPr>
        <w:t>International Journal of Management, Technology, and Social Sciences (IJMTS)</w:t>
      </w:r>
      <w:r w:rsidRPr="00301FA6">
        <w:rPr>
          <w:color w:val="222222"/>
          <w:shd w:val="clear" w:color="auto" w:fill="FFFFFF"/>
        </w:rPr>
        <w:t xml:space="preserve">, </w:t>
      </w:r>
      <w:r w:rsidRPr="00301FA6">
        <w:rPr>
          <w:i/>
          <w:iCs/>
          <w:color w:val="222222"/>
          <w:shd w:val="clear" w:color="auto" w:fill="FFFFFF"/>
        </w:rPr>
        <w:t>8</w:t>
      </w:r>
      <w:r w:rsidRPr="00301FA6">
        <w:rPr>
          <w:color w:val="222222"/>
          <w:shd w:val="clear" w:color="auto" w:fill="FFFFFF"/>
        </w:rPr>
        <w:t>(3), pp.175-183.</w:t>
      </w:r>
    </w:p>
    <w:p w14:paraId="2D0FBF1A" w14:textId="77777777" w:rsidR="00F436D7" w:rsidRPr="00301FA6" w:rsidRDefault="00F436D7" w:rsidP="00CE78D3">
      <w:pPr>
        <w:spacing w:before="240" w:after="240" w:line="360" w:lineRule="auto"/>
        <w:jc w:val="both"/>
        <w:rPr>
          <w:rFonts w:ascii="Times New Roman" w:hAnsi="Times New Roman" w:cs="Times New Roman"/>
          <w:sz w:val="24"/>
          <w:szCs w:val="24"/>
        </w:rPr>
      </w:pPr>
      <w:proofErr w:type="spellStart"/>
      <w:r w:rsidRPr="00301FA6">
        <w:rPr>
          <w:rFonts w:ascii="Times New Roman" w:hAnsi="Times New Roman" w:cs="Times New Roman"/>
          <w:sz w:val="24"/>
          <w:szCs w:val="24"/>
        </w:rPr>
        <w:t>Batheories</w:t>
      </w:r>
      <w:proofErr w:type="spellEnd"/>
      <w:r w:rsidRPr="00301FA6">
        <w:rPr>
          <w:rFonts w:ascii="Times New Roman" w:hAnsi="Times New Roman" w:cs="Times New Roman"/>
          <w:sz w:val="24"/>
          <w:szCs w:val="24"/>
        </w:rPr>
        <w:t xml:space="preserve">.  2023. [online] Batheories. Available at: &lt;https://www.batheories.com/wp-content/uploads/global-marketing-strategy.png&gt; [Accessed 28 Oct. 2023]. </w:t>
      </w:r>
    </w:p>
    <w:p w14:paraId="50231ACA" w14:textId="77777777" w:rsidR="00F436D7" w:rsidRPr="00301FA6" w:rsidRDefault="00F436D7" w:rsidP="00CE78D3">
      <w:pPr>
        <w:spacing w:before="240" w:after="240" w:line="360" w:lineRule="auto"/>
        <w:jc w:val="both"/>
        <w:rPr>
          <w:rFonts w:ascii="Times New Roman" w:eastAsia="Times New Roman" w:hAnsi="Times New Roman" w:cs="Times New Roman"/>
          <w:sz w:val="24"/>
          <w:szCs w:val="24"/>
        </w:rPr>
      </w:pPr>
      <w:r w:rsidRPr="00301FA6">
        <w:rPr>
          <w:rFonts w:ascii="Times New Roman" w:eastAsia="Times New Roman" w:hAnsi="Times New Roman" w:cs="Times New Roman"/>
          <w:color w:val="000000"/>
          <w:sz w:val="24"/>
          <w:szCs w:val="24"/>
        </w:rPr>
        <w:t xml:space="preserve">Carlier, M., 2023. </w:t>
      </w:r>
      <w:r w:rsidRPr="00301FA6">
        <w:rPr>
          <w:rFonts w:ascii="Times New Roman" w:eastAsia="Times New Roman" w:hAnsi="Times New Roman" w:cs="Times New Roman"/>
          <w:i/>
          <w:iCs/>
          <w:color w:val="000000"/>
          <w:sz w:val="24"/>
          <w:szCs w:val="24"/>
        </w:rPr>
        <w:t>Toyota number of employees</w:t>
      </w:r>
      <w:r w:rsidRPr="00301FA6">
        <w:rPr>
          <w:rFonts w:ascii="Times New Roman" w:eastAsia="Times New Roman" w:hAnsi="Times New Roman" w:cs="Times New Roman"/>
          <w:color w:val="000000"/>
          <w:sz w:val="24"/>
          <w:szCs w:val="24"/>
        </w:rPr>
        <w:t>. [online] Statista. Available at: &lt;https://www.statista.com/statistics/294192/number-of-toyota-employees/&gt; [Accessed 28 Oct. 2023]. </w:t>
      </w:r>
    </w:p>
    <w:p w14:paraId="6DC7A91F" w14:textId="77777777" w:rsidR="00F436D7" w:rsidRPr="00301FA6" w:rsidRDefault="00F436D7" w:rsidP="006A1B14">
      <w:pPr>
        <w:pStyle w:val="NormalWeb"/>
        <w:spacing w:before="0" w:beforeAutospacing="0" w:after="0" w:afterAutospacing="0" w:line="360" w:lineRule="auto"/>
        <w:jc w:val="both"/>
      </w:pPr>
      <w:r w:rsidRPr="00301FA6">
        <w:rPr>
          <w:color w:val="222222"/>
          <w:shd w:val="clear" w:color="auto" w:fill="FFFFFF"/>
        </w:rPr>
        <w:t xml:space="preserve">Chan, C.S., 2022. Culture and identity. </w:t>
      </w:r>
      <w:r w:rsidRPr="00301FA6">
        <w:rPr>
          <w:i/>
          <w:iCs/>
          <w:color w:val="222222"/>
          <w:shd w:val="clear" w:color="auto" w:fill="FFFFFF"/>
        </w:rPr>
        <w:t>Hong Kong History: Themes in Global Perspective</w:t>
      </w:r>
      <w:r w:rsidRPr="00301FA6">
        <w:rPr>
          <w:color w:val="222222"/>
          <w:shd w:val="clear" w:color="auto" w:fill="FFFFFF"/>
        </w:rPr>
        <w:t>, pp.157-180.</w:t>
      </w:r>
    </w:p>
    <w:p w14:paraId="1FB00020" w14:textId="77777777" w:rsidR="00F436D7" w:rsidRPr="00301FA6" w:rsidRDefault="00F436D7" w:rsidP="00CE78D3">
      <w:pPr>
        <w:spacing w:before="240" w:after="240" w:line="360" w:lineRule="auto"/>
        <w:jc w:val="both"/>
        <w:rPr>
          <w:rFonts w:ascii="Times New Roman" w:eastAsia="Times New Roman" w:hAnsi="Times New Roman" w:cs="Times New Roman"/>
          <w:sz w:val="24"/>
          <w:szCs w:val="24"/>
        </w:rPr>
      </w:pPr>
      <w:r w:rsidRPr="00301FA6">
        <w:rPr>
          <w:rFonts w:ascii="Times New Roman" w:eastAsia="Times New Roman" w:hAnsi="Times New Roman" w:cs="Times New Roman"/>
          <w:color w:val="222222"/>
          <w:sz w:val="24"/>
          <w:szCs w:val="24"/>
          <w:shd w:val="clear" w:color="auto" w:fill="FFFFFF"/>
        </w:rPr>
        <w:t xml:space="preserve">Collinson, S., Narula, R., Qamar, A. and Rugman, A.M., 2020. </w:t>
      </w:r>
      <w:r w:rsidRPr="00301FA6">
        <w:rPr>
          <w:rFonts w:ascii="Times New Roman" w:eastAsia="Times New Roman" w:hAnsi="Times New Roman" w:cs="Times New Roman"/>
          <w:i/>
          <w:iCs/>
          <w:color w:val="222222"/>
          <w:sz w:val="24"/>
          <w:szCs w:val="24"/>
          <w:shd w:val="clear" w:color="auto" w:fill="FFFFFF"/>
        </w:rPr>
        <w:t>International business</w:t>
      </w:r>
      <w:r w:rsidRPr="00301FA6">
        <w:rPr>
          <w:rFonts w:ascii="Times New Roman" w:eastAsia="Times New Roman" w:hAnsi="Times New Roman" w:cs="Times New Roman"/>
          <w:color w:val="222222"/>
          <w:sz w:val="24"/>
          <w:szCs w:val="24"/>
          <w:shd w:val="clear" w:color="auto" w:fill="FFFFFF"/>
        </w:rPr>
        <w:t>. Pearson UK.</w:t>
      </w:r>
    </w:p>
    <w:p w14:paraId="3E019AD3" w14:textId="77777777" w:rsidR="00F436D7" w:rsidRPr="00301FA6" w:rsidRDefault="00F436D7" w:rsidP="00CE78D3">
      <w:pPr>
        <w:spacing w:before="240" w:after="240" w:line="360" w:lineRule="auto"/>
        <w:jc w:val="both"/>
        <w:rPr>
          <w:rFonts w:ascii="Times New Roman" w:eastAsia="Times New Roman" w:hAnsi="Times New Roman" w:cs="Times New Roman"/>
          <w:sz w:val="24"/>
          <w:szCs w:val="24"/>
        </w:rPr>
      </w:pPr>
      <w:r w:rsidRPr="00301FA6">
        <w:rPr>
          <w:rFonts w:ascii="Times New Roman" w:eastAsia="Times New Roman" w:hAnsi="Times New Roman" w:cs="Times New Roman"/>
          <w:color w:val="222222"/>
          <w:sz w:val="24"/>
          <w:szCs w:val="24"/>
          <w:shd w:val="clear" w:color="auto" w:fill="FFFFFF"/>
        </w:rPr>
        <w:t xml:space="preserve">Daniels, J.D., Radebaugh, L.H. and Sullivan, D.P., 2022. </w:t>
      </w:r>
      <w:r w:rsidRPr="00301FA6">
        <w:rPr>
          <w:rFonts w:ascii="Times New Roman" w:eastAsia="Times New Roman" w:hAnsi="Times New Roman" w:cs="Times New Roman"/>
          <w:i/>
          <w:iCs/>
          <w:color w:val="222222"/>
          <w:sz w:val="24"/>
          <w:szCs w:val="24"/>
          <w:shd w:val="clear" w:color="auto" w:fill="FFFFFF"/>
        </w:rPr>
        <w:t>International business: Environments and operations</w:t>
      </w:r>
      <w:r w:rsidRPr="00301FA6">
        <w:rPr>
          <w:rFonts w:ascii="Times New Roman" w:eastAsia="Times New Roman" w:hAnsi="Times New Roman" w:cs="Times New Roman"/>
          <w:color w:val="222222"/>
          <w:sz w:val="24"/>
          <w:szCs w:val="24"/>
          <w:shd w:val="clear" w:color="auto" w:fill="FFFFFF"/>
        </w:rPr>
        <w:t>. Pearson.</w:t>
      </w:r>
    </w:p>
    <w:p w14:paraId="5E9D6A44" w14:textId="77777777" w:rsidR="00F436D7" w:rsidRPr="00301FA6" w:rsidRDefault="00F436D7" w:rsidP="00CE78D3">
      <w:pPr>
        <w:spacing w:before="240" w:after="240" w:line="360" w:lineRule="auto"/>
        <w:jc w:val="both"/>
        <w:rPr>
          <w:rFonts w:ascii="Times New Roman" w:hAnsi="Times New Roman" w:cs="Times New Roman"/>
          <w:sz w:val="24"/>
          <w:szCs w:val="24"/>
        </w:rPr>
      </w:pPr>
      <w:proofErr w:type="spellStart"/>
      <w:r w:rsidRPr="00301FA6">
        <w:rPr>
          <w:rFonts w:ascii="Times New Roman" w:hAnsi="Times New Roman" w:cs="Times New Roman"/>
          <w:sz w:val="24"/>
          <w:szCs w:val="24"/>
        </w:rPr>
        <w:t>Enterslice</w:t>
      </w:r>
      <w:proofErr w:type="spellEnd"/>
      <w:r w:rsidRPr="00301FA6">
        <w:rPr>
          <w:rFonts w:ascii="Times New Roman" w:hAnsi="Times New Roman" w:cs="Times New Roman"/>
          <w:sz w:val="24"/>
          <w:szCs w:val="24"/>
        </w:rPr>
        <w:t>. 2020. [online] Enterslice. Available at: &lt;https://enterslice.com/learning/wp-content/uploads/2020/05/Elements-of-Pestle-Analysis-1024x768.png&gt; [Accessed 28 Oct. 2023].</w:t>
      </w:r>
    </w:p>
    <w:p w14:paraId="580295D5" w14:textId="77777777" w:rsidR="00F436D7" w:rsidRPr="00301FA6" w:rsidRDefault="00F436D7" w:rsidP="00CE78D3">
      <w:pPr>
        <w:spacing w:before="240" w:after="240" w:line="360" w:lineRule="auto"/>
        <w:jc w:val="both"/>
        <w:rPr>
          <w:rFonts w:ascii="Times New Roman" w:eastAsia="Times New Roman" w:hAnsi="Times New Roman" w:cs="Times New Roman"/>
          <w:sz w:val="24"/>
          <w:szCs w:val="24"/>
        </w:rPr>
      </w:pPr>
      <w:proofErr w:type="spellStart"/>
      <w:r w:rsidRPr="00301FA6">
        <w:rPr>
          <w:rFonts w:ascii="Times New Roman" w:eastAsia="Times New Roman" w:hAnsi="Times New Roman" w:cs="Times New Roman"/>
          <w:color w:val="222222"/>
          <w:sz w:val="24"/>
          <w:szCs w:val="24"/>
          <w:shd w:val="clear" w:color="auto" w:fill="FFFFFF"/>
        </w:rPr>
        <w:t>Falahat</w:t>
      </w:r>
      <w:proofErr w:type="spellEnd"/>
      <w:r w:rsidRPr="00301FA6">
        <w:rPr>
          <w:rFonts w:ascii="Times New Roman" w:eastAsia="Times New Roman" w:hAnsi="Times New Roman" w:cs="Times New Roman"/>
          <w:color w:val="222222"/>
          <w:sz w:val="24"/>
          <w:szCs w:val="24"/>
          <w:shd w:val="clear" w:color="auto" w:fill="FFFFFF"/>
        </w:rPr>
        <w:t xml:space="preserve">, M., Ramayah, T., Soto-Acosta, P. and Lee, Y.Y., 2020. SMEs internationalisation: The role of product innovation, market intelligence, pricing and marketing communication capabilities </w:t>
      </w:r>
      <w:r w:rsidRPr="00301FA6">
        <w:rPr>
          <w:rFonts w:ascii="Times New Roman" w:eastAsia="Times New Roman" w:hAnsi="Times New Roman" w:cs="Times New Roman"/>
          <w:color w:val="222222"/>
          <w:sz w:val="24"/>
          <w:szCs w:val="24"/>
          <w:shd w:val="clear" w:color="auto" w:fill="FFFFFF"/>
        </w:rPr>
        <w:lastRenderedPageBreak/>
        <w:t xml:space="preserve">as drivers of SMEs' international performance. </w:t>
      </w:r>
      <w:r w:rsidRPr="00301FA6">
        <w:rPr>
          <w:rFonts w:ascii="Times New Roman" w:eastAsia="Times New Roman" w:hAnsi="Times New Roman" w:cs="Times New Roman"/>
          <w:i/>
          <w:iCs/>
          <w:color w:val="222222"/>
          <w:sz w:val="24"/>
          <w:szCs w:val="24"/>
          <w:shd w:val="clear" w:color="auto" w:fill="FFFFFF"/>
        </w:rPr>
        <w:t>Technological forecasting and social change</w:t>
      </w:r>
      <w:r w:rsidRPr="00301FA6">
        <w:rPr>
          <w:rFonts w:ascii="Times New Roman" w:eastAsia="Times New Roman" w:hAnsi="Times New Roman" w:cs="Times New Roman"/>
          <w:color w:val="222222"/>
          <w:sz w:val="24"/>
          <w:szCs w:val="24"/>
          <w:shd w:val="clear" w:color="auto" w:fill="FFFFFF"/>
        </w:rPr>
        <w:t xml:space="preserve">, </w:t>
      </w:r>
      <w:r w:rsidRPr="00301FA6">
        <w:rPr>
          <w:rFonts w:ascii="Times New Roman" w:eastAsia="Times New Roman" w:hAnsi="Times New Roman" w:cs="Times New Roman"/>
          <w:i/>
          <w:iCs/>
          <w:color w:val="222222"/>
          <w:sz w:val="24"/>
          <w:szCs w:val="24"/>
          <w:shd w:val="clear" w:color="auto" w:fill="FFFFFF"/>
        </w:rPr>
        <w:t>152</w:t>
      </w:r>
      <w:r w:rsidRPr="00301FA6">
        <w:rPr>
          <w:rFonts w:ascii="Times New Roman" w:eastAsia="Times New Roman" w:hAnsi="Times New Roman" w:cs="Times New Roman"/>
          <w:color w:val="222222"/>
          <w:sz w:val="24"/>
          <w:szCs w:val="24"/>
          <w:shd w:val="clear" w:color="auto" w:fill="FFFFFF"/>
        </w:rPr>
        <w:t>, p.119908.</w:t>
      </w:r>
    </w:p>
    <w:p w14:paraId="763AF221" w14:textId="77777777" w:rsidR="00F436D7" w:rsidRPr="00301FA6" w:rsidRDefault="00F436D7" w:rsidP="00CE78D3">
      <w:pPr>
        <w:spacing w:before="240" w:after="240" w:line="360" w:lineRule="auto"/>
        <w:jc w:val="both"/>
        <w:rPr>
          <w:rFonts w:ascii="Times New Roman" w:eastAsia="Times New Roman" w:hAnsi="Times New Roman" w:cs="Times New Roman"/>
          <w:sz w:val="24"/>
          <w:szCs w:val="24"/>
        </w:rPr>
      </w:pPr>
      <w:r w:rsidRPr="00301FA6">
        <w:rPr>
          <w:rFonts w:ascii="Times New Roman" w:eastAsia="Times New Roman" w:hAnsi="Times New Roman" w:cs="Times New Roman"/>
          <w:color w:val="222222"/>
          <w:sz w:val="24"/>
          <w:szCs w:val="24"/>
          <w:shd w:val="clear" w:color="auto" w:fill="FFFFFF"/>
        </w:rPr>
        <w:t xml:space="preserve">Garrido, I., Vasconcellos, S., Faccin, K., Monticelli, J.M. and Carpenedo, C., 2021. The moderating role of polycentric institutions in the relationship between effectuation/causation logics and corporate entrepreneur's decision‐making processes. </w:t>
      </w:r>
      <w:r w:rsidRPr="00301FA6">
        <w:rPr>
          <w:rFonts w:ascii="Times New Roman" w:eastAsia="Times New Roman" w:hAnsi="Times New Roman" w:cs="Times New Roman"/>
          <w:i/>
          <w:iCs/>
          <w:color w:val="222222"/>
          <w:sz w:val="24"/>
          <w:szCs w:val="24"/>
          <w:shd w:val="clear" w:color="auto" w:fill="FFFFFF"/>
        </w:rPr>
        <w:t>Global Strategy Journal</w:t>
      </w:r>
      <w:r w:rsidRPr="00301FA6">
        <w:rPr>
          <w:rFonts w:ascii="Times New Roman" w:eastAsia="Times New Roman" w:hAnsi="Times New Roman" w:cs="Times New Roman"/>
          <w:color w:val="222222"/>
          <w:sz w:val="24"/>
          <w:szCs w:val="24"/>
          <w:shd w:val="clear" w:color="auto" w:fill="FFFFFF"/>
        </w:rPr>
        <w:t xml:space="preserve">, </w:t>
      </w:r>
      <w:r w:rsidRPr="00301FA6">
        <w:rPr>
          <w:rFonts w:ascii="Times New Roman" w:eastAsia="Times New Roman" w:hAnsi="Times New Roman" w:cs="Times New Roman"/>
          <w:i/>
          <w:iCs/>
          <w:color w:val="222222"/>
          <w:sz w:val="24"/>
          <w:szCs w:val="24"/>
          <w:shd w:val="clear" w:color="auto" w:fill="FFFFFF"/>
        </w:rPr>
        <w:t>11</w:t>
      </w:r>
      <w:r w:rsidRPr="00301FA6">
        <w:rPr>
          <w:rFonts w:ascii="Times New Roman" w:eastAsia="Times New Roman" w:hAnsi="Times New Roman" w:cs="Times New Roman"/>
          <w:color w:val="222222"/>
          <w:sz w:val="24"/>
          <w:szCs w:val="24"/>
          <w:shd w:val="clear" w:color="auto" w:fill="FFFFFF"/>
        </w:rPr>
        <w:t>(4), pp.740-766.</w:t>
      </w:r>
    </w:p>
    <w:p w14:paraId="4E67CF74" w14:textId="77777777" w:rsidR="00F436D7" w:rsidRPr="00301FA6" w:rsidRDefault="00F436D7" w:rsidP="006A1B14">
      <w:pPr>
        <w:pStyle w:val="NormalWeb"/>
        <w:spacing w:before="0" w:beforeAutospacing="0" w:after="0" w:afterAutospacing="0" w:line="360" w:lineRule="auto"/>
        <w:jc w:val="both"/>
      </w:pPr>
      <w:proofErr w:type="spellStart"/>
      <w:r w:rsidRPr="00301FA6">
        <w:rPr>
          <w:color w:val="222222"/>
          <w:shd w:val="clear" w:color="auto" w:fill="FFFFFF"/>
        </w:rPr>
        <w:t>GlobalData</w:t>
      </w:r>
      <w:proofErr w:type="spellEnd"/>
      <w:r w:rsidRPr="00301FA6">
        <w:rPr>
          <w:color w:val="222222"/>
          <w:shd w:val="clear" w:color="auto" w:fill="FFFFFF"/>
        </w:rPr>
        <w:t xml:space="preserve">. 2023. </w:t>
      </w:r>
      <w:r w:rsidRPr="00301FA6">
        <w:rPr>
          <w:i/>
          <w:iCs/>
          <w:color w:val="222222"/>
          <w:shd w:val="clear" w:color="auto" w:fill="FFFFFF"/>
        </w:rPr>
        <w:t>Japan ICT market size and forecast (by it solution area, size band and vertical) to 2027</w:t>
      </w:r>
      <w:r w:rsidRPr="00301FA6">
        <w:rPr>
          <w:color w:val="222222"/>
          <w:shd w:val="clear" w:color="auto" w:fill="FFFFFF"/>
        </w:rPr>
        <w:t>. [online] Market Research Reports &amp; Consulting | GlobalData UK Ltd. Available at: &lt;https://www.globaldata.com/store/report/japan-ict-market-analysis/#:~:text=The%20Japan%20ICT%20market%20was,billion%20between%202022%20to%202027.&gt; [Accessed 27 Oct. 2023]. </w:t>
      </w:r>
    </w:p>
    <w:p w14:paraId="7F8E6B88" w14:textId="77777777" w:rsidR="00F436D7" w:rsidRPr="00301FA6" w:rsidRDefault="00F436D7" w:rsidP="00CE78D3">
      <w:pPr>
        <w:spacing w:before="240" w:after="240" w:line="360" w:lineRule="auto"/>
        <w:jc w:val="both"/>
        <w:rPr>
          <w:rFonts w:ascii="Times New Roman" w:eastAsia="Times New Roman" w:hAnsi="Times New Roman" w:cs="Times New Roman"/>
          <w:sz w:val="24"/>
          <w:szCs w:val="24"/>
        </w:rPr>
      </w:pPr>
      <w:proofErr w:type="spellStart"/>
      <w:r w:rsidRPr="00301FA6">
        <w:rPr>
          <w:rFonts w:ascii="Times New Roman" w:eastAsia="Times New Roman" w:hAnsi="Times New Roman" w:cs="Times New Roman"/>
          <w:color w:val="222222"/>
          <w:sz w:val="24"/>
          <w:szCs w:val="24"/>
          <w:shd w:val="clear" w:color="auto" w:fill="FFFFFF"/>
        </w:rPr>
        <w:t>Głodowska</w:t>
      </w:r>
      <w:proofErr w:type="spellEnd"/>
      <w:r w:rsidRPr="00301FA6">
        <w:rPr>
          <w:rFonts w:ascii="Times New Roman" w:eastAsia="Times New Roman" w:hAnsi="Times New Roman" w:cs="Times New Roman"/>
          <w:color w:val="222222"/>
          <w:sz w:val="24"/>
          <w:szCs w:val="24"/>
          <w:shd w:val="clear" w:color="auto" w:fill="FFFFFF"/>
        </w:rPr>
        <w:t xml:space="preserve">, A., Pera, B. and Wach, K., 2019. International strategy as the facilitator of the speed, scope, and scale of firms' internationalisation. </w:t>
      </w:r>
      <w:r w:rsidRPr="00301FA6">
        <w:rPr>
          <w:rFonts w:ascii="Times New Roman" w:eastAsia="Times New Roman" w:hAnsi="Times New Roman" w:cs="Times New Roman"/>
          <w:i/>
          <w:iCs/>
          <w:color w:val="222222"/>
          <w:sz w:val="24"/>
          <w:szCs w:val="24"/>
          <w:shd w:val="clear" w:color="auto" w:fill="FFFFFF"/>
        </w:rPr>
        <w:t>Central European Management Journal</w:t>
      </w:r>
      <w:r w:rsidRPr="00301FA6">
        <w:rPr>
          <w:rFonts w:ascii="Times New Roman" w:eastAsia="Times New Roman" w:hAnsi="Times New Roman" w:cs="Times New Roman"/>
          <w:color w:val="222222"/>
          <w:sz w:val="24"/>
          <w:szCs w:val="24"/>
          <w:shd w:val="clear" w:color="auto" w:fill="FFFFFF"/>
        </w:rPr>
        <w:t xml:space="preserve">, </w:t>
      </w:r>
      <w:r w:rsidRPr="00301FA6">
        <w:rPr>
          <w:rFonts w:ascii="Times New Roman" w:eastAsia="Times New Roman" w:hAnsi="Times New Roman" w:cs="Times New Roman"/>
          <w:i/>
          <w:iCs/>
          <w:color w:val="222222"/>
          <w:sz w:val="24"/>
          <w:szCs w:val="24"/>
          <w:shd w:val="clear" w:color="auto" w:fill="FFFFFF"/>
        </w:rPr>
        <w:t>27</w:t>
      </w:r>
      <w:r w:rsidRPr="00301FA6">
        <w:rPr>
          <w:rFonts w:ascii="Times New Roman" w:eastAsia="Times New Roman" w:hAnsi="Times New Roman" w:cs="Times New Roman"/>
          <w:color w:val="222222"/>
          <w:sz w:val="24"/>
          <w:szCs w:val="24"/>
          <w:shd w:val="clear" w:color="auto" w:fill="FFFFFF"/>
        </w:rPr>
        <w:t>, pp.55-84.</w:t>
      </w:r>
    </w:p>
    <w:p w14:paraId="15C02ACF" w14:textId="77777777" w:rsidR="00F436D7" w:rsidRPr="00301FA6" w:rsidRDefault="00F436D7" w:rsidP="006A1B14">
      <w:pPr>
        <w:pStyle w:val="NormalWeb"/>
        <w:spacing w:before="0" w:beforeAutospacing="0" w:after="0" w:afterAutospacing="0" w:line="360" w:lineRule="auto"/>
        <w:jc w:val="both"/>
      </w:pPr>
      <w:r w:rsidRPr="00301FA6">
        <w:rPr>
          <w:color w:val="222222"/>
          <w:shd w:val="clear" w:color="auto" w:fill="FFFFFF"/>
        </w:rPr>
        <w:t xml:space="preserve">Heritage. 2023. </w:t>
      </w:r>
      <w:r w:rsidRPr="00301FA6">
        <w:rPr>
          <w:i/>
          <w:iCs/>
          <w:color w:val="222222"/>
          <w:shd w:val="clear" w:color="auto" w:fill="FFFFFF"/>
        </w:rPr>
        <w:t>Japan</w:t>
      </w:r>
      <w:r w:rsidRPr="00301FA6">
        <w:rPr>
          <w:color w:val="222222"/>
          <w:shd w:val="clear" w:color="auto" w:fill="FFFFFF"/>
        </w:rPr>
        <w:t>. [online] Japan Economy: Population, Facts, GDP, Business, Trade, Unemployment. Available at: &lt;https://www.heritage.org/index/country/japan#:~:text=Japan’s%20economic%20freedom%20score%20is,the%20world%20and%20regional%20averages.&gt; [Accessed 27 Oct. 2023]. </w:t>
      </w:r>
    </w:p>
    <w:p w14:paraId="0836F7FB" w14:textId="77777777" w:rsidR="00F436D7" w:rsidRPr="00301FA6" w:rsidRDefault="00F436D7" w:rsidP="00CE78D3">
      <w:pPr>
        <w:spacing w:before="240" w:after="240" w:line="360" w:lineRule="auto"/>
        <w:jc w:val="both"/>
        <w:rPr>
          <w:rFonts w:ascii="Times New Roman" w:eastAsia="Times New Roman" w:hAnsi="Times New Roman" w:cs="Times New Roman"/>
          <w:sz w:val="24"/>
          <w:szCs w:val="24"/>
        </w:rPr>
      </w:pPr>
      <w:r w:rsidRPr="00301FA6">
        <w:rPr>
          <w:rFonts w:ascii="Times New Roman" w:eastAsia="Times New Roman" w:hAnsi="Times New Roman" w:cs="Times New Roman"/>
          <w:color w:val="222222"/>
          <w:sz w:val="24"/>
          <w:szCs w:val="24"/>
          <w:shd w:val="clear" w:color="auto" w:fill="FFFFFF"/>
        </w:rPr>
        <w:t xml:space="preserve">Hill, C., 2023. </w:t>
      </w:r>
      <w:r w:rsidRPr="00301FA6">
        <w:rPr>
          <w:rFonts w:ascii="Times New Roman" w:eastAsia="Times New Roman" w:hAnsi="Times New Roman" w:cs="Times New Roman"/>
          <w:i/>
          <w:iCs/>
          <w:color w:val="222222"/>
          <w:sz w:val="24"/>
          <w:szCs w:val="24"/>
          <w:shd w:val="clear" w:color="auto" w:fill="FFFFFF"/>
        </w:rPr>
        <w:t>Competing in the global marketplace.</w:t>
      </w:r>
      <w:r w:rsidRPr="00301FA6">
        <w:rPr>
          <w:rFonts w:ascii="Times New Roman" w:eastAsia="Times New Roman" w:hAnsi="Times New Roman" w:cs="Times New Roman"/>
          <w:color w:val="222222"/>
          <w:sz w:val="24"/>
          <w:szCs w:val="24"/>
          <w:shd w:val="clear" w:color="auto" w:fill="FFFFFF"/>
        </w:rPr>
        <w:t xml:space="preserve"> New York: McGraw-Hill.</w:t>
      </w:r>
    </w:p>
    <w:p w14:paraId="3FD4152D" w14:textId="77777777" w:rsidR="00F436D7" w:rsidRPr="00301FA6" w:rsidRDefault="00F436D7" w:rsidP="006A1B14">
      <w:pPr>
        <w:pStyle w:val="NormalWeb"/>
        <w:spacing w:before="0" w:beforeAutospacing="0" w:after="0" w:afterAutospacing="0" w:line="360" w:lineRule="auto"/>
        <w:jc w:val="both"/>
      </w:pPr>
      <w:r w:rsidRPr="00301FA6">
        <w:rPr>
          <w:color w:val="222222"/>
          <w:shd w:val="clear" w:color="auto" w:fill="FFFFFF"/>
        </w:rPr>
        <w:t xml:space="preserve">Klein, F., Puck, J. and Weiss, M., 2019. Macroenvironmental Dynamism and Firm Risk Management–An Exploratory Investigation. In </w:t>
      </w:r>
      <w:r w:rsidRPr="00301FA6">
        <w:rPr>
          <w:i/>
          <w:iCs/>
          <w:color w:val="222222"/>
          <w:shd w:val="clear" w:color="auto" w:fill="FFFFFF"/>
        </w:rPr>
        <w:t>International business in a VUCA world: The changing role of states and firms</w:t>
      </w:r>
      <w:r w:rsidRPr="00301FA6">
        <w:rPr>
          <w:color w:val="222222"/>
          <w:shd w:val="clear" w:color="auto" w:fill="FFFFFF"/>
        </w:rPr>
        <w:t xml:space="preserve"> (Vol. 14, pp. 173-197). Emerald Publishing Limited.</w:t>
      </w:r>
    </w:p>
    <w:p w14:paraId="463D33A4" w14:textId="77777777" w:rsidR="00F436D7" w:rsidRPr="00301FA6" w:rsidRDefault="00F436D7" w:rsidP="00CE78D3">
      <w:pPr>
        <w:spacing w:before="240" w:after="240" w:line="360" w:lineRule="auto"/>
        <w:jc w:val="both"/>
        <w:rPr>
          <w:rFonts w:ascii="Times New Roman" w:eastAsia="Times New Roman" w:hAnsi="Times New Roman" w:cs="Times New Roman"/>
          <w:sz w:val="24"/>
          <w:szCs w:val="24"/>
        </w:rPr>
      </w:pPr>
      <w:proofErr w:type="spellStart"/>
      <w:r w:rsidRPr="00301FA6">
        <w:rPr>
          <w:rFonts w:ascii="Times New Roman" w:eastAsia="Times New Roman" w:hAnsi="Times New Roman" w:cs="Times New Roman"/>
          <w:color w:val="000000"/>
          <w:sz w:val="24"/>
          <w:szCs w:val="24"/>
        </w:rPr>
        <w:t>Leussink</w:t>
      </w:r>
      <w:proofErr w:type="spellEnd"/>
      <w:r w:rsidRPr="00301FA6">
        <w:rPr>
          <w:rFonts w:ascii="Times New Roman" w:eastAsia="Times New Roman" w:hAnsi="Times New Roman" w:cs="Times New Roman"/>
          <w:color w:val="000000"/>
          <w:sz w:val="24"/>
          <w:szCs w:val="24"/>
        </w:rPr>
        <w:t xml:space="preserve">, D., 2023. </w:t>
      </w:r>
      <w:r w:rsidRPr="00301FA6">
        <w:rPr>
          <w:rFonts w:ascii="Times New Roman" w:eastAsia="Times New Roman" w:hAnsi="Times New Roman" w:cs="Times New Roman"/>
          <w:i/>
          <w:iCs/>
          <w:color w:val="000000"/>
          <w:sz w:val="24"/>
          <w:szCs w:val="24"/>
        </w:rPr>
        <w:t>Toyota to boost EV development and technology in China</w:t>
      </w:r>
      <w:r w:rsidRPr="00301FA6">
        <w:rPr>
          <w:rFonts w:ascii="Times New Roman" w:eastAsia="Times New Roman" w:hAnsi="Times New Roman" w:cs="Times New Roman"/>
          <w:color w:val="000000"/>
          <w:sz w:val="24"/>
          <w:szCs w:val="24"/>
        </w:rPr>
        <w:t>. [online] Reuters. Available at: &lt;https://www.reuters.com/business/autos-transportation/toyota-says-boost-ev-development-technology-china-2023-07-31/&gt; [Accessed 28 Oct. 2023]. </w:t>
      </w:r>
    </w:p>
    <w:p w14:paraId="34F301AE" w14:textId="77777777" w:rsidR="00F436D7" w:rsidRPr="00301FA6" w:rsidRDefault="00F436D7" w:rsidP="00B300D6">
      <w:pPr>
        <w:pStyle w:val="NormalWeb"/>
        <w:spacing w:before="0" w:beforeAutospacing="0" w:after="0" w:afterAutospacing="0" w:line="360" w:lineRule="auto"/>
        <w:jc w:val="both"/>
      </w:pPr>
      <w:r w:rsidRPr="00301FA6">
        <w:rPr>
          <w:color w:val="222222"/>
          <w:shd w:val="clear" w:color="auto" w:fill="FFFFFF"/>
        </w:rPr>
        <w:t xml:space="preserve">Nambisan, S., Zahra, S.A. and Luo, Y., 2019. Global platforms and ecosystems: Implications for international business theories. </w:t>
      </w:r>
      <w:r w:rsidRPr="00301FA6">
        <w:rPr>
          <w:i/>
          <w:iCs/>
          <w:color w:val="222222"/>
          <w:shd w:val="clear" w:color="auto" w:fill="FFFFFF"/>
        </w:rPr>
        <w:t>Journal of International Business Studies</w:t>
      </w:r>
      <w:r w:rsidRPr="00301FA6">
        <w:rPr>
          <w:color w:val="222222"/>
          <w:shd w:val="clear" w:color="auto" w:fill="FFFFFF"/>
        </w:rPr>
        <w:t xml:space="preserve">, </w:t>
      </w:r>
      <w:r w:rsidRPr="00301FA6">
        <w:rPr>
          <w:i/>
          <w:iCs/>
          <w:color w:val="222222"/>
          <w:shd w:val="clear" w:color="auto" w:fill="FFFFFF"/>
        </w:rPr>
        <w:t>50</w:t>
      </w:r>
      <w:r w:rsidRPr="00301FA6">
        <w:rPr>
          <w:color w:val="222222"/>
          <w:shd w:val="clear" w:color="auto" w:fill="FFFFFF"/>
        </w:rPr>
        <w:t>, pp.1464-1486.</w:t>
      </w:r>
    </w:p>
    <w:p w14:paraId="699447A6" w14:textId="77777777" w:rsidR="00F436D7" w:rsidRPr="00301FA6" w:rsidRDefault="00F436D7" w:rsidP="00CE78D3">
      <w:pPr>
        <w:spacing w:before="240" w:after="240" w:line="360" w:lineRule="auto"/>
        <w:jc w:val="both"/>
        <w:rPr>
          <w:rFonts w:ascii="Times New Roman" w:eastAsia="Times New Roman" w:hAnsi="Times New Roman" w:cs="Times New Roman"/>
          <w:sz w:val="24"/>
          <w:szCs w:val="24"/>
        </w:rPr>
      </w:pPr>
      <w:r w:rsidRPr="00301FA6">
        <w:rPr>
          <w:rFonts w:ascii="Times New Roman" w:eastAsia="Times New Roman" w:hAnsi="Times New Roman" w:cs="Times New Roman"/>
          <w:color w:val="222222"/>
          <w:sz w:val="24"/>
          <w:szCs w:val="24"/>
          <w:shd w:val="clear" w:color="auto" w:fill="FFFFFF"/>
        </w:rPr>
        <w:lastRenderedPageBreak/>
        <w:t xml:space="preserve">Paul, J. and Rosado-Serrano, A., 2019. Gradual internationalisation vs born-global/international new venture models: A review and research agenda. </w:t>
      </w:r>
      <w:r w:rsidRPr="00301FA6">
        <w:rPr>
          <w:rFonts w:ascii="Times New Roman" w:eastAsia="Times New Roman" w:hAnsi="Times New Roman" w:cs="Times New Roman"/>
          <w:i/>
          <w:iCs/>
          <w:color w:val="222222"/>
          <w:sz w:val="24"/>
          <w:szCs w:val="24"/>
          <w:shd w:val="clear" w:color="auto" w:fill="FFFFFF"/>
        </w:rPr>
        <w:t>International Marketing Review</w:t>
      </w:r>
      <w:r w:rsidRPr="00301FA6">
        <w:rPr>
          <w:rFonts w:ascii="Times New Roman" w:eastAsia="Times New Roman" w:hAnsi="Times New Roman" w:cs="Times New Roman"/>
          <w:color w:val="222222"/>
          <w:sz w:val="24"/>
          <w:szCs w:val="24"/>
          <w:shd w:val="clear" w:color="auto" w:fill="FFFFFF"/>
        </w:rPr>
        <w:t xml:space="preserve">, </w:t>
      </w:r>
      <w:r w:rsidRPr="00301FA6">
        <w:rPr>
          <w:rFonts w:ascii="Times New Roman" w:eastAsia="Times New Roman" w:hAnsi="Times New Roman" w:cs="Times New Roman"/>
          <w:i/>
          <w:iCs/>
          <w:color w:val="222222"/>
          <w:sz w:val="24"/>
          <w:szCs w:val="24"/>
          <w:shd w:val="clear" w:color="auto" w:fill="FFFFFF"/>
        </w:rPr>
        <w:t>36</w:t>
      </w:r>
      <w:r w:rsidRPr="00301FA6">
        <w:rPr>
          <w:rFonts w:ascii="Times New Roman" w:eastAsia="Times New Roman" w:hAnsi="Times New Roman" w:cs="Times New Roman"/>
          <w:color w:val="222222"/>
          <w:sz w:val="24"/>
          <w:szCs w:val="24"/>
          <w:shd w:val="clear" w:color="auto" w:fill="FFFFFF"/>
        </w:rPr>
        <w:t>(6), pp.830-858.</w:t>
      </w:r>
    </w:p>
    <w:p w14:paraId="788DAA88" w14:textId="77777777" w:rsidR="00F436D7" w:rsidRPr="00301FA6" w:rsidRDefault="00F436D7" w:rsidP="00CE78D3">
      <w:pPr>
        <w:spacing w:before="240" w:after="240" w:line="360" w:lineRule="auto"/>
        <w:jc w:val="both"/>
        <w:rPr>
          <w:rFonts w:ascii="Times New Roman" w:eastAsia="Times New Roman" w:hAnsi="Times New Roman" w:cs="Times New Roman"/>
          <w:sz w:val="24"/>
          <w:szCs w:val="24"/>
        </w:rPr>
      </w:pPr>
      <w:r w:rsidRPr="00301FA6">
        <w:rPr>
          <w:rFonts w:ascii="Times New Roman" w:eastAsia="Times New Roman" w:hAnsi="Times New Roman" w:cs="Times New Roman"/>
          <w:color w:val="222222"/>
          <w:sz w:val="24"/>
          <w:szCs w:val="24"/>
          <w:shd w:val="clear" w:color="auto" w:fill="FFFFFF"/>
        </w:rPr>
        <w:t xml:space="preserve">PR Newswire. 2019. </w:t>
      </w:r>
      <w:r w:rsidRPr="00301FA6">
        <w:rPr>
          <w:rFonts w:ascii="Times New Roman" w:eastAsia="Times New Roman" w:hAnsi="Times New Roman" w:cs="Times New Roman"/>
          <w:i/>
          <w:iCs/>
          <w:color w:val="222222"/>
          <w:sz w:val="24"/>
          <w:szCs w:val="24"/>
          <w:shd w:val="clear" w:color="auto" w:fill="FFFFFF"/>
        </w:rPr>
        <w:t>Top reasons why Toyota is a leading company for Diversity</w:t>
      </w:r>
      <w:r w:rsidRPr="00301FA6">
        <w:rPr>
          <w:rFonts w:ascii="Times New Roman" w:eastAsia="Times New Roman" w:hAnsi="Times New Roman" w:cs="Times New Roman"/>
          <w:color w:val="222222"/>
          <w:sz w:val="24"/>
          <w:szCs w:val="24"/>
          <w:shd w:val="clear" w:color="auto" w:fill="FFFFFF"/>
        </w:rPr>
        <w:t>. [online] PR Newswire: press release distribution, targeting, monitoring and marketing. Available at: &lt;https://www.prnewswire.com/news-releases/top-reasons-why-toyota-is-a-leading-company-for-diversity-300848140.html&gt; [Accessed 28 Oct. 2023]. </w:t>
      </w:r>
    </w:p>
    <w:p w14:paraId="6DD40D94" w14:textId="77777777" w:rsidR="00F436D7" w:rsidRPr="00301FA6" w:rsidRDefault="00F436D7" w:rsidP="00CE78D3">
      <w:pPr>
        <w:spacing w:before="240" w:after="240" w:line="360" w:lineRule="auto"/>
        <w:jc w:val="both"/>
        <w:rPr>
          <w:rFonts w:ascii="Times New Roman" w:eastAsia="Times New Roman" w:hAnsi="Times New Roman" w:cs="Times New Roman"/>
          <w:sz w:val="24"/>
          <w:szCs w:val="24"/>
        </w:rPr>
      </w:pPr>
      <w:r w:rsidRPr="00301FA6">
        <w:rPr>
          <w:rFonts w:ascii="Times New Roman" w:eastAsia="Times New Roman" w:hAnsi="Times New Roman" w:cs="Times New Roman"/>
          <w:color w:val="222222"/>
          <w:sz w:val="24"/>
          <w:szCs w:val="24"/>
          <w:shd w:val="clear" w:color="auto" w:fill="FFFFFF"/>
        </w:rPr>
        <w:t xml:space="preserve">Reim, W., Yli-Viitala, P., Arrasvuori, J. and Parida, V., 2022. Tackling business model challenges in SME internationalisation through digitalisation. </w:t>
      </w:r>
      <w:r w:rsidRPr="00301FA6">
        <w:rPr>
          <w:rFonts w:ascii="Times New Roman" w:eastAsia="Times New Roman" w:hAnsi="Times New Roman" w:cs="Times New Roman"/>
          <w:i/>
          <w:iCs/>
          <w:color w:val="222222"/>
          <w:sz w:val="24"/>
          <w:szCs w:val="24"/>
          <w:shd w:val="clear" w:color="auto" w:fill="FFFFFF"/>
        </w:rPr>
        <w:t>Journal of Innovation &amp; Knowledge</w:t>
      </w:r>
      <w:r w:rsidRPr="00301FA6">
        <w:rPr>
          <w:rFonts w:ascii="Times New Roman" w:eastAsia="Times New Roman" w:hAnsi="Times New Roman" w:cs="Times New Roman"/>
          <w:color w:val="222222"/>
          <w:sz w:val="24"/>
          <w:szCs w:val="24"/>
          <w:shd w:val="clear" w:color="auto" w:fill="FFFFFF"/>
        </w:rPr>
        <w:t xml:space="preserve">, </w:t>
      </w:r>
      <w:r w:rsidRPr="00301FA6">
        <w:rPr>
          <w:rFonts w:ascii="Times New Roman" w:eastAsia="Times New Roman" w:hAnsi="Times New Roman" w:cs="Times New Roman"/>
          <w:i/>
          <w:iCs/>
          <w:color w:val="222222"/>
          <w:sz w:val="24"/>
          <w:szCs w:val="24"/>
          <w:shd w:val="clear" w:color="auto" w:fill="FFFFFF"/>
        </w:rPr>
        <w:t>7</w:t>
      </w:r>
      <w:r w:rsidRPr="00301FA6">
        <w:rPr>
          <w:rFonts w:ascii="Times New Roman" w:eastAsia="Times New Roman" w:hAnsi="Times New Roman" w:cs="Times New Roman"/>
          <w:color w:val="222222"/>
          <w:sz w:val="24"/>
          <w:szCs w:val="24"/>
          <w:shd w:val="clear" w:color="auto" w:fill="FFFFFF"/>
        </w:rPr>
        <w:t>(3), p.100199.</w:t>
      </w:r>
    </w:p>
    <w:p w14:paraId="7B19CF70" w14:textId="77777777" w:rsidR="00F436D7" w:rsidRPr="00301FA6" w:rsidRDefault="00F436D7" w:rsidP="00CE78D3">
      <w:pPr>
        <w:spacing w:before="240" w:after="240" w:line="360" w:lineRule="auto"/>
        <w:jc w:val="both"/>
        <w:rPr>
          <w:rFonts w:ascii="Times New Roman" w:eastAsia="Times New Roman" w:hAnsi="Times New Roman" w:cs="Times New Roman"/>
          <w:color w:val="222222"/>
          <w:sz w:val="24"/>
          <w:szCs w:val="24"/>
          <w:shd w:val="clear" w:color="auto" w:fill="FFFFFF"/>
        </w:rPr>
      </w:pPr>
      <w:r w:rsidRPr="00301FA6">
        <w:rPr>
          <w:rFonts w:ascii="Times New Roman" w:eastAsia="Times New Roman" w:hAnsi="Times New Roman" w:cs="Times New Roman"/>
          <w:color w:val="222222"/>
          <w:sz w:val="24"/>
          <w:szCs w:val="24"/>
          <w:shd w:val="clear" w:color="auto" w:fill="FFFFFF"/>
        </w:rPr>
        <w:t xml:space="preserve">Rizvi, F., 2020. Reimagining recovery for a more robust internationalisation. </w:t>
      </w:r>
      <w:r w:rsidRPr="00301FA6">
        <w:rPr>
          <w:rFonts w:ascii="Times New Roman" w:eastAsia="Times New Roman" w:hAnsi="Times New Roman" w:cs="Times New Roman"/>
          <w:i/>
          <w:iCs/>
          <w:color w:val="222222"/>
          <w:sz w:val="24"/>
          <w:szCs w:val="24"/>
          <w:shd w:val="clear" w:color="auto" w:fill="FFFFFF"/>
        </w:rPr>
        <w:t>Higher Education Research &amp; Development</w:t>
      </w:r>
      <w:r w:rsidRPr="00301FA6">
        <w:rPr>
          <w:rFonts w:ascii="Times New Roman" w:eastAsia="Times New Roman" w:hAnsi="Times New Roman" w:cs="Times New Roman"/>
          <w:color w:val="222222"/>
          <w:sz w:val="24"/>
          <w:szCs w:val="24"/>
          <w:shd w:val="clear" w:color="auto" w:fill="FFFFFF"/>
        </w:rPr>
        <w:t xml:space="preserve">, </w:t>
      </w:r>
      <w:r w:rsidRPr="00301FA6">
        <w:rPr>
          <w:rFonts w:ascii="Times New Roman" w:eastAsia="Times New Roman" w:hAnsi="Times New Roman" w:cs="Times New Roman"/>
          <w:i/>
          <w:iCs/>
          <w:color w:val="222222"/>
          <w:sz w:val="24"/>
          <w:szCs w:val="24"/>
          <w:shd w:val="clear" w:color="auto" w:fill="FFFFFF"/>
        </w:rPr>
        <w:t>39</w:t>
      </w:r>
      <w:r w:rsidRPr="00301FA6">
        <w:rPr>
          <w:rFonts w:ascii="Times New Roman" w:eastAsia="Times New Roman" w:hAnsi="Times New Roman" w:cs="Times New Roman"/>
          <w:color w:val="222222"/>
          <w:sz w:val="24"/>
          <w:szCs w:val="24"/>
          <w:shd w:val="clear" w:color="auto" w:fill="FFFFFF"/>
        </w:rPr>
        <w:t>(7), pp.1313-1316.</w:t>
      </w:r>
    </w:p>
    <w:p w14:paraId="2837F273" w14:textId="77777777" w:rsidR="00F436D7" w:rsidRPr="00301FA6" w:rsidRDefault="00F436D7" w:rsidP="006A1B14">
      <w:pPr>
        <w:pStyle w:val="NormalWeb"/>
        <w:spacing w:before="0" w:beforeAutospacing="0" w:after="0" w:afterAutospacing="0" w:line="360" w:lineRule="auto"/>
        <w:jc w:val="both"/>
      </w:pPr>
      <w:proofErr w:type="spellStart"/>
      <w:r w:rsidRPr="00301FA6">
        <w:rPr>
          <w:color w:val="222222"/>
          <w:shd w:val="clear" w:color="auto" w:fill="FFFFFF"/>
        </w:rPr>
        <w:t>Simbolon</w:t>
      </w:r>
      <w:proofErr w:type="spellEnd"/>
      <w:r w:rsidRPr="00301FA6">
        <w:rPr>
          <w:color w:val="222222"/>
          <w:shd w:val="clear" w:color="auto" w:fill="FFFFFF"/>
        </w:rPr>
        <w:t xml:space="preserve">, F.P., </w:t>
      </w:r>
      <w:proofErr w:type="spellStart"/>
      <w:r w:rsidRPr="00301FA6">
        <w:rPr>
          <w:color w:val="222222"/>
          <w:shd w:val="clear" w:color="auto" w:fill="FFFFFF"/>
        </w:rPr>
        <w:t>Handayani</w:t>
      </w:r>
      <w:proofErr w:type="spellEnd"/>
      <w:r w:rsidRPr="00301FA6">
        <w:rPr>
          <w:color w:val="222222"/>
          <w:shd w:val="clear" w:color="auto" w:fill="FFFFFF"/>
        </w:rPr>
        <w:t xml:space="preserve">, E.R. and Nugraedy, M., 2020. The influence of product quality, price fairness, brand image, and customer value on purchase decision of toyota agya consumers: a study of low cost green car. </w:t>
      </w:r>
      <w:r w:rsidRPr="00301FA6">
        <w:rPr>
          <w:i/>
          <w:iCs/>
          <w:color w:val="222222"/>
          <w:shd w:val="clear" w:color="auto" w:fill="FFFFFF"/>
        </w:rPr>
        <w:t>Binus Business Review</w:t>
      </w:r>
      <w:r w:rsidRPr="00301FA6">
        <w:rPr>
          <w:color w:val="222222"/>
          <w:shd w:val="clear" w:color="auto" w:fill="FFFFFF"/>
        </w:rPr>
        <w:t xml:space="preserve">, </w:t>
      </w:r>
      <w:r w:rsidRPr="00301FA6">
        <w:rPr>
          <w:i/>
          <w:iCs/>
          <w:color w:val="222222"/>
          <w:shd w:val="clear" w:color="auto" w:fill="FFFFFF"/>
        </w:rPr>
        <w:t>11</w:t>
      </w:r>
      <w:r w:rsidRPr="00301FA6">
        <w:rPr>
          <w:color w:val="222222"/>
          <w:shd w:val="clear" w:color="auto" w:fill="FFFFFF"/>
        </w:rPr>
        <w:t>(3), pp.187-196.</w:t>
      </w:r>
    </w:p>
    <w:p w14:paraId="055CFBE0" w14:textId="77777777" w:rsidR="00F436D7" w:rsidRPr="00301FA6" w:rsidRDefault="00F436D7" w:rsidP="006A1B14">
      <w:pPr>
        <w:pStyle w:val="NormalWeb"/>
        <w:spacing w:before="0" w:beforeAutospacing="0" w:after="0" w:afterAutospacing="0" w:line="360" w:lineRule="auto"/>
        <w:jc w:val="both"/>
      </w:pPr>
      <w:r w:rsidRPr="00301FA6">
        <w:rPr>
          <w:color w:val="222222"/>
          <w:shd w:val="clear" w:color="auto" w:fill="FFFFFF"/>
        </w:rPr>
        <w:t xml:space="preserve">Smith, S.A., 2020. </w:t>
      </w:r>
      <w:r w:rsidRPr="00301FA6">
        <w:rPr>
          <w:i/>
          <w:iCs/>
          <w:color w:val="222222"/>
          <w:shd w:val="clear" w:color="auto" w:fill="FFFFFF"/>
        </w:rPr>
        <w:t>Dynasties and democracy: The inherited incumbency advantage in Japan</w:t>
      </w:r>
      <w:r w:rsidRPr="00301FA6">
        <w:rPr>
          <w:color w:val="222222"/>
          <w:shd w:val="clear" w:color="auto" w:fill="FFFFFF"/>
        </w:rPr>
        <w:t xml:space="preserve"> (Vol. 79, No. 1, pp. 203-204). New York, USA: Cambridge University Press.</w:t>
      </w:r>
    </w:p>
    <w:p w14:paraId="5B376889" w14:textId="77777777" w:rsidR="00F436D7" w:rsidRPr="00301FA6" w:rsidRDefault="00F436D7" w:rsidP="00CE78D3">
      <w:pPr>
        <w:spacing w:before="240" w:after="240" w:line="360" w:lineRule="auto"/>
        <w:jc w:val="both"/>
        <w:rPr>
          <w:rFonts w:ascii="Times New Roman" w:eastAsia="Times New Roman" w:hAnsi="Times New Roman" w:cs="Times New Roman"/>
          <w:sz w:val="24"/>
          <w:szCs w:val="24"/>
        </w:rPr>
      </w:pPr>
      <w:r w:rsidRPr="00301FA6">
        <w:rPr>
          <w:rFonts w:ascii="Times New Roman" w:eastAsia="Times New Roman" w:hAnsi="Times New Roman" w:cs="Times New Roman"/>
          <w:color w:val="222222"/>
          <w:sz w:val="24"/>
          <w:szCs w:val="24"/>
          <w:shd w:val="clear" w:color="auto" w:fill="FFFFFF"/>
        </w:rPr>
        <w:t xml:space="preserve">Tien, N.H., Phu, P.P. and Chi, D.T.P., 2019. The role of international marketing in international business strategy. </w:t>
      </w:r>
      <w:r w:rsidRPr="00301FA6">
        <w:rPr>
          <w:rFonts w:ascii="Times New Roman" w:eastAsia="Times New Roman" w:hAnsi="Times New Roman" w:cs="Times New Roman"/>
          <w:i/>
          <w:iCs/>
          <w:color w:val="222222"/>
          <w:sz w:val="24"/>
          <w:szCs w:val="24"/>
          <w:shd w:val="clear" w:color="auto" w:fill="FFFFFF"/>
        </w:rPr>
        <w:t>International journal of research in marketing management and sales</w:t>
      </w:r>
      <w:r w:rsidRPr="00301FA6">
        <w:rPr>
          <w:rFonts w:ascii="Times New Roman" w:eastAsia="Times New Roman" w:hAnsi="Times New Roman" w:cs="Times New Roman"/>
          <w:color w:val="222222"/>
          <w:sz w:val="24"/>
          <w:szCs w:val="24"/>
          <w:shd w:val="clear" w:color="auto" w:fill="FFFFFF"/>
        </w:rPr>
        <w:t xml:space="preserve">, </w:t>
      </w:r>
      <w:r w:rsidRPr="00301FA6">
        <w:rPr>
          <w:rFonts w:ascii="Times New Roman" w:eastAsia="Times New Roman" w:hAnsi="Times New Roman" w:cs="Times New Roman"/>
          <w:i/>
          <w:iCs/>
          <w:color w:val="222222"/>
          <w:sz w:val="24"/>
          <w:szCs w:val="24"/>
          <w:shd w:val="clear" w:color="auto" w:fill="FFFFFF"/>
        </w:rPr>
        <w:t>1</w:t>
      </w:r>
      <w:r w:rsidRPr="00301FA6">
        <w:rPr>
          <w:rFonts w:ascii="Times New Roman" w:eastAsia="Times New Roman" w:hAnsi="Times New Roman" w:cs="Times New Roman"/>
          <w:color w:val="222222"/>
          <w:sz w:val="24"/>
          <w:szCs w:val="24"/>
          <w:shd w:val="clear" w:color="auto" w:fill="FFFFFF"/>
        </w:rPr>
        <w:t>(2), pp.134-138.</w:t>
      </w:r>
    </w:p>
    <w:p w14:paraId="77B23764" w14:textId="77777777" w:rsidR="00F436D7" w:rsidRPr="00301FA6" w:rsidRDefault="00F436D7" w:rsidP="00CE78D3">
      <w:pPr>
        <w:spacing w:before="240" w:after="240" w:line="360" w:lineRule="auto"/>
        <w:jc w:val="both"/>
        <w:rPr>
          <w:rFonts w:ascii="Times New Roman" w:eastAsia="Times New Roman" w:hAnsi="Times New Roman" w:cs="Times New Roman"/>
          <w:sz w:val="24"/>
          <w:szCs w:val="24"/>
        </w:rPr>
      </w:pPr>
      <w:r w:rsidRPr="00301FA6">
        <w:rPr>
          <w:rFonts w:ascii="Times New Roman" w:eastAsia="Times New Roman" w:hAnsi="Times New Roman" w:cs="Times New Roman"/>
          <w:color w:val="222222"/>
          <w:sz w:val="24"/>
          <w:szCs w:val="24"/>
          <w:shd w:val="clear" w:color="auto" w:fill="FFFFFF"/>
        </w:rPr>
        <w:t>Toyota. 2023. [online] Toyota Motor Corporation Official Global Website. Available at: &lt;https://global.toyota/en/&gt; [Accessed 28 Oct. 2023]. </w:t>
      </w:r>
    </w:p>
    <w:p w14:paraId="0B03FF8D" w14:textId="77777777" w:rsidR="00F436D7" w:rsidRPr="00301FA6" w:rsidRDefault="00F436D7" w:rsidP="00CE78D3">
      <w:pPr>
        <w:spacing w:before="240" w:after="240" w:line="360" w:lineRule="auto"/>
        <w:jc w:val="both"/>
        <w:rPr>
          <w:rFonts w:ascii="Times New Roman" w:eastAsia="Times New Roman" w:hAnsi="Times New Roman" w:cs="Times New Roman"/>
          <w:sz w:val="24"/>
          <w:szCs w:val="24"/>
        </w:rPr>
      </w:pPr>
      <w:proofErr w:type="spellStart"/>
      <w:r w:rsidRPr="00301FA6">
        <w:rPr>
          <w:rFonts w:ascii="Times New Roman" w:eastAsia="Times New Roman" w:hAnsi="Times New Roman" w:cs="Times New Roman"/>
          <w:color w:val="000000"/>
          <w:sz w:val="24"/>
          <w:szCs w:val="24"/>
        </w:rPr>
        <w:t>Toyotabharat</w:t>
      </w:r>
      <w:proofErr w:type="spellEnd"/>
      <w:r w:rsidRPr="00301FA6">
        <w:rPr>
          <w:rFonts w:ascii="Times New Roman" w:eastAsia="Times New Roman" w:hAnsi="Times New Roman" w:cs="Times New Roman"/>
          <w:color w:val="000000"/>
          <w:sz w:val="24"/>
          <w:szCs w:val="24"/>
        </w:rPr>
        <w:t xml:space="preserve">. 2023. </w:t>
      </w:r>
      <w:r w:rsidRPr="00301FA6">
        <w:rPr>
          <w:rFonts w:ascii="Times New Roman" w:eastAsia="Times New Roman" w:hAnsi="Times New Roman" w:cs="Times New Roman"/>
          <w:i/>
          <w:iCs/>
          <w:color w:val="000000"/>
          <w:sz w:val="24"/>
          <w:szCs w:val="24"/>
        </w:rPr>
        <w:t>The history of Toyota - at a glance</w:t>
      </w:r>
      <w:r w:rsidRPr="00301FA6">
        <w:rPr>
          <w:rFonts w:ascii="Times New Roman" w:eastAsia="Times New Roman" w:hAnsi="Times New Roman" w:cs="Times New Roman"/>
          <w:color w:val="000000"/>
          <w:sz w:val="24"/>
          <w:szCs w:val="24"/>
        </w:rPr>
        <w:t>. [online] Toyota India | History. Available at: &lt;https://www.toyotabharat.com/toyota-in-india/history/&gt; [Accessed 28 Oct. 2023]. </w:t>
      </w:r>
    </w:p>
    <w:p w14:paraId="336F8064" w14:textId="77777777" w:rsidR="00F436D7" w:rsidRPr="00301FA6" w:rsidRDefault="00F436D7" w:rsidP="00CE78D3">
      <w:pPr>
        <w:spacing w:before="240" w:after="240" w:line="360" w:lineRule="auto"/>
        <w:jc w:val="both"/>
        <w:rPr>
          <w:rFonts w:ascii="Times New Roman" w:eastAsia="Times New Roman" w:hAnsi="Times New Roman" w:cs="Times New Roman"/>
          <w:sz w:val="24"/>
          <w:szCs w:val="24"/>
        </w:rPr>
      </w:pPr>
      <w:r w:rsidRPr="00301FA6">
        <w:rPr>
          <w:rFonts w:ascii="Times New Roman" w:eastAsia="Times New Roman" w:hAnsi="Times New Roman" w:cs="Times New Roman"/>
          <w:color w:val="000000"/>
          <w:sz w:val="24"/>
          <w:szCs w:val="24"/>
        </w:rPr>
        <w:t xml:space="preserve">Toyota-Europe. 2023. </w:t>
      </w:r>
      <w:r w:rsidRPr="00301FA6">
        <w:rPr>
          <w:rFonts w:ascii="Times New Roman" w:eastAsia="Times New Roman" w:hAnsi="Times New Roman" w:cs="Times New Roman"/>
          <w:i/>
          <w:iCs/>
          <w:color w:val="000000"/>
          <w:sz w:val="24"/>
          <w:szCs w:val="24"/>
        </w:rPr>
        <w:t>Toyota in the World: Toyota Europe</w:t>
      </w:r>
      <w:r w:rsidRPr="00301FA6">
        <w:rPr>
          <w:rFonts w:ascii="Times New Roman" w:eastAsia="Times New Roman" w:hAnsi="Times New Roman" w:cs="Times New Roman"/>
          <w:color w:val="000000"/>
          <w:sz w:val="24"/>
          <w:szCs w:val="24"/>
        </w:rPr>
        <w:t>. [online] Toyota EU. Available at: &lt;https://www.toyota-europe.com/about-us/toyota-in-the-</w:t>
      </w:r>
      <w:r w:rsidRPr="00301FA6">
        <w:rPr>
          <w:rFonts w:ascii="Times New Roman" w:eastAsia="Times New Roman" w:hAnsi="Times New Roman" w:cs="Times New Roman"/>
          <w:color w:val="000000"/>
          <w:sz w:val="24"/>
          <w:szCs w:val="24"/>
        </w:rPr>
        <w:lastRenderedPageBreak/>
        <w:t>world#:~:text=Today%20we%20have%20grown%20to,than%20170%20countries%20and%20territories.&gt; [Accessed 28 Oct. 2023].</w:t>
      </w:r>
    </w:p>
    <w:p w14:paraId="579D50B2" w14:textId="77777777" w:rsidR="00F436D7" w:rsidRPr="00301FA6" w:rsidRDefault="00F436D7" w:rsidP="006A1B14">
      <w:pPr>
        <w:pStyle w:val="NormalWeb"/>
        <w:spacing w:before="0" w:beforeAutospacing="0" w:after="0" w:afterAutospacing="0" w:line="360" w:lineRule="auto"/>
        <w:jc w:val="both"/>
        <w:rPr>
          <w:color w:val="222222"/>
          <w:shd w:val="clear" w:color="auto" w:fill="FFFFFF"/>
        </w:rPr>
      </w:pPr>
      <w:r w:rsidRPr="00301FA6">
        <w:rPr>
          <w:color w:val="222222"/>
          <w:shd w:val="clear" w:color="auto" w:fill="FFFFFF"/>
        </w:rPr>
        <w:t xml:space="preserve">Vesal, M., Siahtiri, V. and O'Cass, A., 2021. Strengthening B2B brands by signalling environmental sustainability and managing customer relationships. </w:t>
      </w:r>
      <w:r w:rsidRPr="00301FA6">
        <w:rPr>
          <w:i/>
          <w:iCs/>
          <w:color w:val="222222"/>
          <w:shd w:val="clear" w:color="auto" w:fill="FFFFFF"/>
        </w:rPr>
        <w:t>Industrial Marketing Management</w:t>
      </w:r>
      <w:r w:rsidRPr="00301FA6">
        <w:rPr>
          <w:color w:val="222222"/>
          <w:shd w:val="clear" w:color="auto" w:fill="FFFFFF"/>
        </w:rPr>
        <w:t xml:space="preserve">, </w:t>
      </w:r>
      <w:r w:rsidRPr="00301FA6">
        <w:rPr>
          <w:i/>
          <w:iCs/>
          <w:color w:val="222222"/>
          <w:shd w:val="clear" w:color="auto" w:fill="FFFFFF"/>
        </w:rPr>
        <w:t>92</w:t>
      </w:r>
      <w:r w:rsidRPr="00301FA6">
        <w:rPr>
          <w:color w:val="222222"/>
          <w:shd w:val="clear" w:color="auto" w:fill="FFFFFF"/>
        </w:rPr>
        <w:t>, pp.321-331.</w:t>
      </w:r>
    </w:p>
    <w:p w14:paraId="492DAABC" w14:textId="77777777" w:rsidR="00F436D7" w:rsidRPr="00301FA6" w:rsidRDefault="00F436D7" w:rsidP="00CE78D3">
      <w:pPr>
        <w:spacing w:before="240" w:after="240" w:line="360" w:lineRule="auto"/>
        <w:jc w:val="both"/>
        <w:rPr>
          <w:rFonts w:ascii="Times New Roman" w:eastAsia="Times New Roman" w:hAnsi="Times New Roman" w:cs="Times New Roman"/>
          <w:color w:val="222222"/>
          <w:sz w:val="24"/>
          <w:szCs w:val="24"/>
          <w:shd w:val="clear" w:color="auto" w:fill="FFFFFF"/>
        </w:rPr>
      </w:pPr>
      <w:r w:rsidRPr="00301FA6">
        <w:rPr>
          <w:rFonts w:ascii="Times New Roman" w:eastAsia="Times New Roman" w:hAnsi="Times New Roman" w:cs="Times New Roman"/>
          <w:color w:val="222222"/>
          <w:sz w:val="24"/>
          <w:szCs w:val="24"/>
          <w:shd w:val="clear" w:color="auto" w:fill="FFFFFF"/>
        </w:rPr>
        <w:t xml:space="preserve">Wild, J.J. and Wild, K.L., 2023. </w:t>
      </w:r>
      <w:r w:rsidRPr="00301FA6">
        <w:rPr>
          <w:rFonts w:ascii="Times New Roman" w:eastAsia="Times New Roman" w:hAnsi="Times New Roman" w:cs="Times New Roman"/>
          <w:i/>
          <w:iCs/>
          <w:color w:val="222222"/>
          <w:sz w:val="24"/>
          <w:szCs w:val="24"/>
          <w:shd w:val="clear" w:color="auto" w:fill="FFFFFF"/>
        </w:rPr>
        <w:t>International business: The challenges of globalisation</w:t>
      </w:r>
      <w:r w:rsidRPr="00301FA6">
        <w:rPr>
          <w:rFonts w:ascii="Times New Roman" w:eastAsia="Times New Roman" w:hAnsi="Times New Roman" w:cs="Times New Roman"/>
          <w:color w:val="222222"/>
          <w:sz w:val="24"/>
          <w:szCs w:val="24"/>
          <w:shd w:val="clear" w:color="auto" w:fill="FFFFFF"/>
        </w:rPr>
        <w:t>. Pearson.</w:t>
      </w:r>
    </w:p>
    <w:p w14:paraId="3E7AB2AB" w14:textId="77777777" w:rsidR="00B300D6" w:rsidRPr="008F7173" w:rsidRDefault="00B300D6" w:rsidP="00CE78D3">
      <w:pPr>
        <w:spacing w:before="240" w:after="240" w:line="360" w:lineRule="auto"/>
        <w:jc w:val="both"/>
        <w:rPr>
          <w:rFonts w:ascii="Times New Roman" w:eastAsia="Times New Roman" w:hAnsi="Times New Roman" w:cs="Times New Roman"/>
          <w:sz w:val="24"/>
          <w:szCs w:val="24"/>
          <w:highlight w:val="yellow"/>
        </w:rPr>
      </w:pPr>
    </w:p>
    <w:sectPr w:rsidR="00B300D6" w:rsidRPr="008F7173" w:rsidSect="00301FA6">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31AE72" w14:textId="77777777" w:rsidR="00945F5D" w:rsidRDefault="00945F5D" w:rsidP="00301FA6">
      <w:pPr>
        <w:spacing w:after="0" w:line="240" w:lineRule="auto"/>
      </w:pPr>
      <w:r>
        <w:separator/>
      </w:r>
    </w:p>
  </w:endnote>
  <w:endnote w:type="continuationSeparator" w:id="0">
    <w:p w14:paraId="50E8F0D5" w14:textId="77777777" w:rsidR="00945F5D" w:rsidRDefault="00945F5D" w:rsidP="00301F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7273071"/>
      <w:docPartObj>
        <w:docPartGallery w:val="Page Numbers (Bottom of Page)"/>
        <w:docPartUnique/>
      </w:docPartObj>
    </w:sdtPr>
    <w:sdtContent>
      <w:sdt>
        <w:sdtPr>
          <w:id w:val="1728636285"/>
          <w:docPartObj>
            <w:docPartGallery w:val="Page Numbers (Top of Page)"/>
            <w:docPartUnique/>
          </w:docPartObj>
        </w:sdtPr>
        <w:sdtContent>
          <w:p w14:paraId="1FA25D75" w14:textId="3A1C1A61" w:rsidR="00301FA6" w:rsidRDefault="00301FA6">
            <w:pPr>
              <w:pStyle w:val="Footer"/>
              <w:jc w:val="center"/>
            </w:pPr>
            <w:r w:rsidRPr="00301FA6">
              <w:rPr>
                <w:rFonts w:ascii="Times New Roman" w:hAnsi="Times New Roman" w:cs="Times New Roman"/>
                <w:sz w:val="24"/>
                <w:szCs w:val="24"/>
              </w:rPr>
              <w:t xml:space="preserve">Page </w:t>
            </w:r>
            <w:r w:rsidRPr="00301FA6">
              <w:rPr>
                <w:rFonts w:ascii="Times New Roman" w:hAnsi="Times New Roman" w:cs="Times New Roman"/>
                <w:b/>
                <w:bCs/>
                <w:sz w:val="24"/>
                <w:szCs w:val="24"/>
              </w:rPr>
              <w:fldChar w:fldCharType="begin"/>
            </w:r>
            <w:r w:rsidRPr="00301FA6">
              <w:rPr>
                <w:rFonts w:ascii="Times New Roman" w:hAnsi="Times New Roman" w:cs="Times New Roman"/>
                <w:b/>
                <w:bCs/>
                <w:sz w:val="24"/>
                <w:szCs w:val="24"/>
              </w:rPr>
              <w:instrText xml:space="preserve"> PAGE </w:instrText>
            </w:r>
            <w:r w:rsidRPr="00301FA6">
              <w:rPr>
                <w:rFonts w:ascii="Times New Roman" w:hAnsi="Times New Roman" w:cs="Times New Roman"/>
                <w:b/>
                <w:bCs/>
                <w:sz w:val="24"/>
                <w:szCs w:val="24"/>
              </w:rPr>
              <w:fldChar w:fldCharType="separate"/>
            </w:r>
            <w:r w:rsidRPr="00301FA6">
              <w:rPr>
                <w:rFonts w:ascii="Times New Roman" w:hAnsi="Times New Roman" w:cs="Times New Roman"/>
                <w:b/>
                <w:bCs/>
                <w:noProof/>
                <w:sz w:val="24"/>
                <w:szCs w:val="24"/>
              </w:rPr>
              <w:t>2</w:t>
            </w:r>
            <w:r w:rsidRPr="00301FA6">
              <w:rPr>
                <w:rFonts w:ascii="Times New Roman" w:hAnsi="Times New Roman" w:cs="Times New Roman"/>
                <w:b/>
                <w:bCs/>
                <w:sz w:val="24"/>
                <w:szCs w:val="24"/>
              </w:rPr>
              <w:fldChar w:fldCharType="end"/>
            </w:r>
            <w:r w:rsidRPr="00301FA6">
              <w:rPr>
                <w:rFonts w:ascii="Times New Roman" w:hAnsi="Times New Roman" w:cs="Times New Roman"/>
                <w:sz w:val="24"/>
                <w:szCs w:val="24"/>
              </w:rPr>
              <w:t xml:space="preserve"> of </w:t>
            </w:r>
            <w:r w:rsidRPr="00301FA6">
              <w:rPr>
                <w:rFonts w:ascii="Times New Roman" w:hAnsi="Times New Roman" w:cs="Times New Roman"/>
                <w:b/>
                <w:bCs/>
                <w:sz w:val="24"/>
                <w:szCs w:val="24"/>
              </w:rPr>
              <w:fldChar w:fldCharType="begin"/>
            </w:r>
            <w:r w:rsidRPr="00301FA6">
              <w:rPr>
                <w:rFonts w:ascii="Times New Roman" w:hAnsi="Times New Roman" w:cs="Times New Roman"/>
                <w:b/>
                <w:bCs/>
                <w:sz w:val="24"/>
                <w:szCs w:val="24"/>
              </w:rPr>
              <w:instrText xml:space="preserve"> NUMPAGES  </w:instrText>
            </w:r>
            <w:r w:rsidRPr="00301FA6">
              <w:rPr>
                <w:rFonts w:ascii="Times New Roman" w:hAnsi="Times New Roman" w:cs="Times New Roman"/>
                <w:b/>
                <w:bCs/>
                <w:sz w:val="24"/>
                <w:szCs w:val="24"/>
              </w:rPr>
              <w:fldChar w:fldCharType="separate"/>
            </w:r>
            <w:r w:rsidRPr="00301FA6">
              <w:rPr>
                <w:rFonts w:ascii="Times New Roman" w:hAnsi="Times New Roman" w:cs="Times New Roman"/>
                <w:b/>
                <w:bCs/>
                <w:noProof/>
                <w:sz w:val="24"/>
                <w:szCs w:val="24"/>
              </w:rPr>
              <w:t>2</w:t>
            </w:r>
            <w:r w:rsidRPr="00301FA6">
              <w:rPr>
                <w:rFonts w:ascii="Times New Roman" w:hAnsi="Times New Roman" w:cs="Times New Roman"/>
                <w:b/>
                <w:bCs/>
                <w:sz w:val="24"/>
                <w:szCs w:val="24"/>
              </w:rPr>
              <w:fldChar w:fldCharType="end"/>
            </w:r>
          </w:p>
        </w:sdtContent>
      </w:sdt>
    </w:sdtContent>
  </w:sdt>
  <w:p w14:paraId="363C2365" w14:textId="77777777" w:rsidR="00301FA6" w:rsidRDefault="0030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1264FC" w14:textId="77777777" w:rsidR="00945F5D" w:rsidRDefault="00945F5D" w:rsidP="00301FA6">
      <w:pPr>
        <w:spacing w:after="0" w:line="240" w:lineRule="auto"/>
      </w:pPr>
      <w:r>
        <w:separator/>
      </w:r>
    </w:p>
  </w:footnote>
  <w:footnote w:type="continuationSeparator" w:id="0">
    <w:p w14:paraId="7CDB4521" w14:textId="77777777" w:rsidR="00945F5D" w:rsidRDefault="00945F5D" w:rsidP="00301F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A6E7A"/>
    <w:multiLevelType w:val="hybridMultilevel"/>
    <w:tmpl w:val="0658AF1C"/>
    <w:lvl w:ilvl="0" w:tplc="5E88FEAC">
      <w:start w:val="1"/>
      <w:numFmt w:val="bullet"/>
      <w:lvlText w:val=""/>
      <w:lvlJc w:val="left"/>
      <w:pPr>
        <w:ind w:left="720" w:hanging="360"/>
      </w:pPr>
      <w:rPr>
        <w:rFonts w:ascii="Symbol" w:hAnsi="Symbol" w:hint="default"/>
      </w:rPr>
    </w:lvl>
    <w:lvl w:ilvl="1" w:tplc="ACA6C81A" w:tentative="1">
      <w:start w:val="1"/>
      <w:numFmt w:val="bullet"/>
      <w:lvlText w:val="o"/>
      <w:lvlJc w:val="left"/>
      <w:pPr>
        <w:ind w:left="1440" w:hanging="360"/>
      </w:pPr>
      <w:rPr>
        <w:rFonts w:ascii="Courier New" w:hAnsi="Courier New" w:cs="Courier New" w:hint="default"/>
      </w:rPr>
    </w:lvl>
    <w:lvl w:ilvl="2" w:tplc="09FA2C6E" w:tentative="1">
      <w:start w:val="1"/>
      <w:numFmt w:val="bullet"/>
      <w:lvlText w:val=""/>
      <w:lvlJc w:val="left"/>
      <w:pPr>
        <w:ind w:left="2160" w:hanging="360"/>
      </w:pPr>
      <w:rPr>
        <w:rFonts w:ascii="Wingdings" w:hAnsi="Wingdings" w:hint="default"/>
      </w:rPr>
    </w:lvl>
    <w:lvl w:ilvl="3" w:tplc="DA16F8A2" w:tentative="1">
      <w:start w:val="1"/>
      <w:numFmt w:val="bullet"/>
      <w:lvlText w:val=""/>
      <w:lvlJc w:val="left"/>
      <w:pPr>
        <w:ind w:left="2880" w:hanging="360"/>
      </w:pPr>
      <w:rPr>
        <w:rFonts w:ascii="Symbol" w:hAnsi="Symbol" w:hint="default"/>
      </w:rPr>
    </w:lvl>
    <w:lvl w:ilvl="4" w:tplc="2B7E08F2" w:tentative="1">
      <w:start w:val="1"/>
      <w:numFmt w:val="bullet"/>
      <w:lvlText w:val="o"/>
      <w:lvlJc w:val="left"/>
      <w:pPr>
        <w:ind w:left="3600" w:hanging="360"/>
      </w:pPr>
      <w:rPr>
        <w:rFonts w:ascii="Courier New" w:hAnsi="Courier New" w:cs="Courier New" w:hint="default"/>
      </w:rPr>
    </w:lvl>
    <w:lvl w:ilvl="5" w:tplc="66DC82D6" w:tentative="1">
      <w:start w:val="1"/>
      <w:numFmt w:val="bullet"/>
      <w:lvlText w:val=""/>
      <w:lvlJc w:val="left"/>
      <w:pPr>
        <w:ind w:left="4320" w:hanging="360"/>
      </w:pPr>
      <w:rPr>
        <w:rFonts w:ascii="Wingdings" w:hAnsi="Wingdings" w:hint="default"/>
      </w:rPr>
    </w:lvl>
    <w:lvl w:ilvl="6" w:tplc="AA54DDAC" w:tentative="1">
      <w:start w:val="1"/>
      <w:numFmt w:val="bullet"/>
      <w:lvlText w:val=""/>
      <w:lvlJc w:val="left"/>
      <w:pPr>
        <w:ind w:left="5040" w:hanging="360"/>
      </w:pPr>
      <w:rPr>
        <w:rFonts w:ascii="Symbol" w:hAnsi="Symbol" w:hint="default"/>
      </w:rPr>
    </w:lvl>
    <w:lvl w:ilvl="7" w:tplc="9A1A4FE8" w:tentative="1">
      <w:start w:val="1"/>
      <w:numFmt w:val="bullet"/>
      <w:lvlText w:val="o"/>
      <w:lvlJc w:val="left"/>
      <w:pPr>
        <w:ind w:left="5760" w:hanging="360"/>
      </w:pPr>
      <w:rPr>
        <w:rFonts w:ascii="Courier New" w:hAnsi="Courier New" w:cs="Courier New" w:hint="default"/>
      </w:rPr>
    </w:lvl>
    <w:lvl w:ilvl="8" w:tplc="CE3C6B4A" w:tentative="1">
      <w:start w:val="1"/>
      <w:numFmt w:val="bullet"/>
      <w:lvlText w:val=""/>
      <w:lvlJc w:val="left"/>
      <w:pPr>
        <w:ind w:left="6480" w:hanging="360"/>
      </w:pPr>
      <w:rPr>
        <w:rFonts w:ascii="Wingdings" w:hAnsi="Wingdings" w:hint="default"/>
      </w:rPr>
    </w:lvl>
  </w:abstractNum>
  <w:abstractNum w:abstractNumId="1" w15:restartNumberingAfterBreak="0">
    <w:nsid w:val="0A6B4B95"/>
    <w:multiLevelType w:val="multilevel"/>
    <w:tmpl w:val="D466E8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81D45D4"/>
    <w:multiLevelType w:val="hybridMultilevel"/>
    <w:tmpl w:val="1374BBB4"/>
    <w:lvl w:ilvl="0" w:tplc="02AE1E34">
      <w:start w:val="1"/>
      <w:numFmt w:val="bullet"/>
      <w:lvlText w:val=""/>
      <w:lvlJc w:val="left"/>
      <w:pPr>
        <w:ind w:left="720" w:hanging="360"/>
      </w:pPr>
      <w:rPr>
        <w:rFonts w:ascii="Symbol" w:hAnsi="Symbol" w:hint="default"/>
      </w:rPr>
    </w:lvl>
    <w:lvl w:ilvl="1" w:tplc="16E4AE48" w:tentative="1">
      <w:start w:val="1"/>
      <w:numFmt w:val="bullet"/>
      <w:lvlText w:val="o"/>
      <w:lvlJc w:val="left"/>
      <w:pPr>
        <w:ind w:left="1440" w:hanging="360"/>
      </w:pPr>
      <w:rPr>
        <w:rFonts w:ascii="Courier New" w:hAnsi="Courier New" w:cs="Courier New" w:hint="default"/>
      </w:rPr>
    </w:lvl>
    <w:lvl w:ilvl="2" w:tplc="99A2557E" w:tentative="1">
      <w:start w:val="1"/>
      <w:numFmt w:val="bullet"/>
      <w:lvlText w:val=""/>
      <w:lvlJc w:val="left"/>
      <w:pPr>
        <w:ind w:left="2160" w:hanging="360"/>
      </w:pPr>
      <w:rPr>
        <w:rFonts w:ascii="Wingdings" w:hAnsi="Wingdings" w:hint="default"/>
      </w:rPr>
    </w:lvl>
    <w:lvl w:ilvl="3" w:tplc="3216BD12" w:tentative="1">
      <w:start w:val="1"/>
      <w:numFmt w:val="bullet"/>
      <w:lvlText w:val=""/>
      <w:lvlJc w:val="left"/>
      <w:pPr>
        <w:ind w:left="2880" w:hanging="360"/>
      </w:pPr>
      <w:rPr>
        <w:rFonts w:ascii="Symbol" w:hAnsi="Symbol" w:hint="default"/>
      </w:rPr>
    </w:lvl>
    <w:lvl w:ilvl="4" w:tplc="DFAC5766" w:tentative="1">
      <w:start w:val="1"/>
      <w:numFmt w:val="bullet"/>
      <w:lvlText w:val="o"/>
      <w:lvlJc w:val="left"/>
      <w:pPr>
        <w:ind w:left="3600" w:hanging="360"/>
      </w:pPr>
      <w:rPr>
        <w:rFonts w:ascii="Courier New" w:hAnsi="Courier New" w:cs="Courier New" w:hint="default"/>
      </w:rPr>
    </w:lvl>
    <w:lvl w:ilvl="5" w:tplc="388EF1DA" w:tentative="1">
      <w:start w:val="1"/>
      <w:numFmt w:val="bullet"/>
      <w:lvlText w:val=""/>
      <w:lvlJc w:val="left"/>
      <w:pPr>
        <w:ind w:left="4320" w:hanging="360"/>
      </w:pPr>
      <w:rPr>
        <w:rFonts w:ascii="Wingdings" w:hAnsi="Wingdings" w:hint="default"/>
      </w:rPr>
    </w:lvl>
    <w:lvl w:ilvl="6" w:tplc="EB722DA8" w:tentative="1">
      <w:start w:val="1"/>
      <w:numFmt w:val="bullet"/>
      <w:lvlText w:val=""/>
      <w:lvlJc w:val="left"/>
      <w:pPr>
        <w:ind w:left="5040" w:hanging="360"/>
      </w:pPr>
      <w:rPr>
        <w:rFonts w:ascii="Symbol" w:hAnsi="Symbol" w:hint="default"/>
      </w:rPr>
    </w:lvl>
    <w:lvl w:ilvl="7" w:tplc="CB04FF64" w:tentative="1">
      <w:start w:val="1"/>
      <w:numFmt w:val="bullet"/>
      <w:lvlText w:val="o"/>
      <w:lvlJc w:val="left"/>
      <w:pPr>
        <w:ind w:left="5760" w:hanging="360"/>
      </w:pPr>
      <w:rPr>
        <w:rFonts w:ascii="Courier New" w:hAnsi="Courier New" w:cs="Courier New" w:hint="default"/>
      </w:rPr>
    </w:lvl>
    <w:lvl w:ilvl="8" w:tplc="396C4F20" w:tentative="1">
      <w:start w:val="1"/>
      <w:numFmt w:val="bullet"/>
      <w:lvlText w:val=""/>
      <w:lvlJc w:val="left"/>
      <w:pPr>
        <w:ind w:left="6480" w:hanging="360"/>
      </w:pPr>
      <w:rPr>
        <w:rFonts w:ascii="Wingdings" w:hAnsi="Wingdings" w:hint="default"/>
      </w:rPr>
    </w:lvl>
  </w:abstractNum>
  <w:num w:numId="1" w16cid:durableId="2081631969">
    <w:abstractNumId w:val="2"/>
  </w:num>
  <w:num w:numId="2" w16cid:durableId="550312427">
    <w:abstractNumId w:val="0"/>
  </w:num>
  <w:num w:numId="3" w16cid:durableId="11835190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B14"/>
    <w:rsid w:val="0010048D"/>
    <w:rsid w:val="001343EC"/>
    <w:rsid w:val="00254C0D"/>
    <w:rsid w:val="00256D8C"/>
    <w:rsid w:val="00301FA6"/>
    <w:rsid w:val="00446DAC"/>
    <w:rsid w:val="004631B0"/>
    <w:rsid w:val="005A2014"/>
    <w:rsid w:val="006A1B14"/>
    <w:rsid w:val="006E264F"/>
    <w:rsid w:val="0074394A"/>
    <w:rsid w:val="008B717C"/>
    <w:rsid w:val="008F7173"/>
    <w:rsid w:val="00920654"/>
    <w:rsid w:val="00945F5D"/>
    <w:rsid w:val="009979D4"/>
    <w:rsid w:val="009A6754"/>
    <w:rsid w:val="009A7EE6"/>
    <w:rsid w:val="00AF7AF3"/>
    <w:rsid w:val="00B300D6"/>
    <w:rsid w:val="00B90D80"/>
    <w:rsid w:val="00BA3211"/>
    <w:rsid w:val="00CE78D3"/>
    <w:rsid w:val="00D1674B"/>
    <w:rsid w:val="00D602EC"/>
    <w:rsid w:val="00D82ABA"/>
    <w:rsid w:val="00EA1DFF"/>
    <w:rsid w:val="00F436D7"/>
    <w:rsid w:val="00F90908"/>
    <w:rsid w:val="00FD36B4"/>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AC0331"/>
  <w15:docId w15:val="{6B798166-2207-4D1C-A804-F5B8262302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6D8C"/>
  </w:style>
  <w:style w:type="paragraph" w:styleId="Heading1">
    <w:name w:val="heading 1"/>
    <w:basedOn w:val="Normal"/>
    <w:next w:val="Normal"/>
    <w:link w:val="Heading1Char"/>
    <w:uiPriority w:val="9"/>
    <w:qFormat/>
    <w:rsid w:val="00256D8C"/>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256D8C"/>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256D8C"/>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256D8C"/>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256D8C"/>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256D8C"/>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256D8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56D8C"/>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256D8C"/>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A1B1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256D8C"/>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semiHidden/>
    <w:unhideWhenUsed/>
    <w:qFormat/>
    <w:rsid w:val="00256D8C"/>
    <w:pPr>
      <w:outlineLvl w:val="9"/>
    </w:pPr>
  </w:style>
  <w:style w:type="paragraph" w:styleId="TOC1">
    <w:name w:val="toc 1"/>
    <w:basedOn w:val="Normal"/>
    <w:next w:val="Normal"/>
    <w:autoRedefine/>
    <w:uiPriority w:val="39"/>
    <w:unhideWhenUsed/>
    <w:rsid w:val="00BA3211"/>
    <w:pPr>
      <w:spacing w:after="100"/>
    </w:pPr>
  </w:style>
  <w:style w:type="character" w:styleId="Hyperlink">
    <w:name w:val="Hyperlink"/>
    <w:basedOn w:val="DefaultParagraphFont"/>
    <w:uiPriority w:val="99"/>
    <w:unhideWhenUsed/>
    <w:rsid w:val="00BA3211"/>
    <w:rPr>
      <w:color w:val="0563C1" w:themeColor="hyperlink"/>
      <w:u w:val="single"/>
    </w:rPr>
  </w:style>
  <w:style w:type="paragraph" w:styleId="BalloonText">
    <w:name w:val="Balloon Text"/>
    <w:basedOn w:val="Normal"/>
    <w:link w:val="BalloonTextChar"/>
    <w:uiPriority w:val="99"/>
    <w:semiHidden/>
    <w:unhideWhenUsed/>
    <w:rsid w:val="00BA32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3211"/>
    <w:rPr>
      <w:rFonts w:ascii="Tahoma" w:hAnsi="Tahoma" w:cs="Tahoma"/>
      <w:sz w:val="16"/>
      <w:szCs w:val="16"/>
    </w:rPr>
  </w:style>
  <w:style w:type="paragraph" w:styleId="ListParagraph">
    <w:name w:val="List Paragraph"/>
    <w:basedOn w:val="Normal"/>
    <w:uiPriority w:val="34"/>
    <w:qFormat/>
    <w:rsid w:val="00B300D6"/>
    <w:pPr>
      <w:ind w:left="720"/>
      <w:contextualSpacing/>
    </w:pPr>
  </w:style>
  <w:style w:type="paragraph" w:styleId="NoSpacing">
    <w:name w:val="No Spacing"/>
    <w:uiPriority w:val="1"/>
    <w:qFormat/>
    <w:rsid w:val="00256D8C"/>
    <w:pPr>
      <w:spacing w:after="0" w:line="240" w:lineRule="auto"/>
    </w:pPr>
  </w:style>
  <w:style w:type="paragraph" w:styleId="Header">
    <w:name w:val="header"/>
    <w:basedOn w:val="Normal"/>
    <w:link w:val="HeaderChar"/>
    <w:uiPriority w:val="99"/>
    <w:unhideWhenUsed/>
    <w:rsid w:val="00301F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1FA6"/>
  </w:style>
  <w:style w:type="paragraph" w:styleId="Footer">
    <w:name w:val="footer"/>
    <w:basedOn w:val="Normal"/>
    <w:link w:val="FooterChar"/>
    <w:uiPriority w:val="99"/>
    <w:unhideWhenUsed/>
    <w:rsid w:val="00301F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1FA6"/>
  </w:style>
  <w:style w:type="character" w:customStyle="1" w:styleId="Heading2Char">
    <w:name w:val="Heading 2 Char"/>
    <w:basedOn w:val="DefaultParagraphFont"/>
    <w:link w:val="Heading2"/>
    <w:uiPriority w:val="9"/>
    <w:semiHidden/>
    <w:rsid w:val="00256D8C"/>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256D8C"/>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256D8C"/>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256D8C"/>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256D8C"/>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256D8C"/>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256D8C"/>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256D8C"/>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256D8C"/>
    <w:pPr>
      <w:spacing w:line="240" w:lineRule="auto"/>
    </w:pPr>
    <w:rPr>
      <w:b/>
      <w:bCs/>
      <w:color w:val="4472C4" w:themeColor="accent1"/>
      <w:sz w:val="18"/>
      <w:szCs w:val="18"/>
    </w:rPr>
  </w:style>
  <w:style w:type="paragraph" w:styleId="Title">
    <w:name w:val="Title"/>
    <w:basedOn w:val="Normal"/>
    <w:next w:val="Normal"/>
    <w:link w:val="TitleChar"/>
    <w:uiPriority w:val="10"/>
    <w:qFormat/>
    <w:rsid w:val="00256D8C"/>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256D8C"/>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sid w:val="00256D8C"/>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256D8C"/>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256D8C"/>
    <w:rPr>
      <w:b/>
      <w:bCs/>
    </w:rPr>
  </w:style>
  <w:style w:type="character" w:styleId="Emphasis">
    <w:name w:val="Emphasis"/>
    <w:basedOn w:val="DefaultParagraphFont"/>
    <w:uiPriority w:val="20"/>
    <w:qFormat/>
    <w:rsid w:val="00256D8C"/>
    <w:rPr>
      <w:i/>
      <w:iCs/>
    </w:rPr>
  </w:style>
  <w:style w:type="paragraph" w:styleId="Quote">
    <w:name w:val="Quote"/>
    <w:basedOn w:val="Normal"/>
    <w:next w:val="Normal"/>
    <w:link w:val="QuoteChar"/>
    <w:uiPriority w:val="29"/>
    <w:qFormat/>
    <w:rsid w:val="00256D8C"/>
    <w:rPr>
      <w:i/>
      <w:iCs/>
      <w:color w:val="000000" w:themeColor="text1"/>
    </w:rPr>
  </w:style>
  <w:style w:type="character" w:customStyle="1" w:styleId="QuoteChar">
    <w:name w:val="Quote Char"/>
    <w:basedOn w:val="DefaultParagraphFont"/>
    <w:link w:val="Quote"/>
    <w:uiPriority w:val="29"/>
    <w:rsid w:val="00256D8C"/>
    <w:rPr>
      <w:i/>
      <w:iCs/>
      <w:color w:val="000000" w:themeColor="text1"/>
    </w:rPr>
  </w:style>
  <w:style w:type="paragraph" w:styleId="IntenseQuote">
    <w:name w:val="Intense Quote"/>
    <w:basedOn w:val="Normal"/>
    <w:next w:val="Normal"/>
    <w:link w:val="IntenseQuoteChar"/>
    <w:uiPriority w:val="30"/>
    <w:qFormat/>
    <w:rsid w:val="00256D8C"/>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256D8C"/>
    <w:rPr>
      <w:b/>
      <w:bCs/>
      <w:i/>
      <w:iCs/>
      <w:color w:val="4472C4" w:themeColor="accent1"/>
    </w:rPr>
  </w:style>
  <w:style w:type="character" w:styleId="SubtleEmphasis">
    <w:name w:val="Subtle Emphasis"/>
    <w:basedOn w:val="DefaultParagraphFont"/>
    <w:uiPriority w:val="19"/>
    <w:qFormat/>
    <w:rsid w:val="00256D8C"/>
    <w:rPr>
      <w:i/>
      <w:iCs/>
      <w:color w:val="808080" w:themeColor="text1" w:themeTint="7F"/>
    </w:rPr>
  </w:style>
  <w:style w:type="character" w:styleId="IntenseEmphasis">
    <w:name w:val="Intense Emphasis"/>
    <w:basedOn w:val="DefaultParagraphFont"/>
    <w:uiPriority w:val="21"/>
    <w:qFormat/>
    <w:rsid w:val="00256D8C"/>
    <w:rPr>
      <w:b/>
      <w:bCs/>
      <w:i/>
      <w:iCs/>
      <w:color w:val="4472C4" w:themeColor="accent1"/>
    </w:rPr>
  </w:style>
  <w:style w:type="character" w:styleId="SubtleReference">
    <w:name w:val="Subtle Reference"/>
    <w:basedOn w:val="DefaultParagraphFont"/>
    <w:uiPriority w:val="31"/>
    <w:qFormat/>
    <w:rsid w:val="00256D8C"/>
    <w:rPr>
      <w:smallCaps/>
      <w:color w:val="ED7D31" w:themeColor="accent2"/>
      <w:u w:val="single"/>
    </w:rPr>
  </w:style>
  <w:style w:type="character" w:styleId="IntenseReference">
    <w:name w:val="Intense Reference"/>
    <w:basedOn w:val="DefaultParagraphFont"/>
    <w:uiPriority w:val="32"/>
    <w:qFormat/>
    <w:rsid w:val="00256D8C"/>
    <w:rPr>
      <w:b/>
      <w:bCs/>
      <w:smallCaps/>
      <w:color w:val="ED7D31" w:themeColor="accent2"/>
      <w:spacing w:val="5"/>
      <w:u w:val="single"/>
    </w:rPr>
  </w:style>
  <w:style w:type="character" w:styleId="BookTitle">
    <w:name w:val="Book Title"/>
    <w:basedOn w:val="DefaultParagraphFont"/>
    <w:uiPriority w:val="33"/>
    <w:qFormat/>
    <w:rsid w:val="00256D8C"/>
    <w:rPr>
      <w:b/>
      <w:bCs/>
      <w:smallCap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1952460">
      <w:bodyDiv w:val="1"/>
      <w:marLeft w:val="0"/>
      <w:marRight w:val="0"/>
      <w:marTop w:val="0"/>
      <w:marBottom w:val="0"/>
      <w:divBdr>
        <w:top w:val="none" w:sz="0" w:space="0" w:color="auto"/>
        <w:left w:val="none" w:sz="0" w:space="0" w:color="auto"/>
        <w:bottom w:val="none" w:sz="0" w:space="0" w:color="auto"/>
        <w:right w:val="none" w:sz="0" w:space="0" w:color="auto"/>
      </w:divBdr>
    </w:div>
    <w:div w:id="843787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4464CE6-B55D-484C-AE05-A6CC3A2D52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6029</Words>
  <Characters>38077</Characters>
  <Application>Microsoft Office Word</Application>
  <DocSecurity>0</DocSecurity>
  <Lines>551</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Pranjal Trivedi</cp:lastModifiedBy>
  <cp:revision>2</cp:revision>
  <dcterms:created xsi:type="dcterms:W3CDTF">2023-11-10T19:00:00Z</dcterms:created>
  <dcterms:modified xsi:type="dcterms:W3CDTF">2023-11-10T19:00:00Z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510cb7ebb2946f06809ae084163a2a41e2ae6a6cd129efc8e319f4c61f29d1ea</vt:lpwstr>
  </property>
</Properties>
</file>