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17B8D50">
      <w:pPr>
        <w:pStyle w:val="2"/>
        <w:spacing w:before="0" w:beforeLines="0" w:after="0" w:afterLines="0" w:line="560" w:lineRule="exact"/>
        <w:jc w:val="center"/>
        <w:rPr>
          <w:rFonts w:hint="eastAsia" w:ascii="Times New Roman" w:hAnsi="Times New Roman"/>
          <w:b/>
          <w:sz w:val="32"/>
          <w:szCs w:val="32"/>
        </w:rPr>
      </w:pPr>
    </w:p>
    <w:p w14:paraId="3728D84F">
      <w:pPr>
        <w:pStyle w:val="2"/>
        <w:spacing w:before="0" w:beforeLines="0" w:after="0" w:afterLines="0" w:line="560" w:lineRule="exact"/>
        <w:jc w:val="center"/>
        <w:rPr>
          <w:rFonts w:hint="eastAsia" w:ascii="Times New Roman" w:hAnsi="Times New Roman"/>
          <w:b/>
          <w:sz w:val="32"/>
          <w:szCs w:val="32"/>
        </w:rPr>
      </w:pPr>
    </w:p>
    <w:p w14:paraId="015F51F8">
      <w:pPr>
        <w:pStyle w:val="2"/>
        <w:spacing w:before="0" w:beforeLines="0" w:after="0" w:afterLines="0" w:line="560" w:lineRule="exact"/>
        <w:jc w:val="center"/>
        <w:rPr>
          <w:rFonts w:hint="eastAsia" w:ascii="Times New Roman" w:hAnsi="Times New Roman"/>
          <w:b/>
          <w:sz w:val="32"/>
          <w:szCs w:val="32"/>
        </w:rPr>
      </w:pPr>
    </w:p>
    <w:p w14:paraId="04B3BBCD">
      <w:pPr>
        <w:pStyle w:val="2"/>
        <w:spacing w:before="0" w:beforeLines="0" w:after="0" w:afterLines="0" w:line="560" w:lineRule="exact"/>
        <w:jc w:val="center"/>
        <w:rPr>
          <w:rFonts w:hint="eastAsia" w:ascii="Times New Roman" w:hAnsi="Times New Roman"/>
          <w:b/>
          <w:sz w:val="32"/>
          <w:szCs w:val="32"/>
        </w:rPr>
      </w:pPr>
    </w:p>
    <w:p w14:paraId="48DED139">
      <w:pPr>
        <w:pStyle w:val="2"/>
        <w:spacing w:before="0" w:beforeLines="0" w:after="0" w:afterLines="0" w:line="560" w:lineRule="exact"/>
        <w:jc w:val="center"/>
        <w:rPr>
          <w:rFonts w:hint="default" w:ascii="Arial"/>
          <w:b/>
          <w:sz w:val="56"/>
          <w:szCs w:val="28"/>
        </w:rPr>
      </w:pPr>
      <w:r>
        <w:rPr>
          <w:rFonts w:hint="default" w:ascii="Arial"/>
          <w:b/>
          <w:sz w:val="56"/>
          <w:szCs w:val="28"/>
        </w:rPr>
        <w:drawing>
          <wp:anchor distT="0" distB="0" distL="0" distR="0" simplePos="0" relativeHeight="251659264" behindDoc="0" locked="0" layoutInCell="1" allowOverlap="1">
            <wp:simplePos x="0" y="0"/>
            <wp:positionH relativeFrom="column">
              <wp:posOffset>871855</wp:posOffset>
            </wp:positionH>
            <wp:positionV relativeFrom="paragraph">
              <wp:posOffset>-1125220</wp:posOffset>
            </wp:positionV>
            <wp:extent cx="3524250" cy="1404620"/>
            <wp:effectExtent l="0" t="0" r="6350" b="5080"/>
            <wp:wrapSquare wrapText="bothSides"/>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pic:cNvPicPr>
                  </pic:nvPicPr>
                  <pic:blipFill>
                    <a:blip r:embed="rId4"/>
                    <a:stretch>
                      <a:fillRect/>
                    </a:stretch>
                  </pic:blipFill>
                  <pic:spPr>
                    <a:xfrm>
                      <a:off x="0" y="0"/>
                      <a:ext cx="3524250" cy="1404620"/>
                    </a:xfrm>
                    <a:prstGeom prst="rect">
                      <a:avLst/>
                    </a:prstGeom>
                    <a:noFill/>
                    <a:ln>
                      <a:noFill/>
                    </a:ln>
                  </pic:spPr>
                </pic:pic>
              </a:graphicData>
            </a:graphic>
          </wp:anchor>
        </w:drawing>
      </w:r>
    </w:p>
    <w:p w14:paraId="0D108D27">
      <w:pPr>
        <w:pStyle w:val="2"/>
        <w:spacing w:before="0" w:beforeLines="0" w:after="0" w:afterLines="0" w:line="560" w:lineRule="exact"/>
        <w:jc w:val="center"/>
        <w:rPr>
          <w:rFonts w:hint="default" w:ascii="Arial"/>
          <w:b/>
          <w:sz w:val="56"/>
          <w:szCs w:val="28"/>
        </w:rPr>
      </w:pPr>
    </w:p>
    <w:p w14:paraId="53F920B1">
      <w:pPr>
        <w:spacing w:beforeLines="0" w:afterLines="0"/>
        <w:rPr>
          <w:rFonts w:hint="default" w:ascii="Arial"/>
          <w:b/>
          <w:sz w:val="56"/>
          <w:szCs w:val="24"/>
        </w:rPr>
      </w:pPr>
    </w:p>
    <w:p w14:paraId="13FFCB65">
      <w:pPr>
        <w:spacing w:before="3" w:beforeLines="0" w:afterLines="0"/>
        <w:rPr>
          <w:rFonts w:hint="eastAsia" w:ascii="Arial"/>
          <w:b/>
          <w:sz w:val="48"/>
          <w:szCs w:val="48"/>
        </w:rPr>
      </w:pPr>
      <w:r>
        <w:rPr>
          <w:rFonts w:hint="eastAsia" w:ascii="Arial"/>
          <w:b/>
          <w:sz w:val="48"/>
          <w:szCs w:val="48"/>
        </w:rPr>
        <w:t xml:space="preserve">TITLE: </w:t>
      </w:r>
    </w:p>
    <w:p w14:paraId="7995D1A8">
      <w:pPr>
        <w:spacing w:before="3" w:beforeLines="0" w:afterLines="0"/>
        <w:rPr>
          <w:rFonts w:hint="eastAsia" w:ascii="Arial"/>
          <w:sz w:val="48"/>
          <w:szCs w:val="48"/>
        </w:rPr>
      </w:pPr>
      <w:r>
        <w:rPr>
          <w:rFonts w:hint="eastAsia" w:ascii="Arial"/>
          <w:sz w:val="48"/>
          <w:szCs w:val="48"/>
        </w:rPr>
        <w:t>From Natural Person to Democratic Citizen: A Critical Comparison of Pestalozzi</w:t>
      </w:r>
      <w:r>
        <w:rPr>
          <w:rFonts w:hint="default" w:ascii="Arial"/>
          <w:sz w:val="48"/>
          <w:szCs w:val="48"/>
          <w:lang w:val="en-US" w:eastAsia="zh-CN"/>
        </w:rPr>
        <w:t>’</w:t>
      </w:r>
      <w:r>
        <w:rPr>
          <w:rFonts w:hint="eastAsia" w:ascii="Arial"/>
          <w:sz w:val="48"/>
          <w:szCs w:val="48"/>
        </w:rPr>
        <w:t>s and Dewey</w:t>
      </w:r>
      <w:r>
        <w:rPr>
          <w:rFonts w:hint="default" w:ascii="Arial"/>
          <w:sz w:val="48"/>
          <w:szCs w:val="48"/>
          <w:lang w:val="en-US" w:eastAsia="zh-CN"/>
        </w:rPr>
        <w:t>’</w:t>
      </w:r>
      <w:r>
        <w:rPr>
          <w:rFonts w:hint="eastAsia" w:ascii="Arial"/>
          <w:sz w:val="48"/>
          <w:szCs w:val="48"/>
        </w:rPr>
        <w:t>s Educational Ideas</w:t>
      </w:r>
    </w:p>
    <w:p w14:paraId="41CBEC02">
      <w:pPr>
        <w:spacing w:before="3" w:beforeLines="0" w:afterLines="0"/>
        <w:rPr>
          <w:rFonts w:hint="eastAsia" w:ascii="Arial"/>
          <w:sz w:val="48"/>
          <w:szCs w:val="48"/>
        </w:rPr>
      </w:pPr>
    </w:p>
    <w:p w14:paraId="056A94A9">
      <w:pPr>
        <w:spacing w:before="3" w:beforeLines="0" w:afterLines="0"/>
        <w:rPr>
          <w:rFonts w:hint="eastAsia" w:ascii="Arial"/>
          <w:b/>
          <w:sz w:val="48"/>
          <w:szCs w:val="48"/>
        </w:rPr>
      </w:pPr>
      <w:r>
        <w:rPr>
          <w:rFonts w:hint="default" w:ascii="Arial"/>
          <w:b/>
          <w:sz w:val="48"/>
          <w:szCs w:val="48"/>
        </w:rPr>
        <w:t>MODULE CODE:</w:t>
      </w:r>
      <w:r>
        <w:rPr>
          <w:rFonts w:hint="eastAsia" w:ascii="Arial"/>
          <w:b/>
          <w:sz w:val="48"/>
          <w:szCs w:val="48"/>
        </w:rPr>
        <w:t xml:space="preserve"> </w:t>
      </w:r>
    </w:p>
    <w:p w14:paraId="7A085A03">
      <w:pPr>
        <w:spacing w:before="212" w:beforeLines="0" w:afterLines="0"/>
        <w:rPr>
          <w:rFonts w:hint="eastAsia" w:ascii="Arial" w:eastAsiaTheme="minorEastAsia"/>
          <w:sz w:val="48"/>
          <w:szCs w:val="48"/>
          <w:lang w:eastAsia="zh-CN"/>
        </w:rPr>
      </w:pPr>
      <w:r>
        <w:rPr>
          <w:rFonts w:hint="eastAsia" w:ascii="Arial"/>
          <w:sz w:val="48"/>
          <w:szCs w:val="48"/>
        </w:rPr>
        <w:t>ECE</w:t>
      </w:r>
      <w:r>
        <w:rPr>
          <w:rFonts w:hint="eastAsia" w:ascii="Arial"/>
          <w:sz w:val="48"/>
          <w:szCs w:val="48"/>
          <w:lang w:val="en-US" w:eastAsia="zh-CN"/>
        </w:rPr>
        <w:t>S</w:t>
      </w:r>
      <w:r>
        <w:rPr>
          <w:rFonts w:hint="eastAsia" w:ascii="Arial"/>
          <w:sz w:val="48"/>
          <w:szCs w:val="48"/>
        </w:rPr>
        <w:t>700</w:t>
      </w:r>
      <w:r>
        <w:rPr>
          <w:rFonts w:hint="eastAsia" w:ascii="Arial"/>
          <w:sz w:val="48"/>
          <w:szCs w:val="48"/>
          <w:lang w:val="en-US" w:eastAsia="zh-CN"/>
        </w:rPr>
        <w:t>4</w:t>
      </w:r>
    </w:p>
    <w:p w14:paraId="6B8BC145">
      <w:pPr>
        <w:spacing w:before="212" w:beforeLines="0" w:afterLines="0"/>
        <w:rPr>
          <w:rFonts w:hint="eastAsia" w:ascii="Arial"/>
          <w:sz w:val="48"/>
          <w:szCs w:val="48"/>
        </w:rPr>
      </w:pPr>
    </w:p>
    <w:p w14:paraId="55AB5267">
      <w:pPr>
        <w:spacing w:before="3" w:beforeLines="0" w:afterLines="0"/>
        <w:rPr>
          <w:rFonts w:hint="eastAsia" w:ascii="Arial"/>
          <w:b/>
          <w:sz w:val="48"/>
          <w:szCs w:val="48"/>
        </w:rPr>
      </w:pPr>
      <w:r>
        <w:rPr>
          <w:rFonts w:hint="default" w:ascii="Arial"/>
          <w:b/>
          <w:sz w:val="48"/>
          <w:szCs w:val="48"/>
        </w:rPr>
        <w:t>STUDENT NAME:</w:t>
      </w:r>
      <w:r>
        <w:rPr>
          <w:rFonts w:hint="eastAsia" w:ascii="Arial"/>
          <w:b/>
          <w:sz w:val="48"/>
          <w:szCs w:val="48"/>
        </w:rPr>
        <w:t xml:space="preserve"> </w:t>
      </w:r>
    </w:p>
    <w:p w14:paraId="6610C762">
      <w:pPr>
        <w:spacing w:before="3" w:beforeLines="0" w:afterLines="0"/>
        <w:rPr>
          <w:rFonts w:hint="eastAsia" w:ascii="Arial"/>
          <w:sz w:val="48"/>
          <w:szCs w:val="48"/>
        </w:rPr>
      </w:pPr>
      <w:r>
        <w:rPr>
          <w:rFonts w:hint="eastAsia" w:ascii="Arial"/>
          <w:sz w:val="48"/>
          <w:szCs w:val="48"/>
        </w:rPr>
        <w:t>JIAYU LIN</w:t>
      </w:r>
    </w:p>
    <w:p w14:paraId="2A52F1DA">
      <w:pPr>
        <w:spacing w:before="3" w:beforeLines="0" w:afterLines="0"/>
        <w:rPr>
          <w:rFonts w:hint="eastAsia" w:ascii="Arial"/>
          <w:sz w:val="48"/>
          <w:szCs w:val="48"/>
        </w:rPr>
      </w:pPr>
    </w:p>
    <w:p w14:paraId="1777EADC">
      <w:pPr>
        <w:spacing w:before="3" w:beforeLines="0" w:afterLines="0"/>
        <w:rPr>
          <w:rFonts w:hint="eastAsia" w:ascii="Arial"/>
          <w:b/>
          <w:sz w:val="48"/>
          <w:szCs w:val="48"/>
        </w:rPr>
      </w:pPr>
      <w:r>
        <w:rPr>
          <w:rFonts w:hint="default" w:ascii="Arial"/>
          <w:b/>
          <w:sz w:val="48"/>
          <w:szCs w:val="48"/>
        </w:rPr>
        <w:t>STUDENT NUMBER:</w:t>
      </w:r>
      <w:r>
        <w:rPr>
          <w:rFonts w:hint="eastAsia" w:ascii="Arial"/>
          <w:b/>
          <w:sz w:val="48"/>
          <w:szCs w:val="48"/>
        </w:rPr>
        <w:t xml:space="preserve"> </w:t>
      </w:r>
    </w:p>
    <w:p w14:paraId="6CCE09DB">
      <w:pPr>
        <w:spacing w:before="3" w:beforeLines="0" w:afterLines="0"/>
        <w:rPr>
          <w:rFonts w:hint="eastAsia" w:ascii="Arial"/>
          <w:sz w:val="48"/>
          <w:szCs w:val="48"/>
        </w:rPr>
      </w:pPr>
      <w:r>
        <w:rPr>
          <w:rFonts w:hint="eastAsia" w:ascii="Arial"/>
          <w:sz w:val="48"/>
          <w:szCs w:val="48"/>
        </w:rPr>
        <w:t>2502956</w:t>
      </w:r>
    </w:p>
    <w:p w14:paraId="486C4337">
      <w:pPr>
        <w:rPr>
          <w:rFonts w:hint="eastAsia" w:ascii="Arial"/>
          <w:sz w:val="48"/>
          <w:szCs w:val="48"/>
        </w:rPr>
      </w:pPr>
      <w:r>
        <w:rPr>
          <w:rFonts w:hint="eastAsia" w:ascii="Arial"/>
          <w:sz w:val="48"/>
          <w:szCs w:val="48"/>
        </w:rPr>
        <w:br w:type="page"/>
      </w:r>
    </w:p>
    <w:p w14:paraId="56C094C6">
      <w:pPr>
        <w:rPr>
          <w:rFonts w:hint="default" w:asciiTheme="minorAscii" w:hAnsiTheme="minorAscii"/>
          <w:b/>
          <w:bCs/>
          <w:sz w:val="28"/>
          <w:szCs w:val="36"/>
        </w:rPr>
      </w:pPr>
      <w:r>
        <w:rPr>
          <w:rFonts w:hint="default" w:asciiTheme="minorAscii" w:hAnsiTheme="minorAscii"/>
          <w:b/>
          <w:bCs/>
          <w:sz w:val="28"/>
          <w:szCs w:val="36"/>
        </w:rPr>
        <w:t>Abstract</w:t>
      </w:r>
    </w:p>
    <w:p w14:paraId="126B9030">
      <w:pPr>
        <w:rPr>
          <w:rFonts w:hint="default" w:asciiTheme="minorAscii" w:hAnsiTheme="minorAscii"/>
          <w:b w:val="0"/>
          <w:bCs w:val="0"/>
          <w:sz w:val="21"/>
          <w:szCs w:val="24"/>
        </w:rPr>
      </w:pPr>
      <w:r>
        <w:rPr>
          <w:rFonts w:hint="default" w:asciiTheme="minorAscii" w:hAnsiTheme="minorAscii"/>
          <w:b w:val="0"/>
          <w:bCs w:val="0"/>
          <w:sz w:val="21"/>
          <w:szCs w:val="24"/>
        </w:rPr>
        <w:t>Johann Heinrich Pestalozzi and John Dewey are widely regarded as foundational figures within the progressive education tradition, often associated for their shared opposition to authoritarian and transmissive models of schooling. Yet a closer examination reveals significant divergences in their philosophical underpinnings, educational aims, and proposed means of reform. This paper presents a systematic critical comparison of the two thinkers, analyzing their distinct historical contexts, theoretical frameworks, global influences, and complex—often complementary—legacies. It argues that Pestalozzi’s approach, centered on emotional security and the natural unfolding of the individual, seeks to cultivate a morally integrated person. In contrast, Dewey’s model, grounded in scientific inquiry and democratic participation, aims to develop a critically engaged citizen. Their differences stem not merely from historical period but from fundamentally distinct conceptions of the relationship between individual and society, and between emotion and reason. Ultimately, the paper concludes that the contemporary relevance of Pestalozzi and Dewey lies not in adopting one perspective over the other, but in recognizing the creative tension between them. This dialectic—between Pestalozzi’s humanistic attention to the inner self and Dewey’s pragmatic focus on social reconstruction—offers a vital framework for navigating modern educational challenges such as standardization versus personalization, and academic attainment versus holistic well-being.</w:t>
      </w:r>
    </w:p>
    <w:p w14:paraId="2BCFB910">
      <w:pPr>
        <w:rPr>
          <w:rFonts w:hint="default" w:asciiTheme="minorAscii" w:hAnsiTheme="minorAscii"/>
          <w:b w:val="0"/>
          <w:bCs w:val="0"/>
          <w:sz w:val="21"/>
          <w:szCs w:val="24"/>
        </w:rPr>
      </w:pPr>
    </w:p>
    <w:p w14:paraId="4870311D">
      <w:pPr>
        <w:rPr>
          <w:rFonts w:hint="default" w:asciiTheme="minorAscii" w:hAnsiTheme="minorAscii"/>
          <w:b/>
          <w:bCs/>
          <w:sz w:val="28"/>
          <w:szCs w:val="36"/>
        </w:rPr>
      </w:pPr>
      <w:r>
        <w:rPr>
          <w:rFonts w:hint="default" w:asciiTheme="minorAscii" w:hAnsiTheme="minorAscii"/>
          <w:b/>
          <w:bCs/>
          <w:sz w:val="28"/>
          <w:szCs w:val="36"/>
        </w:rPr>
        <w:br w:type="page"/>
      </w:r>
    </w:p>
    <w:p w14:paraId="3E3D2B8B">
      <w:pPr>
        <w:rPr>
          <w:rFonts w:hint="default" w:asciiTheme="minorAscii" w:hAnsiTheme="minorAscii"/>
          <w:b/>
          <w:bCs/>
          <w:sz w:val="28"/>
          <w:szCs w:val="36"/>
        </w:rPr>
      </w:pPr>
      <w:r>
        <w:rPr>
          <w:rFonts w:hint="default" w:asciiTheme="minorAscii" w:hAnsiTheme="minorAscii"/>
          <w:b/>
          <w:bCs/>
          <w:sz w:val="28"/>
          <w:szCs w:val="36"/>
        </w:rPr>
        <w:t>Introduction</w:t>
      </w:r>
    </w:p>
    <w:p w14:paraId="14EB2BF7">
      <w:pPr>
        <w:rPr>
          <w:rFonts w:hint="default" w:asciiTheme="minorAscii" w:hAnsiTheme="minorAscii"/>
          <w:b w:val="0"/>
          <w:bCs w:val="0"/>
          <w:sz w:val="21"/>
          <w:szCs w:val="24"/>
        </w:rPr>
      </w:pPr>
      <w:r>
        <w:rPr>
          <w:rFonts w:hint="default" w:asciiTheme="minorAscii" w:hAnsiTheme="minorAscii"/>
          <w:b w:val="0"/>
          <w:bCs w:val="0"/>
          <w:sz w:val="21"/>
          <w:szCs w:val="24"/>
        </w:rPr>
        <w:t>The history of educational thought has been shaped by revolutionary figures who challenged entrenched pedagogical systems. Among these, Pestalozzi and Dewey occupy preeminent positions, frequently celebrated together as pioneers of child-centered and experiential learning. While this classification is not inaccurate, it risks obscuring deep philosophical differences between their respective projects. To categorize both merely as “progressives” overlooks the distinctive nature of their critiques. Pestalozzi’s work emerged from late-18th-century European Romanticism as a moral and emotional response to poverty, emphasizing love, intuition, and the harmonious development of human faculties. Dewey’s work, by contrast, arose from American Pragmatism as a scientific and political endeavor focused on reason, problem-solving, and education as a means of democratic renewal. Moving beyond superficial similarities, this paper undertakes a detailed comparative analysis. It examines the historical conditions that shaped each thinker’s mission, dissects their core principles and pedagogical methods, traces their divergent yet pervasive global impacts, and reflects critically on their limitations and contemporary relevance. The central question guiding this inquiry is whether these two theories represent a linear evolution of progressive thought or offer distinct—even contradictory—responses to perennial questions regarding the purpose and practice of education. By illuminating the tension between cultivating the self and reconstructing society, this analysis aims to provide a more nuanced understanding of the philosophical choices underlying modern educational practice.</w:t>
      </w:r>
    </w:p>
    <w:p w14:paraId="192E3D33">
      <w:pPr>
        <w:rPr>
          <w:rFonts w:hint="default" w:asciiTheme="minorAscii" w:hAnsiTheme="minorAscii"/>
          <w:b/>
          <w:bCs/>
          <w:sz w:val="28"/>
          <w:szCs w:val="36"/>
        </w:rPr>
      </w:pPr>
    </w:p>
    <w:p w14:paraId="3FEB0E25">
      <w:pPr>
        <w:rPr>
          <w:rFonts w:hint="default" w:asciiTheme="minorAscii" w:hAnsiTheme="minorAscii"/>
          <w:b/>
          <w:bCs/>
          <w:sz w:val="28"/>
          <w:szCs w:val="36"/>
        </w:rPr>
      </w:pPr>
      <w:r>
        <w:rPr>
          <w:rFonts w:hint="default" w:asciiTheme="minorAscii" w:hAnsiTheme="minorAscii"/>
          <w:b/>
          <w:bCs/>
          <w:sz w:val="28"/>
          <w:szCs w:val="36"/>
        </w:rPr>
        <w:br w:type="page"/>
      </w:r>
    </w:p>
    <w:p w14:paraId="3CB8AE9E">
      <w:pPr>
        <w:rPr>
          <w:rFonts w:hint="default" w:asciiTheme="minorAscii" w:hAnsiTheme="minorAscii"/>
          <w:b/>
          <w:bCs/>
          <w:sz w:val="28"/>
          <w:szCs w:val="36"/>
        </w:rPr>
      </w:pPr>
      <w:r>
        <w:rPr>
          <w:rFonts w:hint="default" w:asciiTheme="minorAscii" w:hAnsiTheme="minorAscii"/>
          <w:b/>
          <w:bCs/>
          <w:sz w:val="28"/>
          <w:szCs w:val="36"/>
        </w:rPr>
        <w:t>Part 1: Historical Context and Intellectual Origins: Two Different Worlds of Crisis</w:t>
      </w:r>
    </w:p>
    <w:p w14:paraId="6217741F">
      <w:pPr>
        <w:rPr>
          <w:rFonts w:hint="default" w:asciiTheme="minorAscii" w:hAnsiTheme="minorAscii"/>
          <w:b/>
          <w:bCs/>
          <w:sz w:val="21"/>
          <w:szCs w:val="24"/>
        </w:rPr>
      </w:pPr>
    </w:p>
    <w:p w14:paraId="3707A6E5">
      <w:pPr>
        <w:rPr>
          <w:rFonts w:hint="default" w:asciiTheme="minorAscii" w:hAnsiTheme="minorAscii"/>
          <w:b/>
          <w:bCs/>
          <w:sz w:val="21"/>
          <w:szCs w:val="24"/>
        </w:rPr>
      </w:pPr>
      <w:r>
        <w:rPr>
          <w:rFonts w:hint="default" w:asciiTheme="minorAscii" w:hAnsiTheme="minorAscii"/>
          <w:b/>
          <w:bCs/>
          <w:sz w:val="21"/>
          <w:szCs w:val="24"/>
        </w:rPr>
        <w:t>1.1 Pestalozzi: The Saint of Stanze and the Romance of Nature</w:t>
      </w:r>
    </w:p>
    <w:p w14:paraId="56D1BEE2">
      <w:pPr>
        <w:rPr>
          <w:rFonts w:hint="default" w:asciiTheme="minorAscii" w:hAnsiTheme="minorAscii"/>
          <w:b w:val="0"/>
          <w:bCs w:val="0"/>
          <w:sz w:val="21"/>
          <w:szCs w:val="24"/>
        </w:rPr>
      </w:pPr>
      <w:r>
        <w:rPr>
          <w:rFonts w:hint="default" w:asciiTheme="minorAscii" w:hAnsiTheme="minorAscii"/>
          <w:b w:val="0"/>
          <w:bCs w:val="0"/>
          <w:sz w:val="21"/>
          <w:szCs w:val="24"/>
        </w:rPr>
        <w:t xml:space="preserve">Johann Heinrich Pestalozzi (1746–1827) developed his educational ideas amid profound social upheaval in the German-speaking cantons of Switzerland. </w:t>
      </w:r>
      <w:bookmarkStart w:id="0" w:name="_GoBack"/>
      <w:bookmarkEnd w:id="0"/>
      <w:r>
        <w:rPr>
          <w:rFonts w:hint="default" w:asciiTheme="minorAscii" w:hAnsiTheme="minorAscii"/>
          <w:b w:val="0"/>
          <w:bCs w:val="0"/>
          <w:sz w:val="21"/>
          <w:szCs w:val="24"/>
        </w:rPr>
        <w:t>The late 18th century witnessed the decline of feudal structures and the disruptive onset of proto-industrialization. For Pestalozzi, poverty was not an abstract concept but a daily reality faced by the children he sheltered at Neuhof and later at the orphanage in Stanze following the turmoil of the French Revolutionary Wars. His was a practical, urgent humanitarianism. Unlike theoretical philosophers, his pedagogical principles were forged in the struggle to feed, comfort, and educate society’s most vulnerable members. This direct engagement led him to a radical conclusion: traditional schooling, with its emphasis on rote memorization of classical texts, was both irrelevant and cruel to the poor. True social reform, he believed, must begin not with political systems but with the moral and intellectual transformation of the individual child (Silva, 2012).</w:t>
      </w:r>
    </w:p>
    <w:p w14:paraId="26096375">
      <w:pPr>
        <w:rPr>
          <w:rFonts w:hint="default" w:asciiTheme="minorAscii" w:hAnsiTheme="minorAscii"/>
          <w:b w:val="0"/>
          <w:bCs w:val="0"/>
          <w:sz w:val="21"/>
          <w:szCs w:val="24"/>
        </w:rPr>
      </w:pPr>
    </w:p>
    <w:p w14:paraId="5CBA36DF">
      <w:pPr>
        <w:rPr>
          <w:rFonts w:hint="default" w:asciiTheme="minorAscii" w:hAnsiTheme="minorAscii"/>
          <w:b w:val="0"/>
          <w:bCs w:val="0"/>
          <w:sz w:val="21"/>
          <w:szCs w:val="24"/>
        </w:rPr>
      </w:pPr>
      <w:r>
        <w:rPr>
          <w:rFonts w:hint="default" w:asciiTheme="minorAscii" w:hAnsiTheme="minorAscii"/>
          <w:b w:val="0"/>
          <w:bCs w:val="0"/>
          <w:sz w:val="21"/>
          <w:szCs w:val="24"/>
        </w:rPr>
        <w:t>Intellectually, Pestalozzi was deeply influenced by Jean-Jacques Rousseau, whose work Emile (1762) advocated the innate goodness of the child and learning through nature. However, Pestalozzi diverged significantly from his mentor: whereas Rousseau envisioned an education isolated from corrupt society, Pestalozzi situated learning within a simulated, purified family environment. He transformed Rousseau’s abstract “natural man” into a concrete pedagogical project, replacing solitude with a community bound by “educational love.” His driving conviction was quasi-religious: a mother’s love represented the first and most powerful form of education, and this model of affectionate guidance should inform all teaching. His life’s work aimed to institutionalize this maternal principle to heal a fractured social order.</w:t>
      </w:r>
    </w:p>
    <w:p w14:paraId="1E9A3D2A">
      <w:pPr>
        <w:rPr>
          <w:rFonts w:hint="default" w:asciiTheme="minorAscii" w:hAnsiTheme="minorAscii"/>
          <w:b/>
          <w:bCs/>
          <w:sz w:val="21"/>
          <w:szCs w:val="24"/>
        </w:rPr>
      </w:pPr>
    </w:p>
    <w:p w14:paraId="5F79958C">
      <w:pPr>
        <w:rPr>
          <w:rFonts w:hint="default" w:asciiTheme="minorAscii" w:hAnsiTheme="minorAscii"/>
          <w:b/>
          <w:bCs/>
          <w:sz w:val="21"/>
          <w:szCs w:val="24"/>
        </w:rPr>
      </w:pPr>
      <w:r>
        <w:rPr>
          <w:rFonts w:hint="default" w:asciiTheme="minorAscii" w:hAnsiTheme="minorAscii"/>
          <w:b/>
          <w:bCs/>
          <w:sz w:val="21"/>
          <w:szCs w:val="24"/>
        </w:rPr>
        <w:t>1.2 Dewey: The Philosopher in the Laboratory and the Democratic Imperative</w:t>
      </w:r>
    </w:p>
    <w:p w14:paraId="1F7B2C02">
      <w:pPr>
        <w:rPr>
          <w:rFonts w:hint="default" w:asciiTheme="minorAscii" w:hAnsiTheme="minorAscii"/>
          <w:b w:val="0"/>
          <w:bCs w:val="0"/>
          <w:sz w:val="21"/>
          <w:szCs w:val="24"/>
        </w:rPr>
      </w:pPr>
      <w:r>
        <w:rPr>
          <w:rFonts w:hint="default" w:asciiTheme="minorAscii" w:hAnsiTheme="minorAscii"/>
          <w:b w:val="0"/>
          <w:bCs w:val="0"/>
          <w:sz w:val="21"/>
          <w:szCs w:val="24"/>
        </w:rPr>
        <w:t>John Dewey (1859–1952) formulated his educational philosophy in a different context of crisis: the dynamic and turbulent America of the Gilded Age and Progressive Era. The United States was grappling with rapid industrialization, mass immigration, urban expansion, and growing inequalities under capitalist development. The central challenge was no longer caring for orphans in rural settings but integrating a diverse population into a functioning industrial democracy. The conventional academic curriculum appeared increasingly inadequate for this task. Dewey, as a philosopher of the Pragmatist school, approached education as the primary testing ground for his ideas. Pragmatism, advanced by Charles Sanders Peirce and William James, rejected the pursuit of absolute truths, proposing instead that ideas are instruments for problem-solving, validated by their practical consequences.</w:t>
      </w:r>
    </w:p>
    <w:p w14:paraId="5722D24B">
      <w:pPr>
        <w:rPr>
          <w:rFonts w:hint="default" w:asciiTheme="minorAscii" w:hAnsiTheme="minorAscii"/>
          <w:b w:val="0"/>
          <w:bCs w:val="0"/>
          <w:sz w:val="21"/>
          <w:szCs w:val="24"/>
        </w:rPr>
      </w:pPr>
    </w:p>
    <w:p w14:paraId="3FFCA7FA">
      <w:pPr>
        <w:rPr>
          <w:rFonts w:hint="default" w:asciiTheme="minorAscii" w:hAnsiTheme="minorAscii"/>
          <w:b w:val="0"/>
          <w:bCs w:val="0"/>
          <w:sz w:val="21"/>
          <w:szCs w:val="24"/>
        </w:rPr>
      </w:pPr>
      <w:r>
        <w:rPr>
          <w:rFonts w:hint="default" w:asciiTheme="minorAscii" w:hAnsiTheme="minorAscii"/>
          <w:b w:val="0"/>
          <w:bCs w:val="0"/>
          <w:sz w:val="21"/>
          <w:szCs w:val="24"/>
        </w:rPr>
        <w:t>For Dewey, the paramount problem of his age was how to sustain democracy in a complex modern society. He viewed traditional schools—with passive students, fixed curricula, and authoritarian teachers—as anti-democratic institutions that prepared individuals for subservience rather than active participation. In 1896, he established the University of Chicago Laboratory School not as a charitable endeavor but as a scientific laboratory. There, he experimentally tested his hypothesis that school should not merely prepare for life but constitute a form of communal life itself. His guiding question was consistently social and political: How can education equip individuals with the habits of mind—critical inquiry, cooperation, adaptability—required to navigate and improve a continually changing democratic society? (Dewey, 1916). Thus, his work constituted a direct response to the social and intellectual demands of modernization.</w:t>
      </w:r>
    </w:p>
    <w:p w14:paraId="1E26123C">
      <w:pPr>
        <w:rPr>
          <w:rFonts w:hint="default" w:asciiTheme="minorAscii" w:hAnsiTheme="minorAscii"/>
          <w:b w:val="0"/>
          <w:bCs w:val="0"/>
          <w:sz w:val="21"/>
          <w:szCs w:val="24"/>
        </w:rPr>
      </w:pPr>
    </w:p>
    <w:p w14:paraId="36D8322F">
      <w:pPr>
        <w:rPr>
          <w:rFonts w:hint="default" w:asciiTheme="minorAscii" w:hAnsiTheme="minorAscii"/>
          <w:b/>
          <w:bCs/>
          <w:sz w:val="28"/>
          <w:szCs w:val="36"/>
        </w:rPr>
      </w:pPr>
      <w:r>
        <w:rPr>
          <w:rFonts w:hint="default" w:asciiTheme="minorAscii" w:hAnsiTheme="minorAscii"/>
          <w:b/>
          <w:bCs/>
          <w:sz w:val="28"/>
          <w:szCs w:val="36"/>
        </w:rPr>
        <w:br w:type="page"/>
      </w:r>
    </w:p>
    <w:p w14:paraId="487611CF">
      <w:pPr>
        <w:rPr>
          <w:rFonts w:hint="default" w:asciiTheme="minorAscii" w:hAnsiTheme="minorAscii"/>
          <w:b/>
          <w:bCs/>
          <w:sz w:val="28"/>
          <w:szCs w:val="36"/>
        </w:rPr>
      </w:pPr>
      <w:r>
        <w:rPr>
          <w:rFonts w:hint="default" w:asciiTheme="minorAscii" w:hAnsiTheme="minorAscii"/>
          <w:b/>
          <w:bCs/>
          <w:sz w:val="28"/>
          <w:szCs w:val="36"/>
        </w:rPr>
        <w:t>Part 2: Core Theories and Educational Practices: From Intuitive Perception to Scientific Experiment</w:t>
      </w:r>
    </w:p>
    <w:p w14:paraId="6F86A1C6">
      <w:pPr>
        <w:rPr>
          <w:rFonts w:hint="default" w:asciiTheme="minorAscii" w:hAnsiTheme="minorAscii"/>
          <w:b/>
          <w:bCs/>
          <w:sz w:val="21"/>
          <w:szCs w:val="24"/>
        </w:rPr>
      </w:pPr>
    </w:p>
    <w:p w14:paraId="3094DE26">
      <w:pPr>
        <w:rPr>
          <w:rFonts w:hint="default" w:asciiTheme="minorAscii" w:hAnsiTheme="minorAscii"/>
          <w:b/>
          <w:bCs/>
          <w:sz w:val="21"/>
          <w:szCs w:val="24"/>
        </w:rPr>
      </w:pPr>
      <w:r>
        <w:rPr>
          <w:rFonts w:hint="default" w:asciiTheme="minorAscii" w:hAnsiTheme="minorAscii"/>
          <w:b/>
          <w:bCs/>
          <w:sz w:val="21"/>
          <w:szCs w:val="24"/>
        </w:rPr>
        <w:t>2.1 Pestalozzi: A Methodology of Harmony and Moral Feeling</w:t>
      </w:r>
    </w:p>
    <w:p w14:paraId="6F0B588D">
      <w:pPr>
        <w:rPr>
          <w:rFonts w:hint="default" w:asciiTheme="minorAscii" w:hAnsiTheme="minorAscii"/>
          <w:b w:val="0"/>
          <w:bCs w:val="0"/>
          <w:sz w:val="21"/>
          <w:szCs w:val="24"/>
        </w:rPr>
      </w:pPr>
      <w:r>
        <w:rPr>
          <w:rFonts w:hint="default" w:asciiTheme="minorAscii" w:hAnsiTheme="minorAscii"/>
          <w:b w:val="0"/>
          <w:bCs w:val="0"/>
          <w:sz w:val="21"/>
          <w:szCs w:val="24"/>
        </w:rPr>
        <w:t>Pestalozzi’s educational objective was succinctly captured in his triad of “head, heart, and hand” (Kopf, Herz, und Hand). This represented not a mere checklist of skills but a vision of organic, integrated human development. The “head” signified intellectual clarity, the “heart” moral sensibility and love, and the “hand” practical skill and industriousness. Imbalance among these facets yielded a distorted individual: a scholar without morality, a sentimentalist without intellect, or a laborer without understanding.</w:t>
      </w:r>
    </w:p>
    <w:p w14:paraId="55962ABB">
      <w:pPr>
        <w:rPr>
          <w:rFonts w:hint="default" w:asciiTheme="minorAscii" w:hAnsiTheme="minorAscii"/>
          <w:b w:val="0"/>
          <w:bCs w:val="0"/>
          <w:sz w:val="21"/>
          <w:szCs w:val="24"/>
        </w:rPr>
      </w:pPr>
    </w:p>
    <w:p w14:paraId="7C63F8B3">
      <w:pPr>
        <w:rPr>
          <w:rFonts w:hint="default" w:asciiTheme="minorAscii" w:hAnsiTheme="minorAscii"/>
          <w:b w:val="0"/>
          <w:bCs w:val="0"/>
          <w:sz w:val="21"/>
          <w:szCs w:val="24"/>
        </w:rPr>
      </w:pPr>
      <w:r>
        <w:rPr>
          <w:rFonts w:hint="default" w:asciiTheme="minorAscii" w:hAnsiTheme="minorAscii"/>
          <w:b w:val="0"/>
          <w:bCs w:val="0"/>
          <w:sz w:val="21"/>
          <w:szCs w:val="24"/>
        </w:rPr>
        <w:t>To foster this balance, he developed a revolutionary, albeit sometimes rigid, methodology:</w:t>
      </w:r>
    </w:p>
    <w:p w14:paraId="6E9909DA">
      <w:pPr>
        <w:rPr>
          <w:rFonts w:hint="default" w:asciiTheme="minorAscii" w:hAnsiTheme="minorAscii"/>
          <w:b w:val="0"/>
          <w:bCs w:val="0"/>
          <w:sz w:val="21"/>
          <w:szCs w:val="24"/>
        </w:rPr>
      </w:pPr>
    </w:p>
    <w:p w14:paraId="20ECF244">
      <w:pPr>
        <w:rPr>
          <w:rFonts w:hint="default" w:asciiTheme="minorAscii" w:hAnsiTheme="minorAscii"/>
          <w:b w:val="0"/>
          <w:bCs w:val="0"/>
          <w:sz w:val="21"/>
          <w:szCs w:val="24"/>
        </w:rPr>
      </w:pPr>
      <w:r>
        <w:rPr>
          <w:rFonts w:hint="default" w:asciiTheme="minorAscii" w:hAnsiTheme="minorAscii"/>
          <w:b w:val="0"/>
          <w:bCs w:val="0"/>
          <w:sz w:val="21"/>
          <w:szCs w:val="24"/>
        </w:rPr>
        <w:t>Anschauung (Intuitive Perception): This formed the indispensable foundation. Pestalozzi contended that all knowledge, including abstract concepts, must originate in the child’s direct sensory experience of concrete objects. “The world is the book of the child,” he asserted. Before learning the word “round,” a child must handle a ball or an apple. This principle opposed the verbalism of traditional teaching, insisting that instruction begin with observation rather than description.</w:t>
      </w:r>
    </w:p>
    <w:p w14:paraId="508ED1D2">
      <w:pPr>
        <w:rPr>
          <w:rFonts w:hint="default" w:asciiTheme="minorAscii" w:hAnsiTheme="minorAscii"/>
          <w:b w:val="0"/>
          <w:bCs w:val="0"/>
          <w:sz w:val="21"/>
          <w:szCs w:val="24"/>
        </w:rPr>
      </w:pPr>
    </w:p>
    <w:p w14:paraId="58300951">
      <w:pPr>
        <w:rPr>
          <w:rFonts w:hint="default" w:asciiTheme="minorAscii" w:hAnsiTheme="minorAscii"/>
          <w:b w:val="0"/>
          <w:bCs w:val="0"/>
          <w:sz w:val="21"/>
          <w:szCs w:val="24"/>
        </w:rPr>
      </w:pPr>
      <w:r>
        <w:rPr>
          <w:rFonts w:hint="default" w:asciiTheme="minorAscii" w:hAnsiTheme="minorAscii"/>
          <w:b w:val="0"/>
          <w:bCs w:val="0"/>
          <w:sz w:val="21"/>
          <w:szCs w:val="24"/>
        </w:rPr>
        <w:t>The Elemental Method: Building on Anschauung, Pestalozzi maintained that every subject possessed fundamental, simple “elements.” Education involved mastering these elements and progressively combining them into complex wholes. In arithmetic, the element was “one”; in form, the straight line; in language, the basic phoneme. Teachers were to design exercises enabling children to discover these elements themselves, ensuring knowledge was actively constructed rather than passively absorbed (Pestalozzi, 1801).</w:t>
      </w:r>
    </w:p>
    <w:p w14:paraId="5897F40A">
      <w:pPr>
        <w:rPr>
          <w:rFonts w:hint="default" w:asciiTheme="minorAscii" w:hAnsiTheme="minorAscii"/>
          <w:b w:val="0"/>
          <w:bCs w:val="0"/>
          <w:sz w:val="21"/>
          <w:szCs w:val="24"/>
        </w:rPr>
      </w:pPr>
    </w:p>
    <w:p w14:paraId="77A4E7F7">
      <w:pPr>
        <w:rPr>
          <w:rFonts w:hint="default" w:asciiTheme="minorAscii" w:hAnsiTheme="minorAscii"/>
          <w:b w:val="0"/>
          <w:bCs w:val="0"/>
          <w:sz w:val="21"/>
          <w:szCs w:val="24"/>
        </w:rPr>
      </w:pPr>
      <w:r>
        <w:rPr>
          <w:rFonts w:hint="default" w:asciiTheme="minorAscii" w:hAnsiTheme="minorAscii"/>
          <w:b w:val="0"/>
          <w:bCs w:val="0"/>
          <w:sz w:val="21"/>
          <w:szCs w:val="24"/>
        </w:rPr>
        <w:t>The Primacy of Educational Love (Liebe): This constituted the atmosphere essential for growth. Pestalozzi believed intellectual instruction was futile, even harmful, without a prior bond of trust and affection. The teacher’s role was fundamentally maternal (or paternal); authority derived from care, not fear. Moral education emerged naturally from this secure emotional base as the child’s innate love for the caregiver extended to family, community, and ultimately humanity.</w:t>
      </w:r>
    </w:p>
    <w:p w14:paraId="5250A8A9">
      <w:pPr>
        <w:rPr>
          <w:rFonts w:hint="default" w:asciiTheme="minorAscii" w:hAnsiTheme="minorAscii"/>
          <w:b w:val="0"/>
          <w:bCs w:val="0"/>
          <w:sz w:val="21"/>
          <w:szCs w:val="24"/>
        </w:rPr>
      </w:pPr>
    </w:p>
    <w:p w14:paraId="49DF1EBD">
      <w:pPr>
        <w:rPr>
          <w:rFonts w:hint="default" w:asciiTheme="minorAscii" w:hAnsiTheme="minorAscii"/>
          <w:b/>
          <w:bCs/>
          <w:sz w:val="21"/>
          <w:szCs w:val="24"/>
        </w:rPr>
      </w:pPr>
      <w:r>
        <w:rPr>
          <w:rFonts w:hint="default" w:asciiTheme="minorAscii" w:hAnsiTheme="minorAscii"/>
          <w:b/>
          <w:bCs/>
          <w:sz w:val="21"/>
          <w:szCs w:val="24"/>
        </w:rPr>
        <w:t>2.2 Dewey: A Methodology of Experience and Democratic Problem-Solving</w:t>
      </w:r>
    </w:p>
    <w:p w14:paraId="42F8B33D">
      <w:pPr>
        <w:rPr>
          <w:rFonts w:hint="default" w:asciiTheme="minorAscii" w:hAnsiTheme="minorAscii"/>
          <w:b w:val="0"/>
          <w:bCs w:val="0"/>
          <w:sz w:val="21"/>
          <w:szCs w:val="24"/>
        </w:rPr>
      </w:pPr>
      <w:r>
        <w:rPr>
          <w:rFonts w:hint="default" w:asciiTheme="minorAscii" w:hAnsiTheme="minorAscii"/>
          <w:b w:val="0"/>
          <w:bCs w:val="0"/>
          <w:sz w:val="21"/>
          <w:szCs w:val="24"/>
        </w:rPr>
        <w:t>Dewey defined education in active, process-oriented terms: “Education is not preparation for life; education is life itself.” He viewed life as a series of problem-solving situations and consequently described education as the “continual reconstruction of experience.” From this perspective followed his famous dictum: the school must become “an embryonic community life,” a microcosm of society where children learn democracy through lived practice.</w:t>
      </w:r>
    </w:p>
    <w:p w14:paraId="14DAB95B">
      <w:pPr>
        <w:rPr>
          <w:rFonts w:hint="default" w:asciiTheme="minorAscii" w:hAnsiTheme="minorAscii"/>
          <w:b w:val="0"/>
          <w:bCs w:val="0"/>
          <w:sz w:val="21"/>
          <w:szCs w:val="24"/>
        </w:rPr>
      </w:pPr>
    </w:p>
    <w:p w14:paraId="754A0BFB">
      <w:pPr>
        <w:rPr>
          <w:rFonts w:hint="default" w:asciiTheme="minorAscii" w:hAnsiTheme="minorAscii"/>
          <w:b w:val="0"/>
          <w:bCs w:val="0"/>
          <w:sz w:val="21"/>
          <w:szCs w:val="24"/>
        </w:rPr>
      </w:pPr>
      <w:r>
        <w:rPr>
          <w:rFonts w:hint="default" w:asciiTheme="minorAscii" w:hAnsiTheme="minorAscii"/>
          <w:b w:val="0"/>
          <w:bCs w:val="0"/>
          <w:sz w:val="21"/>
          <w:szCs w:val="24"/>
        </w:rPr>
        <w:t>His corresponding pedagogical methods were designed to enact this philosophy:</w:t>
      </w:r>
    </w:p>
    <w:p w14:paraId="1B8EE4D9">
      <w:pPr>
        <w:rPr>
          <w:rFonts w:hint="default" w:asciiTheme="minorAscii" w:hAnsiTheme="minorAscii"/>
          <w:b w:val="0"/>
          <w:bCs w:val="0"/>
          <w:sz w:val="21"/>
          <w:szCs w:val="24"/>
        </w:rPr>
      </w:pPr>
    </w:p>
    <w:p w14:paraId="10DC4EAD">
      <w:pPr>
        <w:rPr>
          <w:rFonts w:hint="default" w:asciiTheme="minorAscii" w:hAnsiTheme="minorAscii"/>
          <w:b w:val="0"/>
          <w:bCs w:val="0"/>
          <w:sz w:val="21"/>
          <w:szCs w:val="24"/>
        </w:rPr>
      </w:pPr>
      <w:r>
        <w:rPr>
          <w:rFonts w:hint="default" w:asciiTheme="minorAscii" w:hAnsiTheme="minorAscii"/>
          <w:b w:val="0"/>
          <w:bCs w:val="0"/>
          <w:sz w:val="21"/>
          <w:szCs w:val="24"/>
        </w:rPr>
        <w:t>Learning by Doing (The Experiential Continuum): For Dewey, “doing” entailed not merely manual activity but purposeful, reflective engagement with a problematic situation. Students might operate a class store to learn arithmetic, cultivate a garden to study biology, or produce a play to understand history and literature. Crucially, the activity had to be intrinsically interesting and generate authentic problems requiring research, planning, and collaboration. Knowledge emerged as an instrument for achieving desired outcomes.</w:t>
      </w:r>
    </w:p>
    <w:p w14:paraId="44C4A7AA">
      <w:pPr>
        <w:rPr>
          <w:rFonts w:hint="default" w:asciiTheme="minorAscii" w:hAnsiTheme="minorAscii"/>
          <w:b w:val="0"/>
          <w:bCs w:val="0"/>
          <w:sz w:val="21"/>
          <w:szCs w:val="24"/>
        </w:rPr>
      </w:pPr>
    </w:p>
    <w:p w14:paraId="731295AC">
      <w:pPr>
        <w:rPr>
          <w:rFonts w:hint="default" w:asciiTheme="minorAscii" w:hAnsiTheme="minorAscii"/>
          <w:b w:val="0"/>
          <w:bCs w:val="0"/>
          <w:sz w:val="21"/>
          <w:szCs w:val="24"/>
        </w:rPr>
      </w:pPr>
      <w:r>
        <w:rPr>
          <w:rFonts w:hint="default" w:asciiTheme="minorAscii" w:hAnsiTheme="minorAscii"/>
          <w:b w:val="0"/>
          <w:bCs w:val="0"/>
          <w:sz w:val="21"/>
          <w:szCs w:val="24"/>
        </w:rPr>
        <w:t>The Reflective Thinking Process: Dewey systematized learning into a scientific model, often termed the “five steps of thought” or the “complete act of thinking”: (i) a felt difficulty, (ii) its definition as a problem, (iii) generation of possible solutions (hypotheses), (iv) reasoning through the implications of each, and (v) testing through action. The teacher’s skill lay in orchestrating the environment to present fruitful problems and guiding students through this cycle of inquiry.</w:t>
      </w:r>
    </w:p>
    <w:p w14:paraId="3A930188">
      <w:pPr>
        <w:rPr>
          <w:rFonts w:hint="default" w:asciiTheme="minorAscii" w:hAnsiTheme="minorAscii"/>
          <w:b w:val="0"/>
          <w:bCs w:val="0"/>
          <w:sz w:val="21"/>
          <w:szCs w:val="24"/>
        </w:rPr>
      </w:pPr>
    </w:p>
    <w:p w14:paraId="127D7ED0">
      <w:pPr>
        <w:rPr>
          <w:rFonts w:hint="default" w:asciiTheme="minorAscii" w:hAnsiTheme="minorAscii"/>
          <w:b w:val="0"/>
          <w:bCs w:val="0"/>
          <w:sz w:val="21"/>
          <w:szCs w:val="24"/>
        </w:rPr>
      </w:pPr>
      <w:r>
        <w:rPr>
          <w:rFonts w:hint="default" w:asciiTheme="minorAscii" w:hAnsiTheme="minorAscii"/>
          <w:b w:val="0"/>
          <w:bCs w:val="0"/>
          <w:sz w:val="21"/>
          <w:szCs w:val="24"/>
        </w:rPr>
        <w:t>The Child and the Curriculum as Interactive: Dewey rejected the false dichotomy between “child-centered” and “subject-centered” education. The child’s present experiences and interests served as the starting point, but the organized knowledge of the curriculum (the “race’s accumulated wisdom”) represented the essential destination. The teacher’s role was that of a mediator, skillfully connecting the child’s spontaneous activities to the systematic structures of human knowledge (Dewey, 1938). This demanded considerable pedagogical expertise beyond that of a lecturer or mere facilitator.</w:t>
      </w:r>
    </w:p>
    <w:p w14:paraId="5DB00EDA">
      <w:pPr>
        <w:rPr>
          <w:rFonts w:hint="default" w:asciiTheme="minorAscii" w:hAnsiTheme="minorAscii"/>
          <w:b w:val="0"/>
          <w:bCs w:val="0"/>
          <w:sz w:val="21"/>
          <w:szCs w:val="24"/>
        </w:rPr>
      </w:pPr>
    </w:p>
    <w:p w14:paraId="6D23808D">
      <w:pPr>
        <w:rPr>
          <w:rFonts w:hint="default" w:asciiTheme="minorAscii" w:hAnsiTheme="minorAscii"/>
          <w:b/>
          <w:bCs/>
          <w:sz w:val="28"/>
          <w:szCs w:val="36"/>
        </w:rPr>
      </w:pPr>
      <w:r>
        <w:rPr>
          <w:rFonts w:hint="default" w:asciiTheme="minorAscii" w:hAnsiTheme="minorAscii"/>
          <w:b/>
          <w:bCs/>
          <w:sz w:val="28"/>
          <w:szCs w:val="36"/>
        </w:rPr>
        <w:br w:type="page"/>
      </w:r>
    </w:p>
    <w:p w14:paraId="2BD4C62B">
      <w:pPr>
        <w:rPr>
          <w:rFonts w:hint="default" w:asciiTheme="minorAscii" w:hAnsiTheme="minorAscii"/>
          <w:b/>
          <w:bCs/>
          <w:sz w:val="28"/>
          <w:szCs w:val="36"/>
        </w:rPr>
      </w:pPr>
      <w:r>
        <w:rPr>
          <w:rFonts w:hint="default" w:asciiTheme="minorAscii" w:hAnsiTheme="minorAscii"/>
          <w:b/>
          <w:bCs/>
          <w:sz w:val="28"/>
          <w:szCs w:val="36"/>
        </w:rPr>
        <w:t>Part 3: Historical Impact and Global Echoes: Diverging Legacies</w:t>
      </w:r>
    </w:p>
    <w:p w14:paraId="64DFB037">
      <w:pPr>
        <w:rPr>
          <w:rFonts w:hint="default" w:asciiTheme="minorAscii" w:hAnsiTheme="minorAscii"/>
          <w:b w:val="0"/>
          <w:bCs w:val="0"/>
          <w:sz w:val="21"/>
          <w:szCs w:val="24"/>
        </w:rPr>
      </w:pPr>
    </w:p>
    <w:p w14:paraId="7CAE2B47">
      <w:pPr>
        <w:rPr>
          <w:rFonts w:hint="default" w:asciiTheme="minorAscii" w:hAnsiTheme="minorAscii"/>
          <w:b/>
          <w:bCs/>
          <w:sz w:val="21"/>
          <w:szCs w:val="24"/>
        </w:rPr>
      </w:pPr>
      <w:r>
        <w:rPr>
          <w:rFonts w:hint="default" w:asciiTheme="minorAscii" w:hAnsiTheme="minorAscii"/>
          <w:b/>
          <w:bCs/>
          <w:sz w:val="21"/>
          <w:szCs w:val="24"/>
        </w:rPr>
        <w:t>3.1 Pestalozzi's Legacy: The Humanising Impulse</w:t>
      </w:r>
    </w:p>
    <w:p w14:paraId="3270D27A">
      <w:pPr>
        <w:rPr>
          <w:rFonts w:hint="default" w:asciiTheme="minorAscii" w:hAnsiTheme="minorAscii"/>
          <w:b w:val="0"/>
          <w:bCs w:val="0"/>
          <w:sz w:val="21"/>
          <w:szCs w:val="24"/>
        </w:rPr>
      </w:pPr>
      <w:r>
        <w:rPr>
          <w:rFonts w:hint="default" w:asciiTheme="minorAscii" w:hAnsiTheme="minorAscii"/>
          <w:b w:val="0"/>
          <w:bCs w:val="0"/>
          <w:sz w:val="21"/>
          <w:szCs w:val="24"/>
        </w:rPr>
        <w:t>Pestalozzi’s influence has been profound and diffuse, shaping the ethos of modern elementary education. He is rightly considered a founder of “popular education” and a key figure in the “psychologization of pedagogy,” insisting that teaching methods align with the child’s natural development. His most direct disciple, Friedrich Fröbel, adapted his ideas to create the kindergarten, a world of symbolic play and gifts based on Pestalozzi’s “elements.” His emphasis on object-based learning, moral atmosphere, and teacher affection became integral to teacher training across Europe and North America in the 19th century.</w:t>
      </w:r>
    </w:p>
    <w:p w14:paraId="365C5CDA">
      <w:pPr>
        <w:rPr>
          <w:rFonts w:hint="default" w:asciiTheme="minorAscii" w:hAnsiTheme="minorAscii"/>
          <w:b w:val="0"/>
          <w:bCs w:val="0"/>
          <w:sz w:val="21"/>
          <w:szCs w:val="24"/>
        </w:rPr>
      </w:pPr>
    </w:p>
    <w:p w14:paraId="753A6DB2">
      <w:pPr>
        <w:rPr>
          <w:rFonts w:hint="default" w:asciiTheme="minorAscii" w:hAnsiTheme="minorAscii"/>
          <w:b w:val="0"/>
          <w:bCs w:val="0"/>
          <w:sz w:val="21"/>
          <w:szCs w:val="24"/>
        </w:rPr>
      </w:pPr>
      <w:r>
        <w:rPr>
          <w:rFonts w:hint="default" w:asciiTheme="minorAscii" w:hAnsiTheme="minorAscii"/>
          <w:b w:val="0"/>
          <w:bCs w:val="0"/>
          <w:sz w:val="21"/>
          <w:szCs w:val="24"/>
        </w:rPr>
        <w:t>In the 20th and 21st centuries, his spirit endures wherever education seeks to address the “whole child.” Movements promoting social-emotional learning (SEL), which explicitly teach skills such as empathy, self-regulation, and relationship-building, are direct descendants of Pestalozzi’s focus on the “heart.” Similarly, holistic education models and critiques of overly cognitive, high-stakes testing environments often invoke his ideal of balanced, humane development. He remains a patron saint for educators who believe that attending to the child’s inner world is a precondition for all effective learning.</w:t>
      </w:r>
    </w:p>
    <w:p w14:paraId="2887056C">
      <w:pPr>
        <w:rPr>
          <w:rFonts w:hint="default" w:asciiTheme="minorAscii" w:hAnsiTheme="minorAscii"/>
          <w:b w:val="0"/>
          <w:bCs w:val="0"/>
          <w:sz w:val="21"/>
          <w:szCs w:val="24"/>
        </w:rPr>
      </w:pPr>
    </w:p>
    <w:p w14:paraId="10057C0A">
      <w:pPr>
        <w:rPr>
          <w:rFonts w:hint="default" w:asciiTheme="minorAscii" w:hAnsiTheme="minorAscii"/>
          <w:b/>
          <w:bCs/>
          <w:sz w:val="21"/>
          <w:szCs w:val="24"/>
        </w:rPr>
      </w:pPr>
      <w:r>
        <w:rPr>
          <w:rFonts w:hint="default" w:asciiTheme="minorAscii" w:hAnsiTheme="minorAscii"/>
          <w:b/>
          <w:bCs/>
          <w:sz w:val="21"/>
          <w:szCs w:val="24"/>
        </w:rPr>
        <w:t>3.2 Dewey's Legacy: The Engine of Reform and Its Ambiguities</w:t>
      </w:r>
    </w:p>
    <w:p w14:paraId="3BE18AA3">
      <w:pPr>
        <w:rPr>
          <w:rFonts w:hint="default" w:asciiTheme="minorAscii" w:hAnsiTheme="minorAscii"/>
          <w:b w:val="0"/>
          <w:bCs w:val="0"/>
          <w:sz w:val="21"/>
          <w:szCs w:val="24"/>
        </w:rPr>
      </w:pPr>
      <w:r>
        <w:rPr>
          <w:rFonts w:hint="default" w:asciiTheme="minorAscii" w:hAnsiTheme="minorAscii"/>
          <w:b w:val="0"/>
          <w:bCs w:val="0"/>
          <w:sz w:val="21"/>
          <w:szCs w:val="24"/>
        </w:rPr>
        <w:t>Dewey’s impact has been more systemic and politically charged. He served as the intellectual architect of the Progressive Education Association in America, and his ideas inspired radical school reforms worldwide. Although the formal progressive movement declined, its core principles became embedded in mainstream educational discourse. The ubiquity of terms such as “inquiry-based learning,” “problem-based learning,” “student-centered learning,” and “collaborative learning” attests to his enduring influence. Modern approaches like project-based learning represent direct applications of Deweyan principles.</w:t>
      </w:r>
    </w:p>
    <w:p w14:paraId="7F54F32F">
      <w:pPr>
        <w:rPr>
          <w:rFonts w:hint="default" w:asciiTheme="minorAscii" w:hAnsiTheme="minorAscii"/>
          <w:b w:val="0"/>
          <w:bCs w:val="0"/>
          <w:sz w:val="21"/>
          <w:szCs w:val="24"/>
        </w:rPr>
      </w:pPr>
    </w:p>
    <w:p w14:paraId="2C068ED9">
      <w:pPr>
        <w:rPr>
          <w:rFonts w:hint="default" w:asciiTheme="minorAscii" w:hAnsiTheme="minorAscii"/>
          <w:b w:val="0"/>
          <w:bCs w:val="0"/>
          <w:sz w:val="21"/>
          <w:szCs w:val="24"/>
        </w:rPr>
      </w:pPr>
      <w:r>
        <w:rPr>
          <w:rFonts w:hint="default" w:asciiTheme="minorAscii" w:hAnsiTheme="minorAscii"/>
          <w:b w:val="0"/>
          <w:bCs w:val="0"/>
          <w:sz w:val="21"/>
          <w:szCs w:val="24"/>
        </w:rPr>
        <w:t>His global influence is particularly notable. In the early 20th century, reformers in China, Japan, and Turkey eagerly adopted and adapted his ideas, viewing them as blueprints for modernization and the cultivation of active citizens. In China, Dewey’s disciple Tao Xingzhi famously inverted his master’s phrase to “life is education, society is school,” adapting it to the context of rural mass education (Wang, 2010). However, Dewey’s legacy is also marked by controversy and misinterpretation. He was often blamed (sometimes unfairly) for perceived excesses in progressive schools that neglected basic skills. His complex philosophy was frequently reduced to the simplistic slogan “learning by doing,” divorced from its rigorous framework of reflective thinking. Consequently, his name has been invoked to justify both deeply thoughtful pedagogy and unstructured permissiveness.</w:t>
      </w:r>
    </w:p>
    <w:p w14:paraId="36C75DD9">
      <w:pPr>
        <w:rPr>
          <w:rFonts w:hint="default" w:asciiTheme="minorAscii" w:hAnsiTheme="minorAscii"/>
          <w:b w:val="0"/>
          <w:bCs w:val="0"/>
          <w:sz w:val="21"/>
          <w:szCs w:val="24"/>
        </w:rPr>
      </w:pPr>
    </w:p>
    <w:p w14:paraId="06B5095A">
      <w:pPr>
        <w:rPr>
          <w:rFonts w:hint="default" w:asciiTheme="minorAscii" w:hAnsiTheme="minorAscii"/>
          <w:b/>
          <w:bCs/>
          <w:sz w:val="28"/>
          <w:szCs w:val="36"/>
        </w:rPr>
      </w:pPr>
      <w:r>
        <w:rPr>
          <w:rFonts w:hint="default" w:asciiTheme="minorAscii" w:hAnsiTheme="minorAscii"/>
          <w:b/>
          <w:bCs/>
          <w:sz w:val="28"/>
          <w:szCs w:val="36"/>
        </w:rPr>
        <w:br w:type="page"/>
      </w:r>
    </w:p>
    <w:p w14:paraId="1FBC90AF">
      <w:pPr>
        <w:rPr>
          <w:rFonts w:hint="default" w:asciiTheme="minorAscii" w:hAnsiTheme="minorAscii"/>
          <w:b/>
          <w:bCs/>
          <w:sz w:val="28"/>
          <w:szCs w:val="36"/>
        </w:rPr>
      </w:pPr>
      <w:r>
        <w:rPr>
          <w:rFonts w:hint="default" w:asciiTheme="minorAscii" w:hAnsiTheme="minorAscii"/>
          <w:b/>
          <w:bCs/>
          <w:sz w:val="28"/>
          <w:szCs w:val="36"/>
        </w:rPr>
        <w:t>Part 4: Critical Comparison and Synthetic Reflection: Bridging the Dialectic</w:t>
      </w:r>
    </w:p>
    <w:p w14:paraId="2CD40D85">
      <w:pPr>
        <w:rPr>
          <w:rFonts w:hint="default" w:asciiTheme="minorAscii" w:hAnsiTheme="minorAscii"/>
          <w:b w:val="0"/>
          <w:bCs w:val="0"/>
          <w:sz w:val="21"/>
          <w:szCs w:val="24"/>
        </w:rPr>
      </w:pPr>
    </w:p>
    <w:p w14:paraId="0E69DC8A">
      <w:pPr>
        <w:rPr>
          <w:rFonts w:hint="default" w:asciiTheme="minorAscii" w:hAnsiTheme="minorAscii"/>
          <w:b/>
          <w:bCs/>
          <w:sz w:val="21"/>
          <w:szCs w:val="24"/>
        </w:rPr>
      </w:pPr>
      <w:r>
        <w:rPr>
          <w:rFonts w:hint="default" w:asciiTheme="minorAscii" w:hAnsiTheme="minorAscii"/>
          <w:b/>
          <w:bCs/>
          <w:sz w:val="21"/>
          <w:szCs w:val="24"/>
        </w:rPr>
        <w:t>4.1 Foundational Tensions: Unfolding vs. Reconstructing</w:t>
      </w:r>
    </w:p>
    <w:p w14:paraId="2871F3F4">
      <w:pPr>
        <w:rPr>
          <w:rFonts w:hint="default" w:asciiTheme="minorAscii" w:hAnsiTheme="minorAscii"/>
          <w:b w:val="0"/>
          <w:bCs w:val="0"/>
          <w:sz w:val="21"/>
          <w:szCs w:val="24"/>
        </w:rPr>
      </w:pPr>
      <w:r>
        <w:rPr>
          <w:rFonts w:hint="default" w:asciiTheme="minorAscii" w:hAnsiTheme="minorAscii"/>
          <w:b w:val="0"/>
          <w:bCs w:val="0"/>
          <w:sz w:val="21"/>
          <w:szCs w:val="24"/>
        </w:rPr>
        <w:t>The comparison reveals a fundamental philosophical divide. Pestalozzi’s worldview was teleological and essentialist. He believed in a pre-existing, benevolent human essence that education should gently “unfold” according to a natural, even divine, plan. The child’s nature contains the perfect blueprint; the educator acts as a careful gardener. Dewey’s worldview was instrumentalist and experimental. He rejected fixed ends or essences. For him, human nature is malleable, and intelligence comprises tools for adapting to an ever-changing environment. Education is the process of continuously “reconstructing” experience; its sole aim is growth that leads to further growth (Dewey, 1916). Whereas Pestalozzi sought to uncover an inner truth, Dewey aimed to solve external problems.</w:t>
      </w:r>
    </w:p>
    <w:p w14:paraId="581F3AB7">
      <w:pPr>
        <w:rPr>
          <w:rFonts w:hint="default" w:asciiTheme="minorAscii" w:hAnsiTheme="minorAscii"/>
          <w:b/>
          <w:bCs/>
          <w:sz w:val="21"/>
          <w:szCs w:val="24"/>
        </w:rPr>
      </w:pPr>
    </w:p>
    <w:p w14:paraId="21152852">
      <w:pPr>
        <w:rPr>
          <w:rFonts w:hint="default" w:asciiTheme="minorAscii" w:hAnsiTheme="minorAscii"/>
          <w:b/>
          <w:bCs/>
          <w:sz w:val="21"/>
          <w:szCs w:val="24"/>
        </w:rPr>
      </w:pPr>
      <w:r>
        <w:rPr>
          <w:rFonts w:hint="default" w:asciiTheme="minorAscii" w:hAnsiTheme="minorAscii"/>
          <w:b/>
          <w:bCs/>
          <w:sz w:val="21"/>
          <w:szCs w:val="24"/>
        </w:rPr>
        <w:t>4.2 The Individual-Society Nexus: Two Directions of Influence</w:t>
      </w:r>
    </w:p>
    <w:p w14:paraId="74959D9C">
      <w:pPr>
        <w:rPr>
          <w:rFonts w:hint="default" w:asciiTheme="minorAscii" w:hAnsiTheme="minorAscii"/>
          <w:b w:val="0"/>
          <w:bCs w:val="0"/>
          <w:sz w:val="21"/>
          <w:szCs w:val="24"/>
        </w:rPr>
      </w:pPr>
      <w:r>
        <w:rPr>
          <w:rFonts w:hint="default" w:asciiTheme="minorAscii" w:hAnsiTheme="minorAscii"/>
          <w:b w:val="0"/>
          <w:bCs w:val="0"/>
          <w:sz w:val="21"/>
          <w:szCs w:val="24"/>
        </w:rPr>
        <w:t>This philosophical rift generates opposing visions of the individual-society relationship. Pestalozzi’s model operates from the inside out. Social reform begins with the moral purification of the individual heart. A good society consists of good, harmoniously developed individuals whose love radiates outward from family to community. The school’s purpose is to form such individuals within a protected environment. Dewey’s model operates emphatically from the outside in. The individual is constituted through social participation. One becomes a democratic citizen not by first perfecting inner virtues in isolation but by practicing democratic habits—discussion, cooperation, collective problem-solving—within the school as a social institution. Individual and society are co-created through shared experience.</w:t>
      </w:r>
    </w:p>
    <w:p w14:paraId="44D5D44D">
      <w:pPr>
        <w:rPr>
          <w:rFonts w:hint="default" w:asciiTheme="minorAscii" w:hAnsiTheme="minorAscii"/>
          <w:b w:val="0"/>
          <w:bCs w:val="0"/>
          <w:sz w:val="21"/>
          <w:szCs w:val="24"/>
        </w:rPr>
      </w:pPr>
    </w:p>
    <w:p w14:paraId="54FABF41">
      <w:pPr>
        <w:rPr>
          <w:rFonts w:hint="default" w:asciiTheme="minorAscii" w:hAnsiTheme="minorAscii"/>
          <w:b/>
          <w:bCs/>
          <w:sz w:val="21"/>
          <w:szCs w:val="24"/>
        </w:rPr>
      </w:pPr>
      <w:r>
        <w:rPr>
          <w:rFonts w:hint="default" w:asciiTheme="minorAscii" w:hAnsiTheme="minorAscii"/>
          <w:b/>
          <w:bCs/>
          <w:sz w:val="21"/>
          <w:szCs w:val="24"/>
        </w:rPr>
        <w:t>4.3 Pedagogical Priorities: Feeling vs. Thinking</w:t>
      </w:r>
    </w:p>
    <w:p w14:paraId="41C7921F">
      <w:pPr>
        <w:rPr>
          <w:rFonts w:hint="default" w:asciiTheme="minorAscii" w:hAnsiTheme="minorAscii"/>
          <w:b w:val="0"/>
          <w:bCs w:val="0"/>
          <w:sz w:val="21"/>
          <w:szCs w:val="24"/>
        </w:rPr>
      </w:pPr>
      <w:r>
        <w:rPr>
          <w:rFonts w:hint="default" w:asciiTheme="minorAscii" w:hAnsiTheme="minorAscii"/>
          <w:b w:val="0"/>
          <w:bCs w:val="0"/>
          <w:sz w:val="21"/>
          <w:szCs w:val="24"/>
        </w:rPr>
        <w:t>Their methodological emphases differ accordingly. Pestalozzi prioritizes feeling and perception. The foundational act is Anschauung—receiving clear sensory impressions. Love is the primary motivator. Thinking develops organically from this secure, perceptually rich, and emotionally warm foundation. Dewey prioritizes thinking and action. The foundational act is encountering a problem. Motivation arises from the desire to resolve the difficulty. Feeling and perception are involved but serve the intellectual work of inquiry. For Pestalozzi, the ideal classroom resembles a loving home; for Dewey, it resembles a busy laboratory or workshop.</w:t>
      </w:r>
    </w:p>
    <w:p w14:paraId="0F79ED7D">
      <w:pPr>
        <w:rPr>
          <w:rFonts w:hint="default" w:asciiTheme="minorAscii" w:hAnsiTheme="minorAscii"/>
          <w:b w:val="0"/>
          <w:bCs w:val="0"/>
          <w:sz w:val="21"/>
          <w:szCs w:val="24"/>
        </w:rPr>
      </w:pPr>
    </w:p>
    <w:p w14:paraId="250407D0">
      <w:pPr>
        <w:rPr>
          <w:rFonts w:hint="default" w:asciiTheme="minorAscii" w:hAnsiTheme="minorAscii"/>
          <w:b/>
          <w:bCs/>
          <w:sz w:val="21"/>
          <w:szCs w:val="24"/>
        </w:rPr>
      </w:pPr>
      <w:r>
        <w:rPr>
          <w:rFonts w:hint="default" w:asciiTheme="minorAscii" w:hAnsiTheme="minorAscii"/>
          <w:b/>
          <w:bCs/>
          <w:sz w:val="21"/>
          <w:szCs w:val="24"/>
        </w:rPr>
        <w:t>4.4 Complementary Strengths and Modern Resonances: A Necessary Synthesis</w:t>
      </w:r>
    </w:p>
    <w:p w14:paraId="4A1A02E3">
      <w:pPr>
        <w:rPr>
          <w:rFonts w:hint="default" w:asciiTheme="minorAscii" w:hAnsiTheme="minorAscii"/>
          <w:b w:val="0"/>
          <w:bCs w:val="0"/>
          <w:sz w:val="21"/>
          <w:szCs w:val="24"/>
        </w:rPr>
      </w:pPr>
      <w:r>
        <w:rPr>
          <w:rFonts w:hint="default" w:asciiTheme="minorAscii" w:hAnsiTheme="minorAscii"/>
          <w:b w:val="0"/>
          <w:bCs w:val="0"/>
          <w:sz w:val="21"/>
          <w:szCs w:val="24"/>
        </w:rPr>
        <w:t>Rather than viewing them as opposing choices, their tension can be seen as a necessary dialectic for a complete education. Each corrects the blind spots of the other. Pestalozzi’s enduring warning is that an education focused solely on problem-solving, skills, and social efficiency can become cold, technocratic, and neglectful of the child’s inner emotional and moral life. In an age of anxiety and alienation, his call for educational love and holistic care remains urgently relevant. Dewey’s enduring warning is that an education focused solely on inner harmony and feeling can become socially quietist, failing to equip individuals with the critical capacities needed to analyze and challenge injustice. In an era of complex global problems and democratic fragility, his call for inquiry and democratic habit-forming is equally vital.</w:t>
      </w:r>
    </w:p>
    <w:p w14:paraId="22513E9B">
      <w:pPr>
        <w:rPr>
          <w:rFonts w:hint="default" w:asciiTheme="minorAscii" w:hAnsiTheme="minorAscii"/>
          <w:b w:val="0"/>
          <w:bCs w:val="0"/>
          <w:sz w:val="21"/>
          <w:szCs w:val="24"/>
        </w:rPr>
      </w:pPr>
    </w:p>
    <w:p w14:paraId="621AD93A">
      <w:pPr>
        <w:rPr>
          <w:rFonts w:hint="default" w:asciiTheme="minorAscii" w:hAnsiTheme="minorAscii"/>
          <w:b w:val="0"/>
          <w:bCs w:val="0"/>
          <w:sz w:val="21"/>
          <w:szCs w:val="24"/>
        </w:rPr>
      </w:pPr>
      <w:r>
        <w:rPr>
          <w:rFonts w:hint="default" w:asciiTheme="minorAscii" w:hAnsiTheme="minorAscii"/>
          <w:b w:val="0"/>
          <w:bCs w:val="0"/>
          <w:sz w:val="21"/>
          <w:szCs w:val="24"/>
        </w:rPr>
        <w:t>A robust modern pedagogy might therefore seek a synthesis. It would aim to establish a Pestalozzian environment—a secure, supportive, emotionally responsive community—within which Deweyan activities—collaborative, inquiry-driven projects addressing meaningful problems—can flourish. The “heart” provides the safe harbor from which the “head” can embark on daring voyages of discovery. For instance, a project on environmental justice (Dewey) would be conducted in a classroom climate that explicitly cultivates empathy, respect, and mutual care (Pestalozzi). One framework supplies the how of learning (inquiry, collaboration), while the other supplies the why and the spirit (moral purpose, holistic development).</w:t>
      </w:r>
    </w:p>
    <w:p w14:paraId="7F7FF136">
      <w:pPr>
        <w:rPr>
          <w:rFonts w:hint="default" w:asciiTheme="minorAscii" w:hAnsiTheme="minorAscii"/>
          <w:b w:val="0"/>
          <w:bCs w:val="0"/>
          <w:sz w:val="21"/>
          <w:szCs w:val="24"/>
        </w:rPr>
      </w:pPr>
    </w:p>
    <w:p w14:paraId="474E4CA0">
      <w:pPr>
        <w:rPr>
          <w:rFonts w:hint="default" w:asciiTheme="minorAscii" w:hAnsiTheme="minorAscii"/>
          <w:b/>
          <w:bCs/>
          <w:sz w:val="28"/>
          <w:szCs w:val="36"/>
        </w:rPr>
      </w:pPr>
      <w:r>
        <w:rPr>
          <w:rFonts w:hint="default" w:asciiTheme="minorAscii" w:hAnsiTheme="minorAscii"/>
          <w:b/>
          <w:bCs/>
          <w:sz w:val="28"/>
          <w:szCs w:val="36"/>
        </w:rPr>
        <w:br w:type="page"/>
      </w:r>
    </w:p>
    <w:p w14:paraId="26E70C64">
      <w:pPr>
        <w:rPr>
          <w:rFonts w:hint="default" w:asciiTheme="minorAscii" w:hAnsiTheme="minorAscii"/>
          <w:b/>
          <w:bCs/>
          <w:sz w:val="28"/>
          <w:szCs w:val="36"/>
        </w:rPr>
      </w:pPr>
      <w:r>
        <w:rPr>
          <w:rFonts w:hint="default" w:asciiTheme="minorAscii" w:hAnsiTheme="minorAscii"/>
          <w:b/>
          <w:bCs/>
          <w:sz w:val="28"/>
          <w:szCs w:val="36"/>
        </w:rPr>
        <w:t>Part 5: Critical Reflection: Theory Travel, Fusion, and Tension in the Chinese Context</w:t>
      </w:r>
    </w:p>
    <w:p w14:paraId="255D4664">
      <w:pPr>
        <w:rPr>
          <w:rFonts w:hint="default" w:asciiTheme="minorAscii" w:hAnsiTheme="minorAscii"/>
          <w:b w:val="0"/>
          <w:bCs w:val="0"/>
          <w:sz w:val="21"/>
          <w:szCs w:val="24"/>
        </w:rPr>
      </w:pPr>
      <w:r>
        <w:rPr>
          <w:rFonts w:hint="default" w:asciiTheme="minorAscii" w:hAnsiTheme="minorAscii"/>
          <w:b w:val="0"/>
          <w:bCs w:val="0"/>
          <w:sz w:val="21"/>
          <w:szCs w:val="24"/>
        </w:rPr>
        <w:t>The reception of Pestalozzi and Dewey in China offers a revealing case study of how educational theories are translated, adapted, and transformed across cultural boundaries. This process, often termed “theory travel,” involves selective adoption, creative reinterpretation, and sometimes formalistic distortion to align with local imperatives (Wang, 2001). An analysis of their ideas within China’s “Suzhi Education” (Quality Education) and “New Curriculum Reform” reveals a complex landscape of fusion and persistent tension.</w:t>
      </w:r>
    </w:p>
    <w:p w14:paraId="37A184A1">
      <w:pPr>
        <w:rPr>
          <w:rFonts w:hint="default" w:asciiTheme="minorAscii" w:hAnsiTheme="minorAscii"/>
          <w:b w:val="0"/>
          <w:bCs w:val="0"/>
          <w:sz w:val="21"/>
          <w:szCs w:val="24"/>
        </w:rPr>
      </w:pPr>
    </w:p>
    <w:p w14:paraId="1082033C">
      <w:pPr>
        <w:rPr>
          <w:rFonts w:hint="default" w:asciiTheme="minorAscii" w:hAnsiTheme="minorAscii"/>
          <w:b/>
          <w:bCs/>
          <w:sz w:val="21"/>
          <w:szCs w:val="24"/>
        </w:rPr>
      </w:pPr>
      <w:r>
        <w:rPr>
          <w:rFonts w:hint="default" w:asciiTheme="minorAscii" w:hAnsiTheme="minorAscii"/>
          <w:b/>
          <w:bCs/>
          <w:sz w:val="21"/>
          <w:szCs w:val="24"/>
        </w:rPr>
        <w:t>5.1 Selective Alignment and Substantive Shifts</w:t>
      </w:r>
    </w:p>
    <w:p w14:paraId="76B48DB2">
      <w:pPr>
        <w:rPr>
          <w:rFonts w:hint="default" w:asciiTheme="minorAscii" w:hAnsiTheme="minorAscii"/>
          <w:b w:val="0"/>
          <w:bCs w:val="0"/>
          <w:sz w:val="21"/>
          <w:szCs w:val="24"/>
        </w:rPr>
      </w:pPr>
      <w:r>
        <w:rPr>
          <w:rFonts w:hint="default" w:asciiTheme="minorAscii" w:hAnsiTheme="minorAscii"/>
          <w:b w:val="0"/>
          <w:bCs w:val="0"/>
          <w:sz w:val="21"/>
          <w:szCs w:val="24"/>
        </w:rPr>
        <w:t>China’s “Suzhi Education” policy, which advocates for all-around student development to counter “Exam-Oriented Education,” explicitly aligns with Pestalozzi’s triad of “head, heart, and hand.” The promotion of innovation (“head”), moral education (“heart”), and practical skills/labor (“hand”) establishes a direct conceptual parallel. However, substantive shifts occur. Pestalozzi’s “educational love,” rooted in intimate, family-like settings, struggles to scale within China’s vast, bureaucratic school system, often becoming an abstract ethical directive rather than a daily practice. More critically, the Pestalozzian ideal of an organic, indivisible whole is fractured by the enduring dominance of examination culture. The development of the “head” is frequently narrowed to exam performance, while the “heart” and “hand” are marginalized as peripheral activities, leading to the noted paradox wherein “Suzhi Education is promoted vigorously, but Exam-Oriented Education is practiced diligently” (Zhong, 2005). This represents a hollowing out of Pestalozzi’s humanistic core.</w:t>
      </w:r>
    </w:p>
    <w:p w14:paraId="77576C90">
      <w:pPr>
        <w:rPr>
          <w:rFonts w:hint="default" w:asciiTheme="minorAscii" w:hAnsiTheme="minorAscii"/>
          <w:b w:val="0"/>
          <w:bCs w:val="0"/>
          <w:sz w:val="21"/>
          <w:szCs w:val="24"/>
        </w:rPr>
      </w:pPr>
    </w:p>
    <w:p w14:paraId="02052015">
      <w:pPr>
        <w:rPr>
          <w:rFonts w:hint="default" w:asciiTheme="minorAscii" w:hAnsiTheme="minorAscii"/>
          <w:b w:val="0"/>
          <w:bCs w:val="0"/>
          <w:sz w:val="21"/>
          <w:szCs w:val="24"/>
        </w:rPr>
      </w:pPr>
      <w:r>
        <w:rPr>
          <w:rFonts w:hint="default" w:asciiTheme="minorAscii" w:hAnsiTheme="minorAscii"/>
          <w:b w:val="0"/>
          <w:bCs w:val="0"/>
          <w:sz w:val="21"/>
          <w:szCs w:val="24"/>
        </w:rPr>
        <w:t>Dewey’s influence on the “New Curriculum Reform” is even more pronounced, given its official endorsement of “independent, collaborative, and inquiry-based learning.” Yet, Deweyan “inquiry” often undergoes formalistic distortion. When divorced from a culture of genuine intellectual freedom and critical discourse, and constrained by high-stakes standardized testing, “inquiry-based learning” can degenerate into a ritualized procedure aimed at discovering a predetermined answer. The activity (“doing”) becomes an end in itself rather than a means for genuine “reconstruction of experience.” As scholars note, without fundamental shifts in assessment paradigms and teacher readiness, progressive methods risk being co-opted by the very system they seek to change.</w:t>
      </w:r>
    </w:p>
    <w:p w14:paraId="07F410E7">
      <w:pPr>
        <w:rPr>
          <w:rFonts w:hint="default" w:asciiTheme="minorAscii" w:hAnsiTheme="minorAscii"/>
          <w:b w:val="0"/>
          <w:bCs w:val="0"/>
          <w:sz w:val="21"/>
          <w:szCs w:val="24"/>
        </w:rPr>
      </w:pPr>
    </w:p>
    <w:p w14:paraId="5D7CB8EE">
      <w:pPr>
        <w:rPr>
          <w:rFonts w:hint="default" w:asciiTheme="minorAscii" w:hAnsiTheme="minorAscii"/>
          <w:b/>
          <w:bCs/>
          <w:sz w:val="21"/>
          <w:szCs w:val="24"/>
        </w:rPr>
      </w:pPr>
      <w:r>
        <w:rPr>
          <w:rFonts w:hint="default" w:asciiTheme="minorAscii" w:hAnsiTheme="minorAscii"/>
          <w:b/>
          <w:bCs/>
          <w:sz w:val="21"/>
          <w:szCs w:val="24"/>
        </w:rPr>
        <w:t>5.2 Functional Fusion and Theoretical Tension</w:t>
      </w:r>
    </w:p>
    <w:p w14:paraId="1E53CF61">
      <w:pPr>
        <w:rPr>
          <w:rFonts w:hint="default" w:asciiTheme="minorAscii" w:hAnsiTheme="minorAscii"/>
          <w:b w:val="0"/>
          <w:bCs w:val="0"/>
          <w:sz w:val="21"/>
          <w:szCs w:val="24"/>
        </w:rPr>
      </w:pPr>
      <w:r>
        <w:rPr>
          <w:rFonts w:hint="default" w:asciiTheme="minorAscii" w:hAnsiTheme="minorAscii"/>
          <w:b w:val="0"/>
          <w:bCs w:val="0"/>
          <w:sz w:val="21"/>
          <w:szCs w:val="24"/>
        </w:rPr>
        <w:t>In practice, a functional fusion of both theorists’ ideas is observable in attempts to construct a distinctly Chinese progressive model. Pestalozzi’s emphasis on the “heart” (moral/emotional foundation) is deployed to address student motivation and social stability, while Dewey’s emphasis on the “head” (inquiry, problem-solving) is harnessed to drive innovation and economic competitiveness. “Hands-on” activities serve as a unifying field. This yields a synthetic practice where, for example, a project on community history (Deweyan inquiry) is conducted within a framework emphasizing collective spirit and patriotism (Pestalozzian moral sentiment).</w:t>
      </w:r>
    </w:p>
    <w:p w14:paraId="77A41DD4">
      <w:pPr>
        <w:rPr>
          <w:rFonts w:hint="default" w:asciiTheme="minorAscii" w:hAnsiTheme="minorAscii"/>
          <w:b w:val="0"/>
          <w:bCs w:val="0"/>
          <w:sz w:val="21"/>
          <w:szCs w:val="24"/>
        </w:rPr>
      </w:pPr>
    </w:p>
    <w:p w14:paraId="62FF2821">
      <w:pPr>
        <w:rPr>
          <w:rFonts w:hint="default" w:asciiTheme="minorAscii" w:hAnsiTheme="minorAscii"/>
          <w:b w:val="0"/>
          <w:bCs w:val="0"/>
          <w:sz w:val="21"/>
          <w:szCs w:val="24"/>
        </w:rPr>
      </w:pPr>
      <w:r>
        <w:rPr>
          <w:rFonts w:hint="default" w:asciiTheme="minorAscii" w:hAnsiTheme="minorAscii"/>
          <w:b w:val="0"/>
          <w:bCs w:val="0"/>
          <w:sz w:val="21"/>
          <w:szCs w:val="24"/>
        </w:rPr>
        <w:t>However, this practical fusion does not reconcile the underlying philosophical tension. Pestalozzi’s vision is ultimately one of inner harmony and completion aligned with a defined moral order. Dewey’s vision is one of open-ended growth and reconstruction for an uncertain democratic future. In the Chinese context, the former aligns more readily with state-led socialization goals, while the latter is strategically instrumentalized for human capital development. The radical democratic and individualistic potentials in both thinkers are necessarily subdued in favor of collective social and economic objectives. This illustrates how global theories are locally “re-contextualized,” their edges smoothed to fit national priorities (Wang, 2001).</w:t>
      </w:r>
    </w:p>
    <w:p w14:paraId="757CCD6F">
      <w:pPr>
        <w:rPr>
          <w:rFonts w:hint="default" w:asciiTheme="minorAscii" w:hAnsiTheme="minorAscii"/>
          <w:b w:val="0"/>
          <w:bCs w:val="0"/>
          <w:sz w:val="21"/>
          <w:szCs w:val="24"/>
        </w:rPr>
      </w:pPr>
    </w:p>
    <w:p w14:paraId="12ABFB44">
      <w:pPr>
        <w:rPr>
          <w:rFonts w:hint="default" w:asciiTheme="minorAscii" w:hAnsiTheme="minorAscii"/>
          <w:b/>
          <w:bCs/>
          <w:sz w:val="21"/>
          <w:szCs w:val="24"/>
        </w:rPr>
      </w:pPr>
      <w:r>
        <w:rPr>
          <w:rFonts w:hint="default" w:asciiTheme="minorAscii" w:hAnsiTheme="minorAscii"/>
          <w:b/>
          <w:bCs/>
          <w:sz w:val="21"/>
          <w:szCs w:val="24"/>
        </w:rPr>
        <w:t>5.3 Conclusion: The Value of the Dialogue</w:t>
      </w:r>
    </w:p>
    <w:p w14:paraId="0ED264E7">
      <w:pPr>
        <w:rPr>
          <w:rFonts w:hint="default" w:asciiTheme="minorAscii" w:hAnsiTheme="minorAscii"/>
          <w:b w:val="0"/>
          <w:bCs w:val="0"/>
          <w:sz w:val="21"/>
          <w:szCs w:val="24"/>
        </w:rPr>
      </w:pPr>
      <w:r>
        <w:rPr>
          <w:rFonts w:hint="default" w:asciiTheme="minorAscii" w:hAnsiTheme="minorAscii"/>
          <w:b w:val="0"/>
          <w:bCs w:val="0"/>
          <w:sz w:val="21"/>
          <w:szCs w:val="24"/>
        </w:rPr>
        <w:t>The Chinese case study demonstrates that the application of Pestalozzi and Dewey is never neutral. It involves selective borrowing and creative adaptation, wherein theories are pressure-tested by local realities and reshaped by dominant cultural-political logics. The “travel” of their ideas to China highlights both the universal appeal of their critiques of rigid schooling and the inevitable particularity of their implementation. For global educators, this reflection underscores that meaningful reform cannot rely on importing blueprints. It requires deep, critical engagement with foundational theories, a clear-eyed analysis of local constraints and possibilities, and the courage to forge syntheses that, while perhaps imperfect, are contextually responsive. The dialogue between Pestalozzi’s call for inner harmony and Dewey’s demand for social engagement remains vital—not as a prescription, but as a perpetual source of questions to guide our own educational experiments.</w:t>
      </w:r>
    </w:p>
    <w:p w14:paraId="13CC93AA">
      <w:pPr>
        <w:rPr>
          <w:rFonts w:hint="default" w:asciiTheme="minorAscii" w:hAnsiTheme="minorAscii"/>
          <w:b w:val="0"/>
          <w:bCs w:val="0"/>
          <w:sz w:val="21"/>
          <w:szCs w:val="24"/>
        </w:rPr>
      </w:pPr>
    </w:p>
    <w:p w14:paraId="120DE652">
      <w:pPr>
        <w:rPr>
          <w:rFonts w:hint="default" w:asciiTheme="minorAscii" w:hAnsiTheme="minorAscii"/>
          <w:b/>
          <w:bCs/>
          <w:sz w:val="28"/>
          <w:szCs w:val="36"/>
        </w:rPr>
      </w:pPr>
      <w:r>
        <w:rPr>
          <w:rFonts w:hint="default" w:asciiTheme="minorAscii" w:hAnsiTheme="minorAscii"/>
          <w:b/>
          <w:bCs/>
          <w:sz w:val="28"/>
          <w:szCs w:val="36"/>
        </w:rPr>
        <w:br w:type="page"/>
      </w:r>
    </w:p>
    <w:p w14:paraId="6E63C5C8">
      <w:pPr>
        <w:rPr>
          <w:rFonts w:hint="default" w:asciiTheme="minorAscii" w:hAnsiTheme="minorAscii"/>
          <w:b/>
          <w:bCs/>
          <w:sz w:val="28"/>
          <w:szCs w:val="36"/>
        </w:rPr>
      </w:pPr>
      <w:r>
        <w:rPr>
          <w:rFonts w:hint="default" w:asciiTheme="minorAscii" w:hAnsiTheme="minorAscii"/>
          <w:b/>
          <w:bCs/>
          <w:sz w:val="28"/>
          <w:szCs w:val="36"/>
        </w:rPr>
        <w:t>Conclusion</w:t>
      </w:r>
    </w:p>
    <w:p w14:paraId="7527FD82">
      <w:pPr>
        <w:rPr>
          <w:rFonts w:hint="default" w:asciiTheme="minorAscii" w:hAnsiTheme="minorAscii"/>
          <w:b w:val="0"/>
          <w:bCs w:val="0"/>
          <w:sz w:val="16"/>
          <w:szCs w:val="20"/>
        </w:rPr>
      </w:pPr>
      <w:r>
        <w:rPr>
          <w:rFonts w:hint="default" w:asciiTheme="minorAscii" w:hAnsiTheme="minorAscii"/>
          <w:b w:val="0"/>
          <w:bCs w:val="0"/>
          <w:sz w:val="21"/>
          <w:szCs w:val="24"/>
        </w:rPr>
        <w:t>Pestalozzi and Dewey represent two powerful, distinct strands of progressive educational thought. Pestalozzi bequeathed to education a moral compass and a heart, emphasizing the affective foundation of learning and the integrated self. Dewey endowed it with a scientific method and a social purpose, prioritizing intellectual inquiry for democratic life. Their differences—between unfolding and reconstructing, inner cultivation and civic participation—reflect profound philosophical choices regarding human nature and the good society. The Chinese example further reveals that these theories are not static artifacts but living ideas that transform and are transformed by their contexts. The contemporary task is not to choose one master but to engage with the productive tension between them. The most robust educational practice may well be that which strives to create Pestalozzian communities of care that empower Deweyan communities of inquiry, recognizing that nurturing persons and engaged citizens are two sides of the same coin.</w:t>
      </w:r>
    </w:p>
    <w:p w14:paraId="5D6DAF5D">
      <w:pPr>
        <w:rPr>
          <w:rFonts w:hint="default" w:asciiTheme="minorAscii" w:hAnsiTheme="minorAscii"/>
          <w:b w:val="0"/>
          <w:bCs w:val="0"/>
          <w:sz w:val="16"/>
          <w:szCs w:val="20"/>
        </w:rPr>
      </w:pPr>
      <w:r>
        <w:rPr>
          <w:rFonts w:hint="default" w:asciiTheme="minorAscii" w:hAnsiTheme="minorAscii"/>
          <w:b w:val="0"/>
          <w:bCs w:val="0"/>
          <w:sz w:val="16"/>
          <w:szCs w:val="20"/>
        </w:rPr>
        <w:br w:type="page"/>
      </w:r>
    </w:p>
    <w:p w14:paraId="6C0B42DA">
      <w:pPr>
        <w:rPr>
          <w:rFonts w:hint="default" w:asciiTheme="minorAscii" w:hAnsiTheme="minorAscii" w:eastAsiaTheme="minorEastAsia"/>
          <w:b/>
          <w:bCs/>
          <w:sz w:val="28"/>
          <w:szCs w:val="36"/>
          <w:lang w:eastAsia="zh-CN"/>
        </w:rPr>
      </w:pPr>
      <w:r>
        <w:rPr>
          <w:rFonts w:hint="default" w:asciiTheme="minorAscii" w:hAnsiTheme="minorAscii"/>
          <w:b/>
          <w:bCs/>
          <w:sz w:val="28"/>
          <w:szCs w:val="36"/>
        </w:rPr>
        <w:t>References</w:t>
      </w:r>
    </w:p>
    <w:p w14:paraId="6F6F4C67">
      <w:pPr>
        <w:numPr>
          <w:ilvl w:val="0"/>
          <w:numId w:val="1"/>
        </w:numPr>
        <w:jc w:val="left"/>
        <w:rPr>
          <w:rFonts w:hint="default" w:asciiTheme="minorAscii" w:hAnsiTheme="minorAscii"/>
        </w:rPr>
      </w:pPr>
      <w:r>
        <w:rPr>
          <w:rFonts w:hint="default" w:asciiTheme="minorAscii" w:hAnsiTheme="minorAscii"/>
        </w:rPr>
        <w:t xml:space="preserve">Dewey, J. (1916) </w:t>
      </w:r>
      <w:r>
        <w:rPr>
          <w:rFonts w:hint="default" w:asciiTheme="minorAscii" w:hAnsiTheme="minorAscii"/>
          <w:i/>
          <w:iCs/>
        </w:rPr>
        <w:t>Democracy and Education: An Introduction to the Philosophy of Education</w:t>
      </w:r>
      <w:r>
        <w:rPr>
          <w:rFonts w:hint="default" w:asciiTheme="minorAscii" w:hAnsiTheme="minorAscii"/>
          <w:i w:val="0"/>
          <w:iCs w:val="0"/>
        </w:rPr>
        <w:t xml:space="preserve">. </w:t>
      </w:r>
      <w:r>
        <w:rPr>
          <w:rFonts w:hint="default" w:asciiTheme="minorAscii" w:hAnsiTheme="minorAscii"/>
        </w:rPr>
        <w:t>The Macmillan Company.</w:t>
      </w:r>
    </w:p>
    <w:p w14:paraId="725B7A1F">
      <w:pPr>
        <w:numPr>
          <w:ilvl w:val="0"/>
          <w:numId w:val="1"/>
        </w:numPr>
        <w:jc w:val="left"/>
        <w:rPr>
          <w:rFonts w:hint="default" w:asciiTheme="minorAscii" w:hAnsiTheme="minorAscii"/>
        </w:rPr>
      </w:pPr>
      <w:r>
        <w:rPr>
          <w:rFonts w:hint="default" w:asciiTheme="minorAscii" w:hAnsiTheme="minorAscii"/>
        </w:rPr>
        <w:t xml:space="preserve">Dewey, J. (1938) </w:t>
      </w:r>
      <w:r>
        <w:rPr>
          <w:rFonts w:hint="default" w:asciiTheme="minorAscii" w:hAnsiTheme="minorAscii"/>
          <w:i/>
          <w:iCs/>
        </w:rPr>
        <w:t>Experience and Education</w:t>
      </w:r>
      <w:r>
        <w:rPr>
          <w:rFonts w:hint="default" w:asciiTheme="minorAscii" w:hAnsiTheme="minorAscii"/>
        </w:rPr>
        <w:t>. Kappa Delta Pi.</w:t>
      </w:r>
    </w:p>
    <w:p w14:paraId="29B972DD">
      <w:pPr>
        <w:numPr>
          <w:ilvl w:val="0"/>
          <w:numId w:val="1"/>
        </w:numPr>
        <w:jc w:val="left"/>
        <w:rPr>
          <w:rFonts w:hint="default" w:asciiTheme="minorAscii" w:hAnsiTheme="minorAscii"/>
        </w:rPr>
      </w:pPr>
      <w:r>
        <w:rPr>
          <w:rFonts w:hint="default" w:asciiTheme="minorAscii" w:hAnsiTheme="minorAscii"/>
        </w:rPr>
        <w:t xml:space="preserve">Pestalozzi, J.H. (1801) </w:t>
      </w:r>
      <w:r>
        <w:rPr>
          <w:rFonts w:hint="default" w:asciiTheme="minorAscii" w:hAnsiTheme="minorAscii"/>
          <w:i/>
          <w:iCs/>
        </w:rPr>
        <w:t>How Gertrude Teaches Her Children (L.E. Holland &amp; F.C. Turner, Trans.)</w:t>
      </w:r>
      <w:r>
        <w:rPr>
          <w:rFonts w:hint="default" w:asciiTheme="minorAscii" w:hAnsiTheme="minorAscii"/>
        </w:rPr>
        <w:t>. Swan Sonnenschein &amp; Co.</w:t>
      </w:r>
    </w:p>
    <w:p w14:paraId="39D07AB1">
      <w:pPr>
        <w:numPr>
          <w:ilvl w:val="0"/>
          <w:numId w:val="1"/>
        </w:numPr>
        <w:jc w:val="left"/>
        <w:rPr>
          <w:rFonts w:hint="default" w:asciiTheme="minorAscii" w:hAnsiTheme="minorAscii"/>
        </w:rPr>
      </w:pPr>
      <w:r>
        <w:rPr>
          <w:rFonts w:hint="default" w:asciiTheme="minorAscii" w:hAnsiTheme="minorAscii"/>
        </w:rPr>
        <w:t>Silva, M. A. (2012)</w:t>
      </w:r>
      <w:r>
        <w:rPr>
          <w:rFonts w:hint="eastAsia" w:asciiTheme="minorAscii" w:hAnsiTheme="minorAscii"/>
          <w:lang w:val="en-US" w:eastAsia="zh-CN"/>
        </w:rPr>
        <w:t xml:space="preserve"> </w:t>
      </w:r>
      <w:r>
        <w:rPr>
          <w:rFonts w:hint="default" w:asciiTheme="minorAscii" w:hAnsiTheme="minorAscii"/>
          <w:lang w:val="en-US" w:eastAsia="zh-CN"/>
        </w:rPr>
        <w:t>‘</w:t>
      </w:r>
      <w:r>
        <w:rPr>
          <w:rFonts w:hint="default" w:asciiTheme="minorAscii" w:hAnsiTheme="minorAscii"/>
        </w:rPr>
        <w:t>The legacy of Pestalozzi, Herbart and Dewey for school pedagogical practices</w:t>
      </w:r>
      <w:r>
        <w:rPr>
          <w:rFonts w:hint="default" w:asciiTheme="minorAscii" w:hAnsiTheme="minorAscii"/>
          <w:lang w:val="en-US" w:eastAsia="zh-CN"/>
        </w:rPr>
        <w:t>’</w:t>
      </w:r>
      <w:r>
        <w:rPr>
          <w:rFonts w:hint="eastAsia" w:asciiTheme="minorAscii" w:hAnsiTheme="minorAscii"/>
          <w:lang w:val="en-US" w:eastAsia="zh-CN"/>
        </w:rPr>
        <w:t>,</w:t>
      </w:r>
      <w:r>
        <w:rPr>
          <w:rFonts w:hint="default" w:asciiTheme="minorAscii" w:hAnsiTheme="minorAscii"/>
        </w:rPr>
        <w:t xml:space="preserve"> </w:t>
      </w:r>
      <w:r>
        <w:rPr>
          <w:rFonts w:hint="default" w:asciiTheme="minorAscii" w:hAnsiTheme="minorAscii"/>
          <w:i/>
          <w:iCs/>
        </w:rPr>
        <w:t>Teoria e Prática da Educação</w:t>
      </w:r>
      <w:r>
        <w:rPr>
          <w:rFonts w:hint="default" w:asciiTheme="minorAscii" w:hAnsiTheme="minorAscii"/>
        </w:rPr>
        <w:t>, 15(1), 105–112.</w:t>
      </w:r>
      <w:r>
        <w:rPr>
          <w:rFonts w:hint="eastAsia" w:asciiTheme="minorAscii" w:hAnsiTheme="minorAscii"/>
          <w:lang w:val="en-US" w:eastAsia="zh-CN"/>
        </w:rPr>
        <w:t xml:space="preserve"> </w:t>
      </w:r>
      <w:r>
        <w:rPr>
          <w:rFonts w:hint="default" w:asciiTheme="minorAscii" w:hAnsiTheme="minorAscii"/>
        </w:rPr>
        <w:t>Available at:</w:t>
      </w:r>
      <w:r>
        <w:rPr>
          <w:rFonts w:hint="eastAsia" w:asciiTheme="minorAscii" w:hAnsiTheme="minorAscii"/>
          <w:lang w:val="en-US" w:eastAsia="zh-CN"/>
        </w:rPr>
        <w:t xml:space="preserve"> </w:t>
      </w:r>
      <w:r>
        <w:rPr>
          <w:rFonts w:hint="default" w:asciiTheme="minorAscii" w:hAnsiTheme="minorAscii"/>
        </w:rPr>
        <w:fldChar w:fldCharType="begin"/>
      </w:r>
      <w:r>
        <w:rPr>
          <w:rFonts w:hint="default" w:asciiTheme="minorAscii" w:hAnsiTheme="minorAscii"/>
        </w:rPr>
        <w:instrText xml:space="preserve"> HYPERLINK "https://periodicos.uem.br/ojs/index.php/TeorPratEduc/article/view/18569" </w:instrText>
      </w:r>
      <w:r>
        <w:rPr>
          <w:rFonts w:hint="default" w:asciiTheme="minorAscii" w:hAnsiTheme="minorAscii"/>
        </w:rPr>
        <w:fldChar w:fldCharType="separate"/>
      </w:r>
      <w:r>
        <w:rPr>
          <w:rStyle w:val="7"/>
          <w:rFonts w:hint="default" w:asciiTheme="minorAscii" w:hAnsiTheme="minorAscii"/>
        </w:rPr>
        <w:t>https://periodicos.uem.br/ojs/index.php/TeorPratEduc/article/view/18569</w:t>
      </w:r>
      <w:r>
        <w:rPr>
          <w:rFonts w:hint="default" w:asciiTheme="minorAscii" w:hAnsiTheme="minorAscii"/>
        </w:rPr>
        <w:fldChar w:fldCharType="end"/>
      </w:r>
    </w:p>
    <w:p w14:paraId="4FF801FD">
      <w:pPr>
        <w:numPr>
          <w:ilvl w:val="0"/>
          <w:numId w:val="1"/>
        </w:numPr>
        <w:jc w:val="left"/>
        <w:rPr>
          <w:rFonts w:hint="default" w:asciiTheme="minorAscii" w:hAnsiTheme="minorAscii"/>
        </w:rPr>
      </w:pPr>
      <w:r>
        <w:rPr>
          <w:rFonts w:hint="default" w:asciiTheme="minorAscii" w:hAnsiTheme="minorAscii"/>
        </w:rPr>
        <w:t>Wang, B. X. (2010)</w:t>
      </w:r>
      <w:r>
        <w:rPr>
          <w:rFonts w:hint="eastAsia" w:asciiTheme="minorAscii" w:hAnsiTheme="minorAscii"/>
          <w:lang w:val="en-US" w:eastAsia="zh-CN"/>
        </w:rPr>
        <w:t xml:space="preserve"> </w:t>
      </w:r>
      <w:r>
        <w:rPr>
          <w:rFonts w:hint="default" w:asciiTheme="minorAscii" w:hAnsiTheme="minorAscii"/>
          <w:lang w:val="en-US" w:eastAsia="zh-CN"/>
        </w:rPr>
        <w:t>‘</w:t>
      </w:r>
      <w:r>
        <w:rPr>
          <w:rFonts w:hint="default" w:asciiTheme="minorAscii" w:hAnsiTheme="minorAscii"/>
        </w:rPr>
        <w:t>Simplifying education process: An analysis of Pestalozzi’s educational wisdom</w:t>
      </w:r>
      <w:r>
        <w:rPr>
          <w:rFonts w:hint="default" w:asciiTheme="minorAscii" w:hAnsiTheme="minorAscii"/>
          <w:lang w:val="en-US" w:eastAsia="zh-CN"/>
        </w:rPr>
        <w:t>’</w:t>
      </w:r>
      <w:r>
        <w:rPr>
          <w:rFonts w:hint="eastAsia" w:asciiTheme="minorAscii" w:hAnsiTheme="minorAscii"/>
          <w:lang w:val="en-US" w:eastAsia="zh-CN"/>
        </w:rPr>
        <w:t>,</w:t>
      </w:r>
      <w:r>
        <w:rPr>
          <w:rFonts w:hint="default" w:asciiTheme="minorAscii" w:hAnsiTheme="minorAscii"/>
        </w:rPr>
        <w:t xml:space="preserve"> </w:t>
      </w:r>
      <w:r>
        <w:rPr>
          <w:rFonts w:hint="default" w:asciiTheme="minorAscii" w:hAnsiTheme="minorAscii"/>
          <w:i/>
          <w:iCs/>
        </w:rPr>
        <w:t>Journal of East China Normal University (Educational Sciences)</w:t>
      </w:r>
      <w:r>
        <w:rPr>
          <w:rFonts w:hint="default" w:asciiTheme="minorAscii" w:hAnsiTheme="minorAscii"/>
        </w:rPr>
        <w:t>, 28(4), 82–87.</w:t>
      </w:r>
      <w:r>
        <w:rPr>
          <w:rFonts w:hint="eastAsia" w:asciiTheme="minorAscii" w:hAnsiTheme="minorAscii"/>
          <w:lang w:val="en-US" w:eastAsia="zh-CN"/>
        </w:rPr>
        <w:t xml:space="preserve"> </w:t>
      </w:r>
      <w:r>
        <w:rPr>
          <w:rFonts w:hint="default" w:asciiTheme="minorAscii" w:hAnsiTheme="minorAscii"/>
        </w:rPr>
        <w:t>Available at:</w:t>
      </w:r>
      <w:r>
        <w:rPr>
          <w:rFonts w:hint="eastAsia" w:asciiTheme="minorAscii" w:hAnsiTheme="minorAscii"/>
          <w:lang w:val="en-US" w:eastAsia="zh-CN"/>
        </w:rPr>
        <w:t xml:space="preserve"> </w:t>
      </w:r>
      <w:r>
        <w:rPr>
          <w:rFonts w:hint="default" w:asciiTheme="minorAscii" w:hAnsiTheme="minorAscii"/>
        </w:rPr>
        <w:fldChar w:fldCharType="begin"/>
      </w:r>
      <w:r>
        <w:rPr>
          <w:rFonts w:hint="default" w:asciiTheme="minorAscii" w:hAnsiTheme="minorAscii"/>
        </w:rPr>
        <w:instrText xml:space="preserve"> HYPERLINK "https://xbjk.ecnu.edu.cn/EN/volumn/volumn_1343.shtml" </w:instrText>
      </w:r>
      <w:r>
        <w:rPr>
          <w:rFonts w:hint="default" w:asciiTheme="minorAscii" w:hAnsiTheme="minorAscii"/>
        </w:rPr>
        <w:fldChar w:fldCharType="separate"/>
      </w:r>
      <w:r>
        <w:rPr>
          <w:rStyle w:val="7"/>
          <w:rFonts w:hint="default" w:asciiTheme="minorAscii" w:hAnsiTheme="minorAscii"/>
        </w:rPr>
        <w:t>https://xbjk.ecnu.edu.cn/EN/volumn/volumn_1343.shtml</w:t>
      </w:r>
      <w:r>
        <w:rPr>
          <w:rFonts w:hint="default" w:asciiTheme="minorAscii" w:hAnsiTheme="minorAscii"/>
        </w:rPr>
        <w:fldChar w:fldCharType="end"/>
      </w:r>
    </w:p>
    <w:p w14:paraId="302CF9D8">
      <w:pPr>
        <w:numPr>
          <w:ilvl w:val="0"/>
          <w:numId w:val="1"/>
        </w:numPr>
        <w:jc w:val="left"/>
        <w:rPr>
          <w:rFonts w:hint="default" w:asciiTheme="minorAscii" w:hAnsiTheme="minorAscii"/>
          <w:i w:val="0"/>
          <w:iCs w:val="0"/>
        </w:rPr>
      </w:pPr>
      <w:r>
        <w:rPr>
          <w:rFonts w:hint="default" w:asciiTheme="minorAscii" w:hAnsiTheme="minorAscii"/>
        </w:rPr>
        <w:t xml:space="preserve">Wang, C.S. (2001) ‘The introduction and influence of Dewey’s educational thought in China’, in </w:t>
      </w:r>
      <w:r>
        <w:rPr>
          <w:rFonts w:hint="default" w:asciiTheme="minorAscii" w:hAnsiTheme="minorAscii"/>
          <w:i/>
          <w:iCs/>
        </w:rPr>
        <w:t>The revival of Deweyan thought in China</w:t>
      </w:r>
      <w:r>
        <w:rPr>
          <w:rFonts w:hint="default" w:asciiTheme="minorAscii" w:hAnsiTheme="minorAscii"/>
        </w:rPr>
        <w:t>. People’s Education Press, pp. 45–67.</w:t>
      </w:r>
    </w:p>
    <w:p w14:paraId="02D21FDB">
      <w:pPr>
        <w:numPr>
          <w:ilvl w:val="0"/>
          <w:numId w:val="1"/>
        </w:numPr>
        <w:jc w:val="left"/>
        <w:rPr>
          <w:rFonts w:hint="default" w:asciiTheme="minorAscii" w:hAnsiTheme="minorAscii"/>
          <w:i w:val="0"/>
          <w:iCs w:val="0"/>
        </w:rPr>
      </w:pPr>
      <w:r>
        <w:rPr>
          <w:rFonts w:hint="default" w:asciiTheme="minorAscii" w:hAnsiTheme="minorAscii"/>
        </w:rPr>
        <w:t xml:space="preserve">Zhong, Q.Q. (2005) </w:t>
      </w:r>
      <w:r>
        <w:rPr>
          <w:rFonts w:hint="default" w:asciiTheme="minorAscii" w:hAnsiTheme="minorAscii"/>
          <w:i/>
          <w:iCs/>
        </w:rPr>
        <w:t>Conceptual Transformation and Curriculum Innovation</w:t>
      </w:r>
      <w:r>
        <w:rPr>
          <w:rFonts w:hint="default" w:asciiTheme="minorAscii" w:hAnsiTheme="minorAscii"/>
        </w:rPr>
        <w:t xml:space="preserve">. </w:t>
      </w:r>
      <w:r>
        <w:rPr>
          <w:rFonts w:hint="default" w:asciiTheme="minorAscii" w:hAnsiTheme="minorAscii"/>
          <w:i w:val="0"/>
          <w:iCs w:val="0"/>
        </w:rPr>
        <w:t>Educational Science Publishing House.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Black">
    <w:panose1 w:val="020B0A04020102020204"/>
    <w:charset w:val="00"/>
    <w:family w:val="swiss"/>
    <w:pitch w:val="default"/>
    <w:sig w:usb0="A00002AF" w:usb1="400078FB" w:usb2="00000000" w:usb3="00000000" w:csb0="6000009F" w:csb1="DFD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B61A0C3"/>
    <w:multiLevelType w:val="singleLevel"/>
    <w:tmpl w:val="5B61A0C3"/>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A7C1879"/>
    <w:rsid w:val="14913A22"/>
    <w:rsid w:val="1525798D"/>
    <w:rsid w:val="38C42E95"/>
    <w:rsid w:val="51E63A25"/>
    <w:rsid w:val="537137C2"/>
    <w:rsid w:val="62DA4EE0"/>
    <w:rsid w:val="63185A08"/>
    <w:rsid w:val="6A4610AD"/>
    <w:rsid w:val="6B8C6F93"/>
    <w:rsid w:val="6C27115F"/>
    <w:rsid w:val="70C3128F"/>
    <w:rsid w:val="71AC3EEB"/>
    <w:rsid w:val="78112C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unhideWhenUsed/>
    <w:qFormat/>
    <w:uiPriority w:val="0"/>
    <w:pPr>
      <w:keepNext/>
      <w:keepLines/>
      <w:spacing w:before="340" w:beforeLines="0" w:after="330" w:afterLines="0" w:line="578" w:lineRule="auto"/>
      <w:jc w:val="left"/>
      <w:outlineLvl w:val="0"/>
    </w:pPr>
    <w:rPr>
      <w:rFonts w:hint="default" w:ascii="Arial Black" w:hAnsi="Arial Black" w:eastAsia="黑体"/>
      <w:kern w:val="44"/>
      <w:sz w:val="28"/>
      <w:szCs w:val="28"/>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3">
    <w:name w:val="footer"/>
    <w:basedOn w:val="1"/>
    <w:unhideWhenUsed/>
    <w:qFormat/>
    <w:uiPriority w:val="99"/>
    <w:pPr>
      <w:tabs>
        <w:tab w:val="center" w:pos="4153"/>
        <w:tab w:val="right" w:pos="8306"/>
      </w:tabs>
      <w:snapToGrid w:val="0"/>
      <w:spacing w:beforeLines="0" w:afterLines="0"/>
      <w:jc w:val="left"/>
    </w:pPr>
    <w:rPr>
      <w:rFonts w:hint="default"/>
      <w:sz w:val="18"/>
      <w:szCs w:val="18"/>
    </w:rPr>
  </w:style>
  <w:style w:type="paragraph" w:styleId="4">
    <w:name w:val="header"/>
    <w:basedOn w:val="1"/>
    <w:unhideWhenUsed/>
    <w:qFormat/>
    <w:uiPriority w:val="0"/>
    <w:pPr>
      <w:tabs>
        <w:tab w:val="center" w:pos="4153"/>
        <w:tab w:val="right" w:pos="8306"/>
      </w:tabs>
      <w:snapToGrid w:val="0"/>
      <w:spacing w:beforeLines="0" w:afterLines="0"/>
    </w:pPr>
    <w:rPr>
      <w:rFonts w:hint="default"/>
      <w:sz w:val="18"/>
      <w:szCs w:val="24"/>
    </w:rPr>
  </w:style>
  <w:style w:type="character" w:styleId="7">
    <w:name w:val="Hyperlink"/>
    <w:basedOn w:val="6"/>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1138</Words>
  <Characters>6897</Characters>
  <Lines>0</Lines>
  <Paragraphs>0</Paragraphs>
  <TotalTime>31</TotalTime>
  <ScaleCrop>false</ScaleCrop>
  <LinksUpToDate>false</LinksUpToDate>
  <CharactersWithSpaces>8017</CharactersWithSpaces>
  <Application>WPS Office_12.1.0.24657_F1E327BC-269C-435d-A152-05C5408002CA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2026-01-08T16:05:00Z</dcterms:created>
  <dc:creator>fish in the pool</dc:creator>
  <cp:lastModifiedBy>fish in the pool</cp:lastModifiedBy>
  <dcterms:modified xsi:type="dcterms:W3CDTF">2026-01-15T10:25:30Z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2052-12.1.0.24657</vt:lpwstr>
  </property>
  <property fmtid="{D5CDD505-2E9C-101B-9397-08002B2CF9AE}" pid="3" name="ICV">
    <vt:lpwstr>FF988A0208EC4AA6A6286B3A80EA0198_13</vt:lpwstr>
  </property>
  <property fmtid="{D5CDD505-2E9C-101B-9397-08002B2CF9AE}" pid="4" name="KSOTemplateDocerSaveRecord">
    <vt:lpwstr>eyJoZGlkIjoiZTZhZDUyNTQyNTQxNTM5ZWRmNGQwMDgyYmU3YjIxOTMiLCJ1c2VySWQiOiI4MjI4OTYwOTkifQ==</vt:lpwstr>
  </property>
</Properties>
</file>