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Default="009334D8" w:rsidP="008375B5">
      <w:pPr>
        <w:spacing w:line="360" w:lineRule="auto"/>
      </w:pPr>
      <w:r>
        <w:rPr>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0E4A258C" w14:textId="77777777" w:rsidR="008375B5" w:rsidRDefault="008375B5" w:rsidP="008375B5">
      <w:pPr>
        <w:spacing w:line="360" w:lineRule="auto"/>
        <w:jc w:val="center"/>
        <w:rPr>
          <w:rStyle w:val="Strong"/>
          <w:rFonts w:ascii="Arial" w:hAnsi="Arial" w:cs="Arial"/>
          <w:color w:val="1D2125"/>
          <w:sz w:val="36"/>
          <w:szCs w:val="36"/>
        </w:rPr>
      </w:pPr>
    </w:p>
    <w:p w14:paraId="4D8F34EA" w14:textId="77777777" w:rsidR="008375B5" w:rsidRDefault="008375B5" w:rsidP="008375B5">
      <w:pPr>
        <w:spacing w:line="360" w:lineRule="auto"/>
        <w:jc w:val="center"/>
        <w:rPr>
          <w:rStyle w:val="Strong"/>
          <w:rFonts w:ascii="Arial" w:hAnsi="Arial" w:cs="Arial"/>
          <w:color w:val="1D2125"/>
          <w:sz w:val="36"/>
          <w:szCs w:val="36"/>
        </w:rPr>
      </w:pPr>
    </w:p>
    <w:p w14:paraId="09EDD2AC" w14:textId="77777777" w:rsidR="008375B5" w:rsidRDefault="008375B5" w:rsidP="008375B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 Written Report</w:t>
      </w:r>
    </w:p>
    <w:p w14:paraId="3C3042AD" w14:textId="5C5E3FF1"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444F1C">
        <w:rPr>
          <w:rStyle w:val="Strong"/>
          <w:rFonts w:ascii="Arial" w:hAnsi="Arial" w:cs="Arial"/>
          <w:color w:val="1D2125"/>
          <w:sz w:val="32"/>
          <w:szCs w:val="32"/>
        </w:rPr>
        <w:t xml:space="preserve"> Wahida Nagi</w:t>
      </w:r>
    </w:p>
    <w:p w14:paraId="227AC82E" w14:textId="57C9874D"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444F1C">
        <w:rPr>
          <w:rStyle w:val="Strong"/>
          <w:rFonts w:ascii="Arial" w:hAnsi="Arial" w:cs="Arial"/>
          <w:color w:val="1D2125"/>
          <w:sz w:val="32"/>
          <w:szCs w:val="32"/>
        </w:rPr>
        <w:t xml:space="preserve"> 2245076</w:t>
      </w:r>
    </w:p>
    <w:p w14:paraId="63E9754E" w14:textId="77777777" w:rsidR="00910843" w:rsidRDefault="008375B5" w:rsidP="00910843">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444F1C">
        <w:rPr>
          <w:rStyle w:val="Strong"/>
          <w:rFonts w:ascii="Arial" w:hAnsi="Arial" w:cs="Arial"/>
          <w:color w:val="1D2125"/>
          <w:sz w:val="32"/>
          <w:szCs w:val="32"/>
        </w:rPr>
        <w:t xml:space="preserve"> </w:t>
      </w:r>
      <w:r w:rsidR="00910843" w:rsidRPr="006E499A">
        <w:rPr>
          <w:rStyle w:val="Strong"/>
          <w:rFonts w:ascii="Arial" w:hAnsi="Arial" w:cs="Arial"/>
          <w:color w:val="1D2125"/>
          <w:sz w:val="32"/>
          <w:szCs w:val="32"/>
        </w:rPr>
        <w:t>Shepherd Ziko</w:t>
      </w:r>
    </w:p>
    <w:p w14:paraId="5B5E64AD" w14:textId="0E461C43" w:rsidR="008375B5" w:rsidRDefault="008375B5" w:rsidP="008375B5">
      <w:pPr>
        <w:spacing w:line="360" w:lineRule="auto"/>
        <w:rPr>
          <w:rStyle w:val="Strong"/>
          <w:rFonts w:ascii="Arial" w:hAnsi="Arial" w:cs="Arial"/>
          <w:color w:val="1D2125"/>
          <w:sz w:val="32"/>
          <w:szCs w:val="32"/>
        </w:rPr>
      </w:pPr>
    </w:p>
    <w:p w14:paraId="4F492421" w14:textId="77777777" w:rsidR="008375B5" w:rsidRDefault="008375B5" w:rsidP="008375B5">
      <w:pPr>
        <w:spacing w:line="360" w:lineRule="auto"/>
        <w:rPr>
          <w:sz w:val="36"/>
          <w:szCs w:val="36"/>
        </w:rPr>
      </w:pPr>
    </w:p>
    <w:p w14:paraId="43FBD350" w14:textId="77777777" w:rsidR="008375B5" w:rsidRDefault="008375B5" w:rsidP="008375B5">
      <w:pPr>
        <w:spacing w:line="360" w:lineRule="auto"/>
        <w:rPr>
          <w:rFonts w:ascii="Arial" w:hAnsi="Arial" w:cs="Arial"/>
          <w:sz w:val="36"/>
          <w:szCs w:val="36"/>
        </w:rPr>
      </w:pPr>
    </w:p>
    <w:p w14:paraId="2EE68F49" w14:textId="77777777" w:rsidR="008375B5" w:rsidRDefault="008375B5"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p w14:paraId="35E9E8E1" w14:textId="77777777" w:rsidR="008375B5" w:rsidRPr="002065F7" w:rsidRDefault="008375B5" w:rsidP="00E30213">
      <w:pPr>
        <w:pStyle w:val="Heading1"/>
        <w:rPr>
          <w:rFonts w:ascii="Arial" w:hAnsi="Arial" w:cs="Arial"/>
          <w:b/>
          <w:bCs/>
          <w:sz w:val="36"/>
          <w:szCs w:val="36"/>
        </w:rPr>
      </w:pPr>
      <w:bookmarkStart w:id="0" w:name="_Toc213954366"/>
      <w:bookmarkStart w:id="1" w:name="_Toc213954940"/>
      <w:bookmarkStart w:id="2" w:name="_Toc213954956"/>
      <w:r w:rsidRPr="002065F7">
        <w:rPr>
          <w:rFonts w:ascii="Arial" w:hAnsi="Arial" w:cs="Arial"/>
          <w:b/>
          <w:bCs/>
          <w:sz w:val="36"/>
          <w:szCs w:val="36"/>
        </w:rPr>
        <w:t>Table of contents</w:t>
      </w:r>
      <w:bookmarkEnd w:id="0"/>
      <w:bookmarkEnd w:id="1"/>
      <w:bookmarkEnd w:id="2"/>
    </w:p>
    <w:sdt>
      <w:sdtPr>
        <w:id w:val="151952061"/>
        <w:docPartObj>
          <w:docPartGallery w:val="Table of Contents"/>
          <w:docPartUnique/>
        </w:docPartObj>
      </w:sdtPr>
      <w:sdtEndPr>
        <w:rPr>
          <w:rFonts w:ascii="Arial" w:eastAsia="Aptos" w:hAnsi="Arial" w:cs="Arial"/>
          <w:b/>
          <w:bCs/>
          <w:noProof/>
          <w:color w:val="auto"/>
          <w:kern w:val="2"/>
          <w:lang w:val="en-GB"/>
        </w:rPr>
      </w:sdtEndPr>
      <w:sdtContent>
        <w:p w14:paraId="0FC4463C" w14:textId="4097AF01" w:rsidR="002065F7" w:rsidRDefault="002065F7">
          <w:pPr>
            <w:pStyle w:val="TOCHeading"/>
          </w:pPr>
        </w:p>
        <w:p w14:paraId="6B9281EC" w14:textId="1EE14D12" w:rsidR="002065F7" w:rsidRPr="002065F7" w:rsidRDefault="002065F7">
          <w:pPr>
            <w:pStyle w:val="TOC1"/>
            <w:rPr>
              <w:rFonts w:eastAsiaTheme="minorEastAsia"/>
              <w:b w:val="0"/>
              <w:bCs w:val="0"/>
              <w:sz w:val="32"/>
              <w:szCs w:val="32"/>
              <w:lang w:eastAsia="en-GB"/>
              <w14:ligatures w14:val="standardContextual"/>
            </w:rPr>
          </w:pPr>
          <w:r w:rsidRPr="002065F7">
            <w:rPr>
              <w:sz w:val="32"/>
              <w:szCs w:val="32"/>
            </w:rPr>
            <w:fldChar w:fldCharType="begin"/>
          </w:r>
          <w:r w:rsidRPr="002065F7">
            <w:rPr>
              <w:sz w:val="32"/>
              <w:szCs w:val="32"/>
            </w:rPr>
            <w:instrText xml:space="preserve"> TOC \o "1-3" \h \z \u </w:instrText>
          </w:r>
          <w:r w:rsidRPr="002065F7">
            <w:rPr>
              <w:sz w:val="32"/>
              <w:szCs w:val="32"/>
            </w:rPr>
            <w:fldChar w:fldCharType="separate"/>
          </w:r>
          <w:hyperlink w:anchor="_Toc213954956" w:history="1">
            <w:r w:rsidRPr="002065F7">
              <w:rPr>
                <w:rStyle w:val="Hyperlink"/>
                <w:sz w:val="32"/>
                <w:szCs w:val="32"/>
              </w:rPr>
              <w:t>Table of contents</w:t>
            </w:r>
            <w:r w:rsidRPr="002065F7">
              <w:rPr>
                <w:webHidden/>
                <w:sz w:val="32"/>
                <w:szCs w:val="32"/>
              </w:rPr>
              <w:tab/>
            </w:r>
            <w:r w:rsidRPr="002065F7">
              <w:rPr>
                <w:webHidden/>
                <w:sz w:val="32"/>
                <w:szCs w:val="32"/>
              </w:rPr>
              <w:fldChar w:fldCharType="begin"/>
            </w:r>
            <w:r w:rsidRPr="002065F7">
              <w:rPr>
                <w:webHidden/>
                <w:sz w:val="32"/>
                <w:szCs w:val="32"/>
              </w:rPr>
              <w:instrText xml:space="preserve"> PAGEREF _Toc213954956 \h </w:instrText>
            </w:r>
            <w:r w:rsidRPr="002065F7">
              <w:rPr>
                <w:webHidden/>
                <w:sz w:val="32"/>
                <w:szCs w:val="32"/>
              </w:rPr>
            </w:r>
            <w:r w:rsidRPr="002065F7">
              <w:rPr>
                <w:webHidden/>
                <w:sz w:val="32"/>
                <w:szCs w:val="32"/>
              </w:rPr>
              <w:fldChar w:fldCharType="separate"/>
            </w:r>
            <w:r w:rsidRPr="002065F7">
              <w:rPr>
                <w:webHidden/>
                <w:sz w:val="32"/>
                <w:szCs w:val="32"/>
              </w:rPr>
              <w:t>2</w:t>
            </w:r>
            <w:r w:rsidRPr="002065F7">
              <w:rPr>
                <w:webHidden/>
                <w:sz w:val="32"/>
                <w:szCs w:val="32"/>
              </w:rPr>
              <w:fldChar w:fldCharType="end"/>
            </w:r>
          </w:hyperlink>
        </w:p>
        <w:p w14:paraId="6E8F35C4" w14:textId="412EA6A0" w:rsidR="002065F7" w:rsidRPr="002065F7" w:rsidRDefault="002065F7">
          <w:pPr>
            <w:pStyle w:val="TOC1"/>
            <w:rPr>
              <w:rFonts w:eastAsiaTheme="minorEastAsia"/>
              <w:b w:val="0"/>
              <w:bCs w:val="0"/>
              <w:sz w:val="32"/>
              <w:szCs w:val="32"/>
              <w:lang w:eastAsia="en-GB"/>
              <w14:ligatures w14:val="standardContextual"/>
            </w:rPr>
          </w:pPr>
          <w:hyperlink w:anchor="_Toc213954957" w:history="1">
            <w:r w:rsidRPr="002065F7">
              <w:rPr>
                <w:rStyle w:val="Hyperlink"/>
                <w:sz w:val="32"/>
                <w:szCs w:val="32"/>
              </w:rPr>
              <w:t>Introduction</w:t>
            </w:r>
            <w:r w:rsidRPr="002065F7">
              <w:rPr>
                <w:webHidden/>
                <w:sz w:val="32"/>
                <w:szCs w:val="32"/>
              </w:rPr>
              <w:tab/>
            </w:r>
            <w:r w:rsidRPr="002065F7">
              <w:rPr>
                <w:webHidden/>
                <w:sz w:val="32"/>
                <w:szCs w:val="32"/>
              </w:rPr>
              <w:fldChar w:fldCharType="begin"/>
            </w:r>
            <w:r w:rsidRPr="002065F7">
              <w:rPr>
                <w:webHidden/>
                <w:sz w:val="32"/>
                <w:szCs w:val="32"/>
              </w:rPr>
              <w:instrText xml:space="preserve"> PAGEREF _Toc213954957 \h </w:instrText>
            </w:r>
            <w:r w:rsidRPr="002065F7">
              <w:rPr>
                <w:webHidden/>
                <w:sz w:val="32"/>
                <w:szCs w:val="32"/>
              </w:rPr>
            </w:r>
            <w:r w:rsidRPr="002065F7">
              <w:rPr>
                <w:webHidden/>
                <w:sz w:val="32"/>
                <w:szCs w:val="32"/>
              </w:rPr>
              <w:fldChar w:fldCharType="separate"/>
            </w:r>
            <w:r w:rsidRPr="002065F7">
              <w:rPr>
                <w:webHidden/>
                <w:sz w:val="32"/>
                <w:szCs w:val="32"/>
              </w:rPr>
              <w:t>3</w:t>
            </w:r>
            <w:r w:rsidRPr="002065F7">
              <w:rPr>
                <w:webHidden/>
                <w:sz w:val="32"/>
                <w:szCs w:val="32"/>
              </w:rPr>
              <w:fldChar w:fldCharType="end"/>
            </w:r>
          </w:hyperlink>
        </w:p>
        <w:p w14:paraId="070E83F0" w14:textId="65AE6270" w:rsidR="002065F7" w:rsidRPr="002065F7" w:rsidRDefault="002065F7">
          <w:pPr>
            <w:pStyle w:val="TOC1"/>
            <w:rPr>
              <w:rFonts w:eastAsiaTheme="minorEastAsia"/>
              <w:b w:val="0"/>
              <w:bCs w:val="0"/>
              <w:sz w:val="32"/>
              <w:szCs w:val="32"/>
              <w:lang w:eastAsia="en-GB"/>
              <w14:ligatures w14:val="standardContextual"/>
            </w:rPr>
          </w:pPr>
          <w:hyperlink w:anchor="_Toc213954958" w:history="1">
            <w:r w:rsidRPr="002065F7">
              <w:rPr>
                <w:rStyle w:val="Hyperlink"/>
                <w:sz w:val="32"/>
                <w:szCs w:val="32"/>
              </w:rPr>
              <w:t>Implementation Context</w:t>
            </w:r>
            <w:r w:rsidRPr="002065F7">
              <w:rPr>
                <w:webHidden/>
                <w:sz w:val="32"/>
                <w:szCs w:val="32"/>
              </w:rPr>
              <w:tab/>
            </w:r>
            <w:r w:rsidRPr="002065F7">
              <w:rPr>
                <w:webHidden/>
                <w:sz w:val="32"/>
                <w:szCs w:val="32"/>
              </w:rPr>
              <w:fldChar w:fldCharType="begin"/>
            </w:r>
            <w:r w:rsidRPr="002065F7">
              <w:rPr>
                <w:webHidden/>
                <w:sz w:val="32"/>
                <w:szCs w:val="32"/>
              </w:rPr>
              <w:instrText xml:space="preserve"> PAGEREF _Toc213954958 \h </w:instrText>
            </w:r>
            <w:r w:rsidRPr="002065F7">
              <w:rPr>
                <w:webHidden/>
                <w:sz w:val="32"/>
                <w:szCs w:val="32"/>
              </w:rPr>
            </w:r>
            <w:r w:rsidRPr="002065F7">
              <w:rPr>
                <w:webHidden/>
                <w:sz w:val="32"/>
                <w:szCs w:val="32"/>
              </w:rPr>
              <w:fldChar w:fldCharType="separate"/>
            </w:r>
            <w:r w:rsidRPr="002065F7">
              <w:rPr>
                <w:webHidden/>
                <w:sz w:val="32"/>
                <w:szCs w:val="32"/>
              </w:rPr>
              <w:t>3</w:t>
            </w:r>
            <w:r w:rsidRPr="002065F7">
              <w:rPr>
                <w:webHidden/>
                <w:sz w:val="32"/>
                <w:szCs w:val="32"/>
              </w:rPr>
              <w:fldChar w:fldCharType="end"/>
            </w:r>
          </w:hyperlink>
        </w:p>
        <w:p w14:paraId="52E838AC" w14:textId="0EFC0449" w:rsidR="002065F7" w:rsidRPr="002065F7" w:rsidRDefault="002065F7">
          <w:pPr>
            <w:pStyle w:val="TOC1"/>
            <w:rPr>
              <w:rFonts w:eastAsiaTheme="minorEastAsia"/>
              <w:b w:val="0"/>
              <w:bCs w:val="0"/>
              <w:sz w:val="32"/>
              <w:szCs w:val="32"/>
              <w:lang w:eastAsia="en-GB"/>
              <w14:ligatures w14:val="standardContextual"/>
            </w:rPr>
          </w:pPr>
          <w:hyperlink w:anchor="_Toc213954959" w:history="1">
            <w:r w:rsidRPr="002065F7">
              <w:rPr>
                <w:rStyle w:val="Hyperlink"/>
                <w:sz w:val="32"/>
                <w:szCs w:val="32"/>
              </w:rPr>
              <w:t>Impact on work force</w:t>
            </w:r>
            <w:r w:rsidRPr="002065F7">
              <w:rPr>
                <w:webHidden/>
                <w:sz w:val="32"/>
                <w:szCs w:val="32"/>
              </w:rPr>
              <w:tab/>
            </w:r>
            <w:r w:rsidRPr="002065F7">
              <w:rPr>
                <w:webHidden/>
                <w:sz w:val="32"/>
                <w:szCs w:val="32"/>
              </w:rPr>
              <w:fldChar w:fldCharType="begin"/>
            </w:r>
            <w:r w:rsidRPr="002065F7">
              <w:rPr>
                <w:webHidden/>
                <w:sz w:val="32"/>
                <w:szCs w:val="32"/>
              </w:rPr>
              <w:instrText xml:space="preserve"> PAGEREF _Toc213954959 \h </w:instrText>
            </w:r>
            <w:r w:rsidRPr="002065F7">
              <w:rPr>
                <w:webHidden/>
                <w:sz w:val="32"/>
                <w:szCs w:val="32"/>
              </w:rPr>
            </w:r>
            <w:r w:rsidRPr="002065F7">
              <w:rPr>
                <w:webHidden/>
                <w:sz w:val="32"/>
                <w:szCs w:val="32"/>
              </w:rPr>
              <w:fldChar w:fldCharType="separate"/>
            </w:r>
            <w:r w:rsidRPr="002065F7">
              <w:rPr>
                <w:webHidden/>
                <w:sz w:val="32"/>
                <w:szCs w:val="32"/>
              </w:rPr>
              <w:t>4</w:t>
            </w:r>
            <w:r w:rsidRPr="002065F7">
              <w:rPr>
                <w:webHidden/>
                <w:sz w:val="32"/>
                <w:szCs w:val="32"/>
              </w:rPr>
              <w:fldChar w:fldCharType="end"/>
            </w:r>
          </w:hyperlink>
        </w:p>
        <w:p w14:paraId="31D2F7F3" w14:textId="43E56246" w:rsidR="002065F7" w:rsidRPr="002065F7" w:rsidRDefault="002065F7">
          <w:pPr>
            <w:pStyle w:val="TOC1"/>
            <w:rPr>
              <w:rFonts w:eastAsiaTheme="minorEastAsia"/>
              <w:b w:val="0"/>
              <w:bCs w:val="0"/>
              <w:sz w:val="32"/>
              <w:szCs w:val="32"/>
              <w:lang w:eastAsia="en-GB"/>
              <w14:ligatures w14:val="standardContextual"/>
            </w:rPr>
          </w:pPr>
          <w:hyperlink w:anchor="_Toc213954960" w:history="1">
            <w:r w:rsidRPr="002065F7">
              <w:rPr>
                <w:rStyle w:val="Hyperlink"/>
                <w:sz w:val="32"/>
                <w:szCs w:val="32"/>
              </w:rPr>
              <w:t>Impact on service delivery</w:t>
            </w:r>
            <w:r w:rsidRPr="002065F7">
              <w:rPr>
                <w:webHidden/>
                <w:sz w:val="32"/>
                <w:szCs w:val="32"/>
              </w:rPr>
              <w:tab/>
            </w:r>
            <w:r w:rsidRPr="002065F7">
              <w:rPr>
                <w:webHidden/>
                <w:sz w:val="32"/>
                <w:szCs w:val="32"/>
              </w:rPr>
              <w:fldChar w:fldCharType="begin"/>
            </w:r>
            <w:r w:rsidRPr="002065F7">
              <w:rPr>
                <w:webHidden/>
                <w:sz w:val="32"/>
                <w:szCs w:val="32"/>
              </w:rPr>
              <w:instrText xml:space="preserve"> PAGEREF _Toc213954960 \h </w:instrText>
            </w:r>
            <w:r w:rsidRPr="002065F7">
              <w:rPr>
                <w:webHidden/>
                <w:sz w:val="32"/>
                <w:szCs w:val="32"/>
              </w:rPr>
            </w:r>
            <w:r w:rsidRPr="002065F7">
              <w:rPr>
                <w:webHidden/>
                <w:sz w:val="32"/>
                <w:szCs w:val="32"/>
              </w:rPr>
              <w:fldChar w:fldCharType="separate"/>
            </w:r>
            <w:r w:rsidRPr="002065F7">
              <w:rPr>
                <w:webHidden/>
                <w:sz w:val="32"/>
                <w:szCs w:val="32"/>
              </w:rPr>
              <w:t>5</w:t>
            </w:r>
            <w:r w:rsidRPr="002065F7">
              <w:rPr>
                <w:webHidden/>
                <w:sz w:val="32"/>
                <w:szCs w:val="32"/>
              </w:rPr>
              <w:fldChar w:fldCharType="end"/>
            </w:r>
          </w:hyperlink>
        </w:p>
        <w:p w14:paraId="057EFA7A" w14:textId="30B32CF2" w:rsidR="002065F7" w:rsidRPr="002065F7" w:rsidRDefault="002065F7">
          <w:pPr>
            <w:pStyle w:val="TOC1"/>
            <w:rPr>
              <w:rFonts w:eastAsiaTheme="minorEastAsia"/>
              <w:b w:val="0"/>
              <w:bCs w:val="0"/>
              <w:sz w:val="32"/>
              <w:szCs w:val="32"/>
              <w:lang w:eastAsia="en-GB"/>
              <w14:ligatures w14:val="standardContextual"/>
            </w:rPr>
          </w:pPr>
          <w:hyperlink w:anchor="_Toc213954961" w:history="1">
            <w:r w:rsidRPr="002065F7">
              <w:rPr>
                <w:rStyle w:val="Hyperlink"/>
                <w:sz w:val="32"/>
                <w:szCs w:val="32"/>
              </w:rPr>
              <w:t>Impact on patients</w:t>
            </w:r>
            <w:r w:rsidRPr="002065F7">
              <w:rPr>
                <w:webHidden/>
                <w:sz w:val="32"/>
                <w:szCs w:val="32"/>
              </w:rPr>
              <w:tab/>
            </w:r>
            <w:r w:rsidRPr="002065F7">
              <w:rPr>
                <w:webHidden/>
                <w:sz w:val="32"/>
                <w:szCs w:val="32"/>
              </w:rPr>
              <w:fldChar w:fldCharType="begin"/>
            </w:r>
            <w:r w:rsidRPr="002065F7">
              <w:rPr>
                <w:webHidden/>
                <w:sz w:val="32"/>
                <w:szCs w:val="32"/>
              </w:rPr>
              <w:instrText xml:space="preserve"> PAGEREF _Toc213954961 \h </w:instrText>
            </w:r>
            <w:r w:rsidRPr="002065F7">
              <w:rPr>
                <w:webHidden/>
                <w:sz w:val="32"/>
                <w:szCs w:val="32"/>
              </w:rPr>
            </w:r>
            <w:r w:rsidRPr="002065F7">
              <w:rPr>
                <w:webHidden/>
                <w:sz w:val="32"/>
                <w:szCs w:val="32"/>
              </w:rPr>
              <w:fldChar w:fldCharType="separate"/>
            </w:r>
            <w:r w:rsidRPr="002065F7">
              <w:rPr>
                <w:webHidden/>
                <w:sz w:val="32"/>
                <w:szCs w:val="32"/>
              </w:rPr>
              <w:t>6</w:t>
            </w:r>
            <w:r w:rsidRPr="002065F7">
              <w:rPr>
                <w:webHidden/>
                <w:sz w:val="32"/>
                <w:szCs w:val="32"/>
              </w:rPr>
              <w:fldChar w:fldCharType="end"/>
            </w:r>
          </w:hyperlink>
        </w:p>
        <w:p w14:paraId="735BBB96" w14:textId="1CA727BD" w:rsidR="002065F7" w:rsidRPr="002065F7" w:rsidRDefault="002065F7">
          <w:pPr>
            <w:pStyle w:val="TOC1"/>
            <w:rPr>
              <w:rFonts w:eastAsiaTheme="minorEastAsia"/>
              <w:b w:val="0"/>
              <w:bCs w:val="0"/>
              <w:sz w:val="32"/>
              <w:szCs w:val="32"/>
              <w:lang w:eastAsia="en-GB"/>
              <w14:ligatures w14:val="standardContextual"/>
            </w:rPr>
          </w:pPr>
          <w:hyperlink w:anchor="_Toc213954962" w:history="1">
            <w:r w:rsidRPr="002065F7">
              <w:rPr>
                <w:rStyle w:val="Hyperlink"/>
                <w:sz w:val="32"/>
                <w:szCs w:val="32"/>
              </w:rPr>
              <w:t>Impact on community</w:t>
            </w:r>
            <w:r w:rsidRPr="002065F7">
              <w:rPr>
                <w:webHidden/>
                <w:sz w:val="32"/>
                <w:szCs w:val="32"/>
              </w:rPr>
              <w:tab/>
            </w:r>
            <w:r w:rsidRPr="002065F7">
              <w:rPr>
                <w:webHidden/>
                <w:sz w:val="32"/>
                <w:szCs w:val="32"/>
              </w:rPr>
              <w:fldChar w:fldCharType="begin"/>
            </w:r>
            <w:r w:rsidRPr="002065F7">
              <w:rPr>
                <w:webHidden/>
                <w:sz w:val="32"/>
                <w:szCs w:val="32"/>
              </w:rPr>
              <w:instrText xml:space="preserve"> PAGEREF _Toc213954962 \h </w:instrText>
            </w:r>
            <w:r w:rsidRPr="002065F7">
              <w:rPr>
                <w:webHidden/>
                <w:sz w:val="32"/>
                <w:szCs w:val="32"/>
              </w:rPr>
            </w:r>
            <w:r w:rsidRPr="002065F7">
              <w:rPr>
                <w:webHidden/>
                <w:sz w:val="32"/>
                <w:szCs w:val="32"/>
              </w:rPr>
              <w:fldChar w:fldCharType="separate"/>
            </w:r>
            <w:r w:rsidRPr="002065F7">
              <w:rPr>
                <w:webHidden/>
                <w:sz w:val="32"/>
                <w:szCs w:val="32"/>
              </w:rPr>
              <w:t>7</w:t>
            </w:r>
            <w:r w:rsidRPr="002065F7">
              <w:rPr>
                <w:webHidden/>
                <w:sz w:val="32"/>
                <w:szCs w:val="32"/>
              </w:rPr>
              <w:fldChar w:fldCharType="end"/>
            </w:r>
          </w:hyperlink>
        </w:p>
        <w:p w14:paraId="21385C36" w14:textId="1224C386" w:rsidR="002065F7" w:rsidRPr="002065F7" w:rsidRDefault="002065F7">
          <w:pPr>
            <w:pStyle w:val="TOC1"/>
            <w:rPr>
              <w:rFonts w:eastAsiaTheme="minorEastAsia"/>
              <w:b w:val="0"/>
              <w:bCs w:val="0"/>
              <w:sz w:val="32"/>
              <w:szCs w:val="32"/>
              <w:lang w:eastAsia="en-GB"/>
              <w14:ligatures w14:val="standardContextual"/>
            </w:rPr>
          </w:pPr>
          <w:hyperlink w:anchor="_Toc213954963" w:history="1">
            <w:r w:rsidRPr="002065F7">
              <w:rPr>
                <w:rStyle w:val="Hyperlink"/>
                <w:sz w:val="32"/>
                <w:szCs w:val="32"/>
              </w:rPr>
              <w:t>Conclusion</w:t>
            </w:r>
            <w:r w:rsidRPr="002065F7">
              <w:rPr>
                <w:webHidden/>
                <w:sz w:val="32"/>
                <w:szCs w:val="32"/>
              </w:rPr>
              <w:tab/>
            </w:r>
            <w:r w:rsidRPr="002065F7">
              <w:rPr>
                <w:webHidden/>
                <w:sz w:val="32"/>
                <w:szCs w:val="32"/>
              </w:rPr>
              <w:fldChar w:fldCharType="begin"/>
            </w:r>
            <w:r w:rsidRPr="002065F7">
              <w:rPr>
                <w:webHidden/>
                <w:sz w:val="32"/>
                <w:szCs w:val="32"/>
              </w:rPr>
              <w:instrText xml:space="preserve"> PAGEREF _Toc213954963 \h </w:instrText>
            </w:r>
            <w:r w:rsidRPr="002065F7">
              <w:rPr>
                <w:webHidden/>
                <w:sz w:val="32"/>
                <w:szCs w:val="32"/>
              </w:rPr>
            </w:r>
            <w:r w:rsidRPr="002065F7">
              <w:rPr>
                <w:webHidden/>
                <w:sz w:val="32"/>
                <w:szCs w:val="32"/>
              </w:rPr>
              <w:fldChar w:fldCharType="separate"/>
            </w:r>
            <w:r w:rsidRPr="002065F7">
              <w:rPr>
                <w:webHidden/>
                <w:sz w:val="32"/>
                <w:szCs w:val="32"/>
              </w:rPr>
              <w:t>8</w:t>
            </w:r>
            <w:r w:rsidRPr="002065F7">
              <w:rPr>
                <w:webHidden/>
                <w:sz w:val="32"/>
                <w:szCs w:val="32"/>
              </w:rPr>
              <w:fldChar w:fldCharType="end"/>
            </w:r>
          </w:hyperlink>
        </w:p>
        <w:p w14:paraId="0A363AB1" w14:textId="366531D7" w:rsidR="002065F7" w:rsidRPr="002065F7" w:rsidRDefault="002065F7">
          <w:pPr>
            <w:pStyle w:val="TOC1"/>
            <w:rPr>
              <w:rFonts w:eastAsiaTheme="minorEastAsia"/>
              <w:b w:val="0"/>
              <w:bCs w:val="0"/>
              <w:sz w:val="32"/>
              <w:szCs w:val="32"/>
              <w:lang w:eastAsia="en-GB"/>
              <w14:ligatures w14:val="standardContextual"/>
            </w:rPr>
          </w:pPr>
          <w:hyperlink w:anchor="_Toc213954964" w:history="1">
            <w:r w:rsidRPr="002065F7">
              <w:rPr>
                <w:rStyle w:val="Hyperlink"/>
                <w:sz w:val="32"/>
                <w:szCs w:val="32"/>
              </w:rPr>
              <w:t>References</w:t>
            </w:r>
            <w:r w:rsidRPr="002065F7">
              <w:rPr>
                <w:webHidden/>
                <w:sz w:val="32"/>
                <w:szCs w:val="32"/>
              </w:rPr>
              <w:tab/>
            </w:r>
            <w:r w:rsidRPr="002065F7">
              <w:rPr>
                <w:webHidden/>
                <w:sz w:val="32"/>
                <w:szCs w:val="32"/>
              </w:rPr>
              <w:fldChar w:fldCharType="begin"/>
            </w:r>
            <w:r w:rsidRPr="002065F7">
              <w:rPr>
                <w:webHidden/>
                <w:sz w:val="32"/>
                <w:szCs w:val="32"/>
              </w:rPr>
              <w:instrText xml:space="preserve"> PAGEREF _Toc213954964 \h </w:instrText>
            </w:r>
            <w:r w:rsidRPr="002065F7">
              <w:rPr>
                <w:webHidden/>
                <w:sz w:val="32"/>
                <w:szCs w:val="32"/>
              </w:rPr>
            </w:r>
            <w:r w:rsidRPr="002065F7">
              <w:rPr>
                <w:webHidden/>
                <w:sz w:val="32"/>
                <w:szCs w:val="32"/>
              </w:rPr>
              <w:fldChar w:fldCharType="separate"/>
            </w:r>
            <w:r w:rsidRPr="002065F7">
              <w:rPr>
                <w:webHidden/>
                <w:sz w:val="32"/>
                <w:szCs w:val="32"/>
              </w:rPr>
              <w:t>8</w:t>
            </w:r>
            <w:r w:rsidRPr="002065F7">
              <w:rPr>
                <w:webHidden/>
                <w:sz w:val="32"/>
                <w:szCs w:val="32"/>
              </w:rPr>
              <w:fldChar w:fldCharType="end"/>
            </w:r>
          </w:hyperlink>
        </w:p>
        <w:p w14:paraId="77C71A66" w14:textId="52E66B49" w:rsidR="002065F7" w:rsidRPr="002065F7" w:rsidRDefault="002065F7">
          <w:pPr>
            <w:rPr>
              <w:rFonts w:ascii="Arial" w:hAnsi="Arial" w:cs="Arial"/>
              <w:sz w:val="32"/>
              <w:szCs w:val="32"/>
            </w:rPr>
          </w:pPr>
          <w:r w:rsidRPr="002065F7">
            <w:rPr>
              <w:rFonts w:ascii="Arial" w:hAnsi="Arial" w:cs="Arial"/>
              <w:b/>
              <w:bCs/>
              <w:noProof/>
              <w:sz w:val="32"/>
              <w:szCs w:val="32"/>
            </w:rPr>
            <w:fldChar w:fldCharType="end"/>
          </w:r>
        </w:p>
      </w:sdtContent>
    </w:sdt>
    <w:p w14:paraId="2D4284FE" w14:textId="77777777" w:rsidR="00E30213" w:rsidRPr="00E30213" w:rsidRDefault="00E30213" w:rsidP="00E30213"/>
    <w:p w14:paraId="6997D827" w14:textId="77777777" w:rsidR="008375B5" w:rsidRDefault="008375B5" w:rsidP="008375B5">
      <w:pPr>
        <w:pStyle w:val="NormalWeb"/>
        <w:spacing w:line="360" w:lineRule="auto"/>
        <w:rPr>
          <w:rFonts w:ascii="Arial" w:hAnsi="Arial" w:cs="Arial"/>
          <w:b/>
          <w:bCs/>
          <w:color w:val="000000"/>
        </w:rPr>
      </w:pPr>
    </w:p>
    <w:p w14:paraId="014C36E6" w14:textId="77777777" w:rsidR="008375B5" w:rsidRDefault="008375B5" w:rsidP="008375B5">
      <w:pPr>
        <w:pStyle w:val="NormalWeb"/>
        <w:spacing w:line="360" w:lineRule="auto"/>
        <w:rPr>
          <w:rFonts w:ascii="Arial" w:hAnsi="Arial" w:cs="Arial"/>
          <w:b/>
          <w:bCs/>
          <w:color w:val="000000"/>
        </w:rPr>
      </w:pPr>
    </w:p>
    <w:p w14:paraId="63E2CA27" w14:textId="77777777" w:rsidR="008375B5" w:rsidRDefault="008375B5" w:rsidP="008375B5">
      <w:pPr>
        <w:pStyle w:val="NormalWeb"/>
        <w:spacing w:line="360" w:lineRule="auto"/>
        <w:rPr>
          <w:rFonts w:ascii="Arial" w:hAnsi="Arial" w:cs="Arial"/>
          <w:b/>
          <w:bCs/>
          <w:color w:val="000000"/>
        </w:rPr>
      </w:pPr>
    </w:p>
    <w:p w14:paraId="0E7227A5" w14:textId="77777777" w:rsidR="008375B5" w:rsidRDefault="008375B5" w:rsidP="008375B5">
      <w:pPr>
        <w:pStyle w:val="NormalWeb"/>
        <w:spacing w:line="360" w:lineRule="auto"/>
        <w:rPr>
          <w:rFonts w:ascii="Arial" w:hAnsi="Arial" w:cs="Arial"/>
          <w:b/>
          <w:bCs/>
          <w:color w:val="000000"/>
        </w:rPr>
      </w:pPr>
    </w:p>
    <w:p w14:paraId="4C678BFB" w14:textId="77777777" w:rsidR="008375B5" w:rsidRDefault="008375B5" w:rsidP="008375B5">
      <w:pPr>
        <w:pStyle w:val="NormalWeb"/>
        <w:spacing w:line="360" w:lineRule="auto"/>
        <w:rPr>
          <w:rFonts w:ascii="Arial" w:hAnsi="Arial" w:cs="Arial"/>
          <w:b/>
          <w:bCs/>
          <w:color w:val="000000"/>
        </w:rPr>
      </w:pPr>
    </w:p>
    <w:p w14:paraId="3B71E803" w14:textId="77777777" w:rsidR="008375B5" w:rsidRDefault="008375B5" w:rsidP="008375B5">
      <w:pPr>
        <w:pStyle w:val="NormalWeb"/>
        <w:spacing w:line="360" w:lineRule="auto"/>
        <w:rPr>
          <w:rFonts w:ascii="Arial" w:hAnsi="Arial" w:cs="Arial"/>
          <w:b/>
          <w:bCs/>
          <w:color w:val="000000"/>
        </w:rPr>
      </w:pPr>
    </w:p>
    <w:p w14:paraId="1BDE8E0A" w14:textId="77777777" w:rsidR="008375B5" w:rsidRDefault="008375B5" w:rsidP="008375B5">
      <w:pPr>
        <w:pStyle w:val="NormalWeb"/>
        <w:spacing w:line="360" w:lineRule="auto"/>
        <w:rPr>
          <w:rFonts w:ascii="Arial" w:hAnsi="Arial" w:cs="Arial"/>
          <w:b/>
          <w:bCs/>
          <w:color w:val="000000"/>
        </w:rPr>
      </w:pPr>
    </w:p>
    <w:p w14:paraId="1043608C" w14:textId="2F90E38C" w:rsidR="002065F7" w:rsidRPr="002065F7" w:rsidRDefault="002065F7" w:rsidP="002065F7">
      <w:pPr>
        <w:pStyle w:val="Title"/>
        <w:spacing w:line="360" w:lineRule="auto"/>
        <w:jc w:val="center"/>
        <w:rPr>
          <w:rFonts w:ascii="Arial" w:hAnsi="Arial" w:cs="Arial"/>
          <w:b/>
          <w:bCs/>
          <w:sz w:val="40"/>
          <w:szCs w:val="40"/>
        </w:rPr>
      </w:pPr>
      <w:bookmarkStart w:id="3" w:name="_Toc213954367"/>
    </w:p>
    <w:p w14:paraId="66BADEDD" w14:textId="77777777" w:rsidR="008771FB" w:rsidRPr="002065F7" w:rsidRDefault="008771FB" w:rsidP="008771FB">
      <w:pPr>
        <w:pStyle w:val="Title"/>
        <w:spacing w:line="360" w:lineRule="auto"/>
        <w:jc w:val="center"/>
        <w:rPr>
          <w:rFonts w:ascii="Arial" w:hAnsi="Arial" w:cs="Arial"/>
          <w:b/>
          <w:bCs/>
          <w:sz w:val="40"/>
          <w:szCs w:val="40"/>
        </w:rPr>
      </w:pPr>
      <w:bookmarkStart w:id="4" w:name="_Toc213954941"/>
      <w:bookmarkStart w:id="5" w:name="_Toc213954957"/>
      <w:r w:rsidRPr="002065F7">
        <w:rPr>
          <w:rFonts w:ascii="Arial" w:hAnsi="Arial" w:cs="Arial"/>
          <w:b/>
          <w:bCs/>
          <w:sz w:val="40"/>
          <w:szCs w:val="40"/>
        </w:rPr>
        <w:t>The Impact of Electronic Health Records (EHR) Implementation in the UK Health and Social Care System: A Critical Evaluation</w:t>
      </w:r>
    </w:p>
    <w:p w14:paraId="6D010FBC" w14:textId="4B94D060" w:rsidR="00A9474F" w:rsidRDefault="00A9474F" w:rsidP="002065F7">
      <w:pPr>
        <w:pStyle w:val="Heading1"/>
        <w:spacing w:line="360" w:lineRule="auto"/>
        <w:rPr>
          <w:rFonts w:ascii="Arial" w:hAnsi="Arial" w:cs="Arial"/>
          <w:b/>
          <w:bCs/>
          <w:sz w:val="32"/>
          <w:szCs w:val="32"/>
        </w:rPr>
      </w:pPr>
      <w:r w:rsidRPr="009511A5">
        <w:rPr>
          <w:rFonts w:ascii="Arial" w:hAnsi="Arial" w:cs="Arial"/>
          <w:b/>
          <w:bCs/>
          <w:sz w:val="32"/>
          <w:szCs w:val="32"/>
        </w:rPr>
        <w:t>Introduction</w:t>
      </w:r>
      <w:bookmarkEnd w:id="3"/>
      <w:bookmarkEnd w:id="4"/>
      <w:bookmarkEnd w:id="5"/>
      <w:r w:rsidRPr="009511A5">
        <w:rPr>
          <w:rFonts w:ascii="Arial" w:hAnsi="Arial" w:cs="Arial"/>
          <w:b/>
          <w:bCs/>
          <w:sz w:val="32"/>
          <w:szCs w:val="32"/>
        </w:rPr>
        <w:t> </w:t>
      </w:r>
    </w:p>
    <w:p w14:paraId="599A079F" w14:textId="77777777" w:rsidR="003A346C" w:rsidRPr="004E1896" w:rsidRDefault="003E6E3B" w:rsidP="004E1896">
      <w:pPr>
        <w:spacing w:line="360" w:lineRule="auto"/>
        <w:jc w:val="both"/>
        <w:rPr>
          <w:rFonts w:ascii="Arial" w:hAnsi="Arial" w:cs="Arial"/>
          <w:sz w:val="22"/>
          <w:szCs w:val="22"/>
        </w:rPr>
      </w:pPr>
      <w:r w:rsidRPr="003E6E3B">
        <w:rPr>
          <w:rFonts w:ascii="Arial" w:hAnsi="Arial" w:cs="Arial"/>
          <w:sz w:val="22"/>
          <w:szCs w:val="22"/>
        </w:rPr>
        <w:t>Digital transformation has become a defining feature of twenty-first-century health and social care. Across the United Kingdom, the National Health Service (NHS) has pursued technological innovations designed to enhance safety, efficiency, and patient outcomes. One of the most significant developments within the last decade is the large-scale implementation of Electronic Health Records (EHRs) through NHS Digital. EHRs are secure digital systems that collect, store, and share patient information across multiple health and social care providers, replacing traditional paper records. Their purpose is to establish a single, accurate, and accessible source of clinical data that can support continuity of care, minimise duplication, and enable data-driven decision-making (HFMA, 2025).</w:t>
      </w:r>
      <w:r w:rsidR="003A346C" w:rsidRPr="004E1896">
        <w:rPr>
          <w:rFonts w:ascii="Arial" w:hAnsi="Arial" w:cs="Arial"/>
          <w:sz w:val="22"/>
          <w:szCs w:val="22"/>
        </w:rPr>
        <w:t xml:space="preserve"> </w:t>
      </w:r>
      <w:r w:rsidRPr="003E6E3B">
        <w:rPr>
          <w:rFonts w:ascii="Arial" w:hAnsi="Arial" w:cs="Arial"/>
          <w:sz w:val="22"/>
          <w:szCs w:val="22"/>
        </w:rPr>
        <w:t xml:space="preserve">Since 2015, EHR adoption has expanded rapidly under the NHS Long Term Plan (NHS England, 2019) and A Plan for Digital Health and Social Care (Department of Health and Social Care, 2022). This digital transformation represents a complex organisational change influencing multiple dimensions of the health and care ecosystem. </w:t>
      </w:r>
    </w:p>
    <w:p w14:paraId="748242F2" w14:textId="31C7D097" w:rsidR="003E6E3B" w:rsidRPr="003E6E3B" w:rsidRDefault="003E6E3B" w:rsidP="004E1896">
      <w:pPr>
        <w:spacing w:line="360" w:lineRule="auto"/>
        <w:jc w:val="both"/>
        <w:rPr>
          <w:rFonts w:ascii="Arial" w:hAnsi="Arial" w:cs="Arial"/>
          <w:sz w:val="22"/>
          <w:szCs w:val="22"/>
        </w:rPr>
      </w:pPr>
      <w:r w:rsidRPr="003E6E3B">
        <w:rPr>
          <w:rFonts w:ascii="Arial" w:hAnsi="Arial" w:cs="Arial"/>
          <w:sz w:val="22"/>
          <w:szCs w:val="22"/>
        </w:rPr>
        <w:t>The present report critically examines how the implementation of EHRs has affected the workforce, service delivery, patients and service users, and the wider community within the UK context. Both the positive impacts</w:t>
      </w:r>
      <w:r w:rsidRPr="004E1896">
        <w:rPr>
          <w:rFonts w:ascii="Arial" w:hAnsi="Arial" w:cs="Arial"/>
          <w:sz w:val="22"/>
          <w:szCs w:val="22"/>
        </w:rPr>
        <w:t xml:space="preserve"> </w:t>
      </w:r>
      <w:r w:rsidRPr="003E6E3B">
        <w:rPr>
          <w:rFonts w:ascii="Arial" w:hAnsi="Arial" w:cs="Arial"/>
          <w:sz w:val="22"/>
          <w:szCs w:val="22"/>
        </w:rPr>
        <w:t>such as improved coordination and patient safety</w:t>
      </w:r>
      <w:r w:rsidRPr="004E1896">
        <w:rPr>
          <w:rFonts w:ascii="Arial" w:hAnsi="Arial" w:cs="Arial"/>
          <w:sz w:val="22"/>
          <w:szCs w:val="22"/>
        </w:rPr>
        <w:t xml:space="preserve"> </w:t>
      </w:r>
      <w:r w:rsidRPr="003E6E3B">
        <w:rPr>
          <w:rFonts w:ascii="Arial" w:hAnsi="Arial" w:cs="Arial"/>
          <w:sz w:val="22"/>
          <w:szCs w:val="22"/>
        </w:rPr>
        <w:t xml:space="preserve">and the negative consequences, including data privacy risks, workforce pressures, and digital </w:t>
      </w:r>
      <w:r w:rsidR="00E30213" w:rsidRPr="004E1896">
        <w:rPr>
          <w:rFonts w:ascii="Arial" w:hAnsi="Arial" w:cs="Arial"/>
          <w:sz w:val="22"/>
          <w:szCs w:val="22"/>
        </w:rPr>
        <w:t>exclusion, explored</w:t>
      </w:r>
      <w:r w:rsidRPr="003E6E3B">
        <w:rPr>
          <w:rFonts w:ascii="Arial" w:hAnsi="Arial" w:cs="Arial"/>
          <w:sz w:val="22"/>
          <w:szCs w:val="22"/>
        </w:rPr>
        <w:t>. Through analysis of recent policy evidence and academic research, the report assesses how successfully EHR technology has transformed health and social care practice and identifies lessons for future digital innovation.</w:t>
      </w:r>
    </w:p>
    <w:p w14:paraId="77CFFC51" w14:textId="77777777" w:rsidR="003E6E3B" w:rsidRPr="003E6E3B" w:rsidRDefault="003E6E3B" w:rsidP="004D0B14">
      <w:pPr>
        <w:spacing w:line="360" w:lineRule="auto"/>
      </w:pPr>
    </w:p>
    <w:p w14:paraId="18D32245" w14:textId="77777777" w:rsidR="00824F6D" w:rsidRPr="009511A5" w:rsidRDefault="00824F6D" w:rsidP="004D0B14">
      <w:pPr>
        <w:pStyle w:val="Heading1"/>
        <w:spacing w:line="360" w:lineRule="auto"/>
        <w:rPr>
          <w:rFonts w:ascii="Arial" w:hAnsi="Arial" w:cs="Arial"/>
          <w:b/>
          <w:bCs/>
          <w:sz w:val="32"/>
          <w:szCs w:val="32"/>
        </w:rPr>
      </w:pPr>
      <w:bookmarkStart w:id="6" w:name="_Toc213954368"/>
      <w:bookmarkStart w:id="7" w:name="_Toc213954942"/>
      <w:bookmarkStart w:id="8" w:name="_Toc213954958"/>
      <w:r w:rsidRPr="009511A5">
        <w:rPr>
          <w:rFonts w:ascii="Arial" w:hAnsi="Arial" w:cs="Arial"/>
          <w:b/>
          <w:bCs/>
          <w:sz w:val="32"/>
          <w:szCs w:val="32"/>
        </w:rPr>
        <w:t>Implementation Context</w:t>
      </w:r>
      <w:bookmarkEnd w:id="6"/>
      <w:bookmarkEnd w:id="7"/>
      <w:bookmarkEnd w:id="8"/>
    </w:p>
    <w:p w14:paraId="232BD2C5" w14:textId="70E11563" w:rsidR="00C80D0F" w:rsidRPr="009C208A" w:rsidRDefault="003E6E3B" w:rsidP="004D0B14">
      <w:pPr>
        <w:spacing w:line="360" w:lineRule="auto"/>
        <w:jc w:val="both"/>
        <w:rPr>
          <w:rFonts w:ascii="Arial" w:hAnsi="Arial" w:cs="Arial"/>
          <w:sz w:val="22"/>
          <w:szCs w:val="22"/>
        </w:rPr>
      </w:pPr>
      <w:r w:rsidRPr="009C208A">
        <w:rPr>
          <w:rFonts w:ascii="Arial" w:hAnsi="Arial" w:cs="Arial"/>
          <w:sz w:val="22"/>
          <w:szCs w:val="22"/>
        </w:rPr>
        <w:t xml:space="preserve">Following the NHS Five Year Forward View (NHS England, 2014) and the NHS Long Term Plan (NHS England, 2019), the government prioritised digital interoperability and the integration of health data across care settings </w:t>
      </w:r>
      <w:r w:rsidR="00E2513E" w:rsidRPr="00E2513E">
        <w:rPr>
          <w:rFonts w:ascii="Arial" w:hAnsi="Arial" w:cs="Arial"/>
          <w:sz w:val="22"/>
          <w:szCs w:val="22"/>
        </w:rPr>
        <w:t>(Department of Health and Social Care, 20</w:t>
      </w:r>
      <w:r w:rsidR="008B148B">
        <w:rPr>
          <w:rFonts w:ascii="Arial" w:hAnsi="Arial" w:cs="Arial"/>
          <w:sz w:val="22"/>
          <w:szCs w:val="22"/>
        </w:rPr>
        <w:t>25</w:t>
      </w:r>
      <w:r w:rsidR="00E2513E" w:rsidRPr="00E2513E">
        <w:rPr>
          <w:rFonts w:ascii="Arial" w:hAnsi="Arial" w:cs="Arial"/>
          <w:sz w:val="22"/>
          <w:szCs w:val="22"/>
        </w:rPr>
        <w:t>)</w:t>
      </w:r>
      <w:r w:rsidRPr="009C208A">
        <w:rPr>
          <w:rFonts w:ascii="Arial" w:hAnsi="Arial" w:cs="Arial"/>
          <w:sz w:val="22"/>
          <w:szCs w:val="22"/>
        </w:rPr>
        <w:t xml:space="preserve">. NHS Digital, established in 2016, has led this national effort by supporting trusts and local authorities to </w:t>
      </w:r>
      <w:r w:rsidRPr="009C208A">
        <w:rPr>
          <w:rFonts w:ascii="Arial" w:hAnsi="Arial" w:cs="Arial"/>
          <w:sz w:val="22"/>
          <w:szCs w:val="22"/>
        </w:rPr>
        <w:lastRenderedPageBreak/>
        <w:t>transition from paper-based to electronic systems. The policy objective was to ensure that every patient has a comprehensive digital record accessible to authorised professionals at the point of care, reducing fragmentation and promoting person-centred service delivery. Between 2015 and 2023, EHR implementation advanced through multiple initiatives, including the Global Digital Exemplars programme and the Local Health and Care Record Exemplars (NHS England, 2018). These programmes encouraged collaboration between NHS Trusts, social care providers, and technology vendors to develop interoperable systems capable of sharing real-time patient data. Implementation has also required substantial financial investment and extensive cultural adaptation across the workforce. The context of EHR deployment therefore combines technological, organisational, and policy dimensions. While it embodies the NHS’s vision for safer, data-driven care, it also highlights ongoing challenges such as digital inequalities, system fragmentation, and the need for continuous workforce development to ensure that digitalisation enhances rather than complicates service delivery (Health Education England, 2021).</w:t>
      </w:r>
    </w:p>
    <w:p w14:paraId="6341855D" w14:textId="77777777" w:rsidR="00C80D0F" w:rsidRDefault="00C80D0F" w:rsidP="009511A5">
      <w:pPr>
        <w:pStyle w:val="Heading1"/>
        <w:rPr>
          <w:rFonts w:ascii="Arial" w:hAnsi="Arial" w:cs="Arial"/>
          <w:b/>
          <w:bCs/>
          <w:sz w:val="32"/>
          <w:szCs w:val="32"/>
        </w:rPr>
      </w:pPr>
      <w:bookmarkStart w:id="9" w:name="_Toc213954369"/>
      <w:bookmarkStart w:id="10" w:name="_Toc213954943"/>
      <w:bookmarkStart w:id="11" w:name="_Toc213954959"/>
      <w:r w:rsidRPr="009511A5">
        <w:rPr>
          <w:rFonts w:ascii="Arial" w:hAnsi="Arial" w:cs="Arial"/>
          <w:b/>
          <w:bCs/>
          <w:sz w:val="32"/>
          <w:szCs w:val="32"/>
        </w:rPr>
        <w:t>Impact on work force</w:t>
      </w:r>
      <w:bookmarkEnd w:id="9"/>
      <w:bookmarkEnd w:id="10"/>
      <w:bookmarkEnd w:id="11"/>
      <w:r w:rsidRPr="009511A5">
        <w:rPr>
          <w:rFonts w:ascii="Arial" w:hAnsi="Arial" w:cs="Arial"/>
          <w:b/>
          <w:bCs/>
          <w:sz w:val="32"/>
          <w:szCs w:val="32"/>
        </w:rPr>
        <w:t xml:space="preserve"> </w:t>
      </w:r>
    </w:p>
    <w:p w14:paraId="5CA86630" w14:textId="01EE18BF" w:rsidR="003E6E3B" w:rsidRPr="003E6E3B" w:rsidRDefault="003E6E3B" w:rsidP="003E6E3B">
      <w:pPr>
        <w:spacing w:line="360" w:lineRule="auto"/>
        <w:jc w:val="both"/>
        <w:rPr>
          <w:rFonts w:ascii="Arial" w:hAnsi="Arial" w:cs="Arial"/>
          <w:sz w:val="22"/>
          <w:szCs w:val="22"/>
        </w:rPr>
      </w:pPr>
      <w:r w:rsidRPr="003E6E3B">
        <w:rPr>
          <w:rFonts w:ascii="Arial" w:hAnsi="Arial" w:cs="Arial"/>
          <w:sz w:val="22"/>
          <w:szCs w:val="22"/>
        </w:rPr>
        <w:t>The introduction of Electronic Health Records (EHRs) has profoundly reshaped the UK health and social care workforce. Historically, clinical documentation relied on paper-based systems, which frequently led to delays, errors, and duplication of effort. With the adoption of EHRs, professionals now expected to work within a digitally integrated environment that demands new technical competencies, multidisciplinary collaboration, and adaptation to evolving workflows. From a positive perspective, EHRs have enhanced clinical efficiency and information accessibility. Healthcare professionals can instantly retrieve patient histories, medications, and test results across different providers, facilitating safer and more coordinated care (Provenzano et al., 2024).</w:t>
      </w:r>
      <w:r w:rsidR="00955D0B" w:rsidRPr="00955D0B">
        <w:t xml:space="preserve"> </w:t>
      </w:r>
      <w:r w:rsidR="00955D0B" w:rsidRPr="00955D0B">
        <w:rPr>
          <w:rFonts w:ascii="Arial" w:hAnsi="Arial" w:cs="Arial"/>
          <w:sz w:val="22"/>
          <w:szCs w:val="22"/>
        </w:rPr>
        <w:t xml:space="preserve">For a </w:t>
      </w:r>
      <w:r w:rsidR="00955D0B" w:rsidRPr="00955D0B">
        <w:rPr>
          <w:rFonts w:ascii="Arial" w:hAnsi="Arial" w:cs="Arial"/>
          <w:sz w:val="22"/>
          <w:szCs w:val="22"/>
        </w:rPr>
        <w:t>substantial number</w:t>
      </w:r>
      <w:r w:rsidR="00955D0B" w:rsidRPr="00955D0B">
        <w:rPr>
          <w:rFonts w:ascii="Arial" w:hAnsi="Arial" w:cs="Arial"/>
          <w:sz w:val="22"/>
          <w:szCs w:val="22"/>
        </w:rPr>
        <w:t xml:space="preserve"> of practitioners</w:t>
      </w:r>
      <w:r w:rsidRPr="003E6E3B">
        <w:rPr>
          <w:rFonts w:ascii="Arial" w:hAnsi="Arial" w:cs="Arial"/>
          <w:sz w:val="22"/>
          <w:szCs w:val="22"/>
        </w:rPr>
        <w:t>, this has reduced the administrative burden associated with locating and transferring records, enabling more time for direct patient care. Moreover, digital records have supported the emergence of new professional roles, such as Clinical Informatics Leads, Digital Nurses, and Health Data Analysts, reflecting a growing recognition of data as a crucial component of clinical governance. These roles strengthen the workforce’s ability to interpret health data and contribute to evidence-based decision-making.</w:t>
      </w:r>
      <w:r w:rsidR="00E30213">
        <w:rPr>
          <w:rFonts w:ascii="Arial" w:hAnsi="Arial" w:cs="Arial"/>
          <w:sz w:val="22"/>
          <w:szCs w:val="22"/>
        </w:rPr>
        <w:t xml:space="preserve"> </w:t>
      </w:r>
      <w:r w:rsidRPr="003E6E3B">
        <w:rPr>
          <w:rFonts w:ascii="Arial" w:hAnsi="Arial" w:cs="Arial"/>
          <w:sz w:val="22"/>
          <w:szCs w:val="22"/>
        </w:rPr>
        <w:t>Nonetheless, the transition has also introduced considerable challenges (</w:t>
      </w:r>
      <w:proofErr w:type="spellStart"/>
      <w:r w:rsidR="003D79CA">
        <w:rPr>
          <w:rFonts w:ascii="Arial" w:hAnsi="Arial" w:cs="Arial"/>
          <w:sz w:val="22"/>
          <w:szCs w:val="22"/>
        </w:rPr>
        <w:t>I</w:t>
      </w:r>
      <w:r w:rsidRPr="003E6E3B">
        <w:rPr>
          <w:rFonts w:ascii="Arial" w:hAnsi="Arial" w:cs="Arial"/>
          <w:sz w:val="22"/>
          <w:szCs w:val="22"/>
        </w:rPr>
        <w:t>sidori</w:t>
      </w:r>
      <w:proofErr w:type="spellEnd"/>
      <w:r w:rsidRPr="003E6E3B">
        <w:rPr>
          <w:rFonts w:ascii="Arial" w:hAnsi="Arial" w:cs="Arial"/>
          <w:sz w:val="22"/>
          <w:szCs w:val="22"/>
        </w:rPr>
        <w:t xml:space="preserve"> et al., 2022). Research indicates that </w:t>
      </w:r>
      <w:r w:rsidRPr="003E6E3B">
        <w:rPr>
          <w:rFonts w:ascii="Arial" w:hAnsi="Arial" w:cs="Arial"/>
          <w:sz w:val="22"/>
          <w:szCs w:val="22"/>
        </w:rPr>
        <w:t>a considerable proportion</w:t>
      </w:r>
      <w:r w:rsidRPr="003E6E3B">
        <w:rPr>
          <w:rFonts w:ascii="Arial" w:hAnsi="Arial" w:cs="Arial"/>
          <w:sz w:val="22"/>
          <w:szCs w:val="22"/>
        </w:rPr>
        <w:t xml:space="preserve"> of healthcare staff experienced increased workloads due to the time required for data entry and system navigation, particularly during the </w:t>
      </w:r>
      <w:r w:rsidRPr="003E6E3B">
        <w:rPr>
          <w:rFonts w:ascii="Arial" w:hAnsi="Arial" w:cs="Arial"/>
          <w:sz w:val="22"/>
          <w:szCs w:val="22"/>
        </w:rPr>
        <w:t>initial stages</w:t>
      </w:r>
      <w:r w:rsidRPr="003E6E3B">
        <w:rPr>
          <w:rFonts w:ascii="Arial" w:hAnsi="Arial" w:cs="Arial"/>
          <w:sz w:val="22"/>
          <w:szCs w:val="22"/>
        </w:rPr>
        <w:t xml:space="preserve"> of adoption (McCrorie et al., 2019). Inadequate training and limited IT support further contributed to frustration and decreased morale among clinicians. Additionally, disparities in digital literacy </w:t>
      </w:r>
      <w:r w:rsidRPr="003E6E3B">
        <w:rPr>
          <w:rFonts w:ascii="Arial" w:hAnsi="Arial" w:cs="Arial"/>
          <w:sz w:val="22"/>
          <w:szCs w:val="22"/>
        </w:rPr>
        <w:lastRenderedPageBreak/>
        <w:t>between older and younger staff created inconsistencies in record quality and slowed adoption in certain regions (Provenzano et al., 2024). While EHRs promote standardised data practices, they risk diminishing clinical judgement if staff become overly dependent on automated prompts and templates. The shift from paper to screen has also altered communication dynamics within multidisciplinary teams, occasionally reducing interpersonal collaboration. Nonetheless, the NHS Digital Workforce Plan (NHS England, 2023b) has acknowledged these challenges, calling for sustained investment in digital training, leadership development, and user-centred system design.</w:t>
      </w:r>
    </w:p>
    <w:p w14:paraId="43652C3C" w14:textId="77777777" w:rsidR="003E6E3B" w:rsidRPr="003E6E3B" w:rsidRDefault="003E6E3B" w:rsidP="003E6E3B">
      <w:pPr>
        <w:spacing w:line="360" w:lineRule="auto"/>
        <w:jc w:val="both"/>
        <w:rPr>
          <w:rFonts w:ascii="Arial" w:hAnsi="Arial" w:cs="Arial"/>
          <w:sz w:val="22"/>
          <w:szCs w:val="22"/>
        </w:rPr>
      </w:pPr>
      <w:r w:rsidRPr="003E6E3B">
        <w:rPr>
          <w:rFonts w:ascii="Arial" w:hAnsi="Arial" w:cs="Arial"/>
          <w:sz w:val="22"/>
          <w:szCs w:val="22"/>
        </w:rPr>
        <w:t>Overall, EHRs have both empowered and challenged the health and social care workforce. The technology has enhanced accuracy and coordination but has also created new pressures relating to data management, training, and digital capability. The success of future EHR initiatives depends on addressing these workforce tensions through continuous education, user involvement in design, and robust technical support.</w:t>
      </w:r>
    </w:p>
    <w:p w14:paraId="46E65C4C" w14:textId="77777777" w:rsidR="003E6E3B" w:rsidRPr="003E6E3B" w:rsidRDefault="003E6E3B" w:rsidP="003E6E3B">
      <w:pPr>
        <w:spacing w:line="360" w:lineRule="auto"/>
        <w:jc w:val="both"/>
        <w:rPr>
          <w:rFonts w:ascii="Arial" w:hAnsi="Arial" w:cs="Arial"/>
          <w:sz w:val="22"/>
          <w:szCs w:val="22"/>
        </w:rPr>
      </w:pPr>
    </w:p>
    <w:p w14:paraId="61241919" w14:textId="77777777" w:rsidR="00C80D0F" w:rsidRPr="009511A5" w:rsidRDefault="00C80D0F" w:rsidP="009511A5">
      <w:pPr>
        <w:pStyle w:val="Heading1"/>
        <w:rPr>
          <w:rFonts w:ascii="Arial" w:hAnsi="Arial" w:cs="Arial"/>
          <w:b/>
          <w:bCs/>
          <w:sz w:val="32"/>
          <w:szCs w:val="32"/>
        </w:rPr>
      </w:pPr>
      <w:bookmarkStart w:id="12" w:name="_Toc213954370"/>
      <w:bookmarkStart w:id="13" w:name="_Toc213954944"/>
      <w:bookmarkStart w:id="14" w:name="_Toc213954960"/>
      <w:r w:rsidRPr="009511A5">
        <w:rPr>
          <w:rFonts w:ascii="Arial" w:hAnsi="Arial" w:cs="Arial"/>
          <w:b/>
          <w:bCs/>
          <w:sz w:val="32"/>
          <w:szCs w:val="32"/>
        </w:rPr>
        <w:t>Impact on service delivery</w:t>
      </w:r>
      <w:bookmarkEnd w:id="12"/>
      <w:bookmarkEnd w:id="13"/>
      <w:bookmarkEnd w:id="14"/>
      <w:r w:rsidRPr="009511A5">
        <w:rPr>
          <w:rFonts w:ascii="Arial" w:hAnsi="Arial" w:cs="Arial"/>
          <w:b/>
          <w:bCs/>
          <w:sz w:val="32"/>
          <w:szCs w:val="32"/>
        </w:rPr>
        <w:t xml:space="preserve"> </w:t>
      </w:r>
    </w:p>
    <w:p w14:paraId="1A071606" w14:textId="34F91D26" w:rsidR="003E6E3B" w:rsidRPr="003E6E3B" w:rsidRDefault="003E6E3B" w:rsidP="003E6E3B">
      <w:pPr>
        <w:spacing w:line="360" w:lineRule="auto"/>
        <w:jc w:val="both"/>
        <w:rPr>
          <w:rFonts w:ascii="Arial" w:hAnsi="Arial" w:cs="Arial"/>
          <w:sz w:val="22"/>
          <w:szCs w:val="22"/>
        </w:rPr>
      </w:pPr>
      <w:r w:rsidRPr="003E6E3B">
        <w:rPr>
          <w:rFonts w:ascii="Arial" w:hAnsi="Arial" w:cs="Arial"/>
          <w:sz w:val="22"/>
          <w:szCs w:val="22"/>
        </w:rPr>
        <w:t>The implementation of Electronic Health Records (EHRs) has fundamentally transformed the delivery of health and social care services across the United Kingdom. By enabling a single, unified patient record accessible across multiple care settings, EHRs have improved the speed, coordination, and quality of service provision (NHS England, 2023a). At their best, EHRs enable a seamless flow of information between general practitioners, hospitals, community teams, and social care providers, allowing for more integrated and timely interventions. Evidence from NHS England (2022) demonstrates that digital records have reduced duplication of diagnostic tests and administrative delays while improving referral and discharge efficiency. Clinicians can make more informed decisions using real-time data, resulting in faster diagnoses and treatment adjustments.</w:t>
      </w:r>
      <w:r w:rsidR="00E30213">
        <w:rPr>
          <w:rFonts w:ascii="Arial" w:hAnsi="Arial" w:cs="Arial"/>
          <w:sz w:val="22"/>
          <w:szCs w:val="22"/>
        </w:rPr>
        <w:t xml:space="preserve"> </w:t>
      </w:r>
      <w:r w:rsidRPr="003E6E3B">
        <w:rPr>
          <w:rFonts w:ascii="Arial" w:hAnsi="Arial" w:cs="Arial"/>
          <w:sz w:val="22"/>
          <w:szCs w:val="22"/>
        </w:rPr>
        <w:t>In acute settings, EHRs have supported safer medication management by providing automated alerts for potential drug interactions and allergies, reducing avoidable medical errors. The technology has also strengthened continuity of care, particularly for individuals with chronic conditions who transition between primary, secondary, and community services. Furthermore, EHRs have contributed to data-driven service planning</w:t>
      </w:r>
      <w:r w:rsidR="00864257">
        <w:rPr>
          <w:rFonts w:ascii="Arial" w:hAnsi="Arial" w:cs="Arial"/>
          <w:sz w:val="22"/>
          <w:szCs w:val="22"/>
        </w:rPr>
        <w:t xml:space="preserve"> </w:t>
      </w:r>
      <w:r w:rsidR="00864257" w:rsidRPr="00864257">
        <w:rPr>
          <w:rFonts w:ascii="Arial" w:hAnsi="Arial" w:cs="Arial"/>
          <w:sz w:val="22"/>
          <w:szCs w:val="22"/>
        </w:rPr>
        <w:t>(Department of Health and Social Care, 202</w:t>
      </w:r>
      <w:r w:rsidR="00124DD5">
        <w:rPr>
          <w:rFonts w:ascii="Arial" w:hAnsi="Arial" w:cs="Arial"/>
          <w:sz w:val="22"/>
          <w:szCs w:val="22"/>
        </w:rPr>
        <w:t>5</w:t>
      </w:r>
      <w:r w:rsidR="00864257" w:rsidRPr="00864257">
        <w:rPr>
          <w:rFonts w:ascii="Arial" w:hAnsi="Arial" w:cs="Arial"/>
          <w:sz w:val="22"/>
          <w:szCs w:val="22"/>
        </w:rPr>
        <w:t>)</w:t>
      </w:r>
      <w:r w:rsidRPr="003E6E3B">
        <w:rPr>
          <w:rFonts w:ascii="Arial" w:hAnsi="Arial" w:cs="Arial"/>
          <w:sz w:val="22"/>
          <w:szCs w:val="22"/>
        </w:rPr>
        <w:t>. Aggregated information enables NHS organisations and local authorities to analyse patterns of demand, identify public health priorities, and allocate resources more effectively. For instance, population health analytics derived from EHR data have informed preventive care strategies and reduced hospital readmissions in selected regions.</w:t>
      </w:r>
      <w:r w:rsidR="00E30213">
        <w:rPr>
          <w:rFonts w:ascii="Arial" w:hAnsi="Arial" w:cs="Arial"/>
          <w:sz w:val="22"/>
          <w:szCs w:val="22"/>
        </w:rPr>
        <w:t xml:space="preserve"> </w:t>
      </w:r>
      <w:r w:rsidRPr="003E6E3B">
        <w:rPr>
          <w:rFonts w:ascii="Arial" w:hAnsi="Arial" w:cs="Arial"/>
          <w:sz w:val="22"/>
          <w:szCs w:val="22"/>
        </w:rPr>
        <w:t xml:space="preserve">However, transformation has not been universally positive. </w:t>
      </w:r>
      <w:proofErr w:type="gramStart"/>
      <w:r w:rsidRPr="003E6E3B">
        <w:rPr>
          <w:rFonts w:ascii="Arial" w:hAnsi="Arial" w:cs="Arial"/>
          <w:sz w:val="22"/>
          <w:szCs w:val="22"/>
        </w:rPr>
        <w:t>Numerous</w:t>
      </w:r>
      <w:proofErr w:type="gramEnd"/>
      <w:r w:rsidRPr="003E6E3B">
        <w:rPr>
          <w:rFonts w:ascii="Arial" w:hAnsi="Arial" w:cs="Arial"/>
          <w:sz w:val="22"/>
          <w:szCs w:val="22"/>
        </w:rPr>
        <w:t xml:space="preserve"> providers report interoperability issues between different EHR systems, particularly where NHS Trusts </w:t>
      </w:r>
      <w:r w:rsidRPr="003E6E3B">
        <w:rPr>
          <w:rFonts w:ascii="Arial" w:hAnsi="Arial" w:cs="Arial"/>
          <w:sz w:val="22"/>
          <w:szCs w:val="22"/>
        </w:rPr>
        <w:t>use</w:t>
      </w:r>
      <w:r w:rsidRPr="003E6E3B">
        <w:rPr>
          <w:rFonts w:ascii="Arial" w:hAnsi="Arial" w:cs="Arial"/>
          <w:sz w:val="22"/>
          <w:szCs w:val="22"/>
        </w:rPr>
        <w:t xml:space="preserve"> varied software vendors. This fragmentation can disrupt patient journeys, creating information silos rather than integration </w:t>
      </w:r>
      <w:r w:rsidR="00A83D7B" w:rsidRPr="00A83D7B">
        <w:rPr>
          <w:rFonts w:ascii="Arial" w:hAnsi="Arial" w:cs="Arial"/>
          <w:sz w:val="22"/>
          <w:szCs w:val="22"/>
        </w:rPr>
        <w:t>(Med Tech News, 2025)</w:t>
      </w:r>
      <w:r w:rsidRPr="003E6E3B">
        <w:rPr>
          <w:rFonts w:ascii="Arial" w:hAnsi="Arial" w:cs="Arial"/>
          <w:sz w:val="22"/>
          <w:szCs w:val="22"/>
        </w:rPr>
        <w:t>. System downtime or slow performance may also cause operational bottlenecks that delay clinical decisions. Additionally, the initial financial cost of EHR implementation has been significant, with smaller practices and social care organisations struggling to invest in necessary infrastructure.</w:t>
      </w:r>
    </w:p>
    <w:p w14:paraId="1CE49B2E" w14:textId="7FB75B36" w:rsidR="003E6E3B" w:rsidRPr="003E6E3B" w:rsidRDefault="003E6E3B" w:rsidP="003E6E3B">
      <w:pPr>
        <w:spacing w:line="360" w:lineRule="auto"/>
        <w:jc w:val="both"/>
        <w:rPr>
          <w:rFonts w:ascii="Arial" w:hAnsi="Arial" w:cs="Arial"/>
          <w:sz w:val="22"/>
          <w:szCs w:val="22"/>
        </w:rPr>
      </w:pPr>
      <w:r w:rsidRPr="003E6E3B">
        <w:rPr>
          <w:rFonts w:ascii="Arial" w:hAnsi="Arial" w:cs="Arial"/>
          <w:sz w:val="22"/>
          <w:szCs w:val="22"/>
        </w:rPr>
        <w:t xml:space="preserve">Concerns persist about workflow disruption, particularly during early implementation phases when staff must adapt to unfamiliar digital processes. </w:t>
      </w:r>
      <w:r w:rsidR="006E2A08">
        <w:rPr>
          <w:rFonts w:ascii="Arial" w:hAnsi="Arial" w:cs="Arial"/>
          <w:sz w:val="22"/>
          <w:szCs w:val="22"/>
        </w:rPr>
        <w:t>considerable</w:t>
      </w:r>
      <w:r w:rsidRPr="003E6E3B">
        <w:rPr>
          <w:rFonts w:ascii="Arial" w:hAnsi="Arial" w:cs="Arial"/>
          <w:sz w:val="22"/>
          <w:szCs w:val="22"/>
        </w:rPr>
        <w:t xml:space="preserve"> professionals report that screen-based documentation can reduce interaction time with patients and alter the relational aspects of care (Health Foundation, 2022). Overall, while EHRs have enhanced service efficiency and coordination, they have simultaneously introduced operational and ethical complexities that demand continuous evaluation. Sustainable improvements in service delivery rely on achieving comprehensive system interoperability, ongoing technical support, and alignment between technological innovation and clinical practice.</w:t>
      </w:r>
    </w:p>
    <w:p w14:paraId="7E1D5428" w14:textId="77777777" w:rsidR="00C80D0F" w:rsidRPr="003E6E3B" w:rsidRDefault="00C80D0F" w:rsidP="003E6E3B">
      <w:pPr>
        <w:spacing w:line="360" w:lineRule="auto"/>
        <w:jc w:val="both"/>
        <w:rPr>
          <w:rFonts w:ascii="Arial" w:hAnsi="Arial" w:cs="Arial"/>
          <w:sz w:val="22"/>
          <w:szCs w:val="22"/>
        </w:rPr>
      </w:pPr>
    </w:p>
    <w:p w14:paraId="46327300" w14:textId="77777777" w:rsidR="00C80D0F" w:rsidRPr="009511A5" w:rsidRDefault="00C80D0F" w:rsidP="009511A5">
      <w:pPr>
        <w:pStyle w:val="Heading1"/>
        <w:rPr>
          <w:rFonts w:ascii="Arial" w:hAnsi="Arial" w:cs="Arial"/>
          <w:b/>
          <w:bCs/>
          <w:sz w:val="32"/>
          <w:szCs w:val="32"/>
        </w:rPr>
      </w:pPr>
      <w:bookmarkStart w:id="15" w:name="_Toc213954371"/>
      <w:bookmarkStart w:id="16" w:name="_Toc213954945"/>
      <w:bookmarkStart w:id="17" w:name="_Toc213954961"/>
      <w:r w:rsidRPr="009511A5">
        <w:rPr>
          <w:rFonts w:ascii="Arial" w:hAnsi="Arial" w:cs="Arial"/>
          <w:b/>
          <w:bCs/>
          <w:sz w:val="32"/>
          <w:szCs w:val="32"/>
        </w:rPr>
        <w:t>Impact on patients</w:t>
      </w:r>
      <w:bookmarkEnd w:id="15"/>
      <w:bookmarkEnd w:id="16"/>
      <w:bookmarkEnd w:id="17"/>
      <w:r w:rsidRPr="009511A5">
        <w:rPr>
          <w:rFonts w:ascii="Arial" w:hAnsi="Arial" w:cs="Arial"/>
          <w:b/>
          <w:bCs/>
          <w:sz w:val="32"/>
          <w:szCs w:val="32"/>
        </w:rPr>
        <w:t xml:space="preserve"> </w:t>
      </w:r>
    </w:p>
    <w:p w14:paraId="10ABD74F" w14:textId="33E38E40" w:rsidR="003E6E3B" w:rsidRPr="003E6E3B" w:rsidRDefault="003E6E3B" w:rsidP="003E6E3B">
      <w:pPr>
        <w:spacing w:line="360" w:lineRule="auto"/>
        <w:jc w:val="both"/>
        <w:rPr>
          <w:rFonts w:ascii="Arial" w:hAnsi="Arial" w:cs="Arial"/>
          <w:sz w:val="22"/>
          <w:szCs w:val="22"/>
        </w:rPr>
      </w:pPr>
      <w:r w:rsidRPr="003E6E3B">
        <w:rPr>
          <w:rFonts w:ascii="Arial" w:hAnsi="Arial" w:cs="Arial"/>
          <w:sz w:val="22"/>
          <w:szCs w:val="22"/>
        </w:rPr>
        <w:t>The implementation of Electronic Health Records (EHRs) within the UK has profoundly influenced patients and service users, shaping their experiences, perceptions, and engagement with care. One of the most substantial advantages is the improvement in continuity, safety, and accessibility of healthcare. Through integrated digital records, patients no longer need to repeatedly provide their medical histories to different providers, thereby reducing miscommunication and medical errors</w:t>
      </w:r>
      <w:r w:rsidR="002B4262">
        <w:rPr>
          <w:rFonts w:ascii="Arial" w:hAnsi="Arial" w:cs="Arial"/>
          <w:sz w:val="22"/>
          <w:szCs w:val="22"/>
        </w:rPr>
        <w:t xml:space="preserve"> </w:t>
      </w:r>
      <w:r w:rsidR="002B4262" w:rsidRPr="002B4262">
        <w:rPr>
          <w:rFonts w:ascii="Arial" w:hAnsi="Arial" w:cs="Arial"/>
          <w:sz w:val="22"/>
          <w:szCs w:val="22"/>
        </w:rPr>
        <w:t>(NHS England, 2023c)</w:t>
      </w:r>
      <w:r w:rsidRPr="003E6E3B">
        <w:rPr>
          <w:rFonts w:ascii="Arial" w:hAnsi="Arial" w:cs="Arial"/>
          <w:sz w:val="22"/>
          <w:szCs w:val="22"/>
        </w:rPr>
        <w:t>. Clinicians can instantly access up-to-date information about diagnoses, test results, and medications, supporting faster and more accurate treatment decisions.</w:t>
      </w:r>
      <w:r w:rsidR="00E30213">
        <w:rPr>
          <w:rFonts w:ascii="Arial" w:hAnsi="Arial" w:cs="Arial"/>
          <w:sz w:val="22"/>
          <w:szCs w:val="22"/>
        </w:rPr>
        <w:t xml:space="preserve"> </w:t>
      </w:r>
      <w:r w:rsidRPr="003E6E3B">
        <w:rPr>
          <w:rFonts w:ascii="Arial" w:hAnsi="Arial" w:cs="Arial"/>
          <w:sz w:val="22"/>
          <w:szCs w:val="22"/>
        </w:rPr>
        <w:t xml:space="preserve">From a patient perspective, EHRs have encouraged greater autonomy and participation in health management. For example, the NHS App allows users to view test results, book appointments, and manage repeat prescriptions, enhancing engagement and health literacy (NHS, 2021). EHR integration has proven particularly beneficial for individuals with chronic illnesses such as diabetes, asthma, and cardiovascular disease, facilitating coordinated care between general practitioners, specialists, and community </w:t>
      </w:r>
      <w:r w:rsidR="00141B54" w:rsidRPr="003E6E3B">
        <w:rPr>
          <w:rFonts w:ascii="Arial" w:hAnsi="Arial" w:cs="Arial"/>
          <w:sz w:val="22"/>
          <w:szCs w:val="22"/>
        </w:rPr>
        <w:t>services.</w:t>
      </w:r>
      <w:r w:rsidRPr="003E6E3B">
        <w:rPr>
          <w:rFonts w:ascii="Arial" w:hAnsi="Arial" w:cs="Arial"/>
          <w:sz w:val="22"/>
          <w:szCs w:val="22"/>
        </w:rPr>
        <w:t xml:space="preserve"> Mental health services have also employed shared care records to strengthen crisis response and ensure continuity of support for vulnerable patients.</w:t>
      </w:r>
      <w:r w:rsidR="00E30213">
        <w:rPr>
          <w:rFonts w:ascii="Arial" w:hAnsi="Arial" w:cs="Arial"/>
          <w:sz w:val="22"/>
          <w:szCs w:val="22"/>
        </w:rPr>
        <w:t xml:space="preserve"> </w:t>
      </w:r>
      <w:r w:rsidRPr="003E6E3B">
        <w:rPr>
          <w:rFonts w:ascii="Arial" w:hAnsi="Arial" w:cs="Arial"/>
          <w:sz w:val="22"/>
          <w:szCs w:val="22"/>
        </w:rPr>
        <w:t>However, digitalisation raises ethical and social challenges. Data privacy remains a significant concern, particularly following instances of cyberattacks on health systems worldwide. Despite the Data Protection Act 2018 and the UK General Data Protection Regulation (UK GDPR), a proportion of patients remain apprehensive that sensitive information might</w:t>
      </w:r>
      <w:r w:rsidRPr="00E30213">
        <w:rPr>
          <w:rFonts w:ascii="Arial" w:hAnsi="Arial" w:cs="Arial"/>
          <w:sz w:val="22"/>
          <w:szCs w:val="22"/>
        </w:rPr>
        <w:t xml:space="preserve"> </w:t>
      </w:r>
      <w:r w:rsidRPr="003E6E3B">
        <w:rPr>
          <w:rFonts w:ascii="Arial" w:hAnsi="Arial" w:cs="Arial"/>
          <w:sz w:val="22"/>
          <w:szCs w:val="22"/>
        </w:rPr>
        <w:t>accessed or shared without consent</w:t>
      </w:r>
      <w:r w:rsidR="00F356EF">
        <w:rPr>
          <w:rFonts w:ascii="Arial" w:hAnsi="Arial" w:cs="Arial"/>
          <w:sz w:val="22"/>
          <w:szCs w:val="22"/>
        </w:rPr>
        <w:t xml:space="preserve"> </w:t>
      </w:r>
      <w:r w:rsidR="00F45026" w:rsidRPr="00F45026">
        <w:rPr>
          <w:rFonts w:ascii="Arial" w:hAnsi="Arial" w:cs="Arial"/>
          <w:sz w:val="22"/>
          <w:szCs w:val="22"/>
        </w:rPr>
        <w:t>(UK Government, 2018</w:t>
      </w:r>
      <w:r w:rsidR="00F45026" w:rsidRPr="00F45026">
        <w:rPr>
          <w:rFonts w:ascii="Arial" w:hAnsi="Arial" w:cs="Arial"/>
          <w:sz w:val="22"/>
          <w:szCs w:val="22"/>
        </w:rPr>
        <w:t>)</w:t>
      </w:r>
      <w:r w:rsidR="00F45026">
        <w:rPr>
          <w:rFonts w:ascii="Arial" w:hAnsi="Arial" w:cs="Arial"/>
          <w:sz w:val="22"/>
          <w:szCs w:val="22"/>
        </w:rPr>
        <w:t>.</w:t>
      </w:r>
      <w:r w:rsidRPr="003E6E3B">
        <w:rPr>
          <w:rFonts w:ascii="Arial" w:hAnsi="Arial" w:cs="Arial"/>
          <w:sz w:val="22"/>
          <w:szCs w:val="22"/>
        </w:rPr>
        <w:t xml:space="preserve"> This anxiety can erode trust and reduce willingness to engage with digital health platforms. Digital exclusion similarly affects </w:t>
      </w:r>
      <w:r w:rsidRPr="00E30213">
        <w:rPr>
          <w:rFonts w:ascii="Arial" w:hAnsi="Arial" w:cs="Arial"/>
          <w:sz w:val="22"/>
          <w:szCs w:val="22"/>
        </w:rPr>
        <w:t>groups</w:t>
      </w:r>
      <w:r w:rsidRPr="003E6E3B">
        <w:rPr>
          <w:rFonts w:ascii="Arial" w:hAnsi="Arial" w:cs="Arial"/>
          <w:sz w:val="22"/>
          <w:szCs w:val="22"/>
        </w:rPr>
        <w:t>, including older adults, individuals with disabilities, and those from socioeconomically disadvantaged backgrounds (Health Foundation, 2022). A limited proportion of citizens lack the digital skills, confidence, or access required to engage effectively with EHR systems, leading to disparities in health empowerment. Moreover, the impersonal nature of digital interactions can risk diminishing the empathy and human connection essential to therapeutic relationships, particularly within mental health and social care contexts.</w:t>
      </w:r>
    </w:p>
    <w:p w14:paraId="2B6FACD2" w14:textId="525F3916" w:rsidR="003E6E3B" w:rsidRPr="003E6E3B" w:rsidRDefault="003E6E3B" w:rsidP="003E6E3B">
      <w:pPr>
        <w:spacing w:line="360" w:lineRule="auto"/>
        <w:jc w:val="both"/>
        <w:rPr>
          <w:rFonts w:ascii="Arial" w:hAnsi="Arial" w:cs="Arial"/>
          <w:sz w:val="22"/>
          <w:szCs w:val="22"/>
        </w:rPr>
      </w:pPr>
      <w:r w:rsidRPr="003E6E3B">
        <w:rPr>
          <w:rFonts w:ascii="Arial" w:hAnsi="Arial" w:cs="Arial"/>
          <w:sz w:val="22"/>
          <w:szCs w:val="22"/>
        </w:rPr>
        <w:t>Overall, EHRs have significantly enhanced the safety and quality of patient care by offering faster access, improved coordination, and greater engagement. Yet,</w:t>
      </w:r>
      <w:r w:rsidR="00DA4C99">
        <w:rPr>
          <w:rFonts w:ascii="Arial" w:hAnsi="Arial" w:cs="Arial"/>
          <w:sz w:val="22"/>
          <w:szCs w:val="22"/>
        </w:rPr>
        <w:t xml:space="preserve"> </w:t>
      </w:r>
      <w:r w:rsidRPr="003E6E3B">
        <w:rPr>
          <w:rFonts w:ascii="Arial" w:hAnsi="Arial" w:cs="Arial"/>
          <w:sz w:val="22"/>
          <w:szCs w:val="22"/>
        </w:rPr>
        <w:t>to maximise patient benefits, the system must address data protection concerns, promote digital literacy, and maintain equilibrium between technological efficiency and compassionate, person-centred care.</w:t>
      </w:r>
    </w:p>
    <w:p w14:paraId="7E860150" w14:textId="77777777" w:rsidR="00C80D0F" w:rsidRPr="00E30213" w:rsidRDefault="00C80D0F" w:rsidP="009511A5">
      <w:pPr>
        <w:spacing w:line="360" w:lineRule="auto"/>
        <w:jc w:val="both"/>
        <w:rPr>
          <w:rFonts w:ascii="Arial" w:hAnsi="Arial" w:cs="Arial"/>
          <w:sz w:val="22"/>
          <w:szCs w:val="22"/>
        </w:rPr>
      </w:pPr>
    </w:p>
    <w:p w14:paraId="75ED4894" w14:textId="77777777" w:rsidR="00C80D0F" w:rsidRPr="009511A5" w:rsidRDefault="00C80D0F" w:rsidP="009511A5">
      <w:pPr>
        <w:pStyle w:val="Heading1"/>
        <w:rPr>
          <w:rFonts w:ascii="Arial" w:hAnsi="Arial" w:cs="Arial"/>
          <w:b/>
          <w:bCs/>
          <w:sz w:val="32"/>
          <w:szCs w:val="32"/>
        </w:rPr>
      </w:pPr>
      <w:bookmarkStart w:id="18" w:name="_Toc213954372"/>
      <w:bookmarkStart w:id="19" w:name="_Toc213954946"/>
      <w:bookmarkStart w:id="20" w:name="_Toc213954962"/>
      <w:r w:rsidRPr="009511A5">
        <w:rPr>
          <w:rFonts w:ascii="Arial" w:hAnsi="Arial" w:cs="Arial"/>
          <w:b/>
          <w:bCs/>
          <w:sz w:val="32"/>
          <w:szCs w:val="32"/>
        </w:rPr>
        <w:t>Impact on community</w:t>
      </w:r>
      <w:bookmarkEnd w:id="18"/>
      <w:bookmarkEnd w:id="19"/>
      <w:bookmarkEnd w:id="20"/>
      <w:r w:rsidRPr="009511A5">
        <w:rPr>
          <w:rFonts w:ascii="Arial" w:hAnsi="Arial" w:cs="Arial"/>
          <w:b/>
          <w:bCs/>
          <w:sz w:val="32"/>
          <w:szCs w:val="32"/>
        </w:rPr>
        <w:t xml:space="preserve"> </w:t>
      </w:r>
    </w:p>
    <w:p w14:paraId="224FEC23" w14:textId="14F3B4AE" w:rsidR="0046065E" w:rsidRPr="0046065E" w:rsidRDefault="0046065E" w:rsidP="00E30213">
      <w:pPr>
        <w:spacing w:line="360" w:lineRule="auto"/>
        <w:jc w:val="both"/>
        <w:rPr>
          <w:rFonts w:ascii="Arial" w:hAnsi="Arial" w:cs="Arial"/>
          <w:sz w:val="22"/>
          <w:szCs w:val="22"/>
        </w:rPr>
      </w:pPr>
      <w:r w:rsidRPr="0046065E">
        <w:rPr>
          <w:rFonts w:ascii="Arial" w:hAnsi="Arial" w:cs="Arial"/>
          <w:sz w:val="22"/>
          <w:szCs w:val="22"/>
        </w:rPr>
        <w:t>Beyond individual patients, the implementation of Electronic Health Records (EHRs) has influenced communities by transforming how health data shared, interpreted, and applied to support population wellbeing. At the community level, EHRs enable joined-up care across hospitals, GP practices, social services, and local authorities, promoting integrated support for families and vulnerable groups. Shared digital records have improved coordination between healthcare providers and social care teams when managing elderly patients with complex needs or safeguarding children at risk (NHS England, 2023a).</w:t>
      </w:r>
      <w:r w:rsidR="00E30213">
        <w:rPr>
          <w:rFonts w:ascii="Arial" w:hAnsi="Arial" w:cs="Arial"/>
          <w:sz w:val="22"/>
          <w:szCs w:val="22"/>
        </w:rPr>
        <w:t xml:space="preserve"> </w:t>
      </w:r>
      <w:r w:rsidRPr="0046065E">
        <w:rPr>
          <w:rFonts w:ascii="Arial" w:hAnsi="Arial" w:cs="Arial"/>
          <w:sz w:val="22"/>
          <w:szCs w:val="22"/>
        </w:rPr>
        <w:t>EHRs also enhance public health planning through population-level data analytics. Local health authorities can identify patterns in illness, vaccination coverage, and health inequalities, enabling targeted prevention strategies (Health Foundation, 2022). During the COVID-19 pandemic, EHR data helped identify vulnerable populations and monitor vaccination uptake in real time, supporting a coordinated national response. Community health programmes such as early cancer screening and maternal health monitoring have also benefited from improved data integration between primary and secondary care.</w:t>
      </w:r>
    </w:p>
    <w:p w14:paraId="6F22C830" w14:textId="28F3D17D" w:rsidR="0046065E" w:rsidRPr="0046065E" w:rsidRDefault="0046065E" w:rsidP="00E30213">
      <w:pPr>
        <w:spacing w:line="360" w:lineRule="auto"/>
        <w:jc w:val="both"/>
        <w:rPr>
          <w:rFonts w:ascii="Arial" w:hAnsi="Arial" w:cs="Arial"/>
          <w:sz w:val="22"/>
          <w:szCs w:val="22"/>
        </w:rPr>
      </w:pPr>
      <w:r w:rsidRPr="0046065E">
        <w:rPr>
          <w:rFonts w:ascii="Arial" w:hAnsi="Arial" w:cs="Arial"/>
          <w:sz w:val="22"/>
          <w:szCs w:val="22"/>
        </w:rPr>
        <w:t>Nonetheless, advantages not evenly distributed. Digital exclusion persists in rural and deprived areas, where limited internet connectivity and lower levels of digital literacy restrict engagement with online health systems</w:t>
      </w:r>
      <w:r w:rsidR="00DE466A">
        <w:rPr>
          <w:rFonts w:ascii="Arial" w:hAnsi="Arial" w:cs="Arial"/>
          <w:sz w:val="22"/>
          <w:szCs w:val="22"/>
        </w:rPr>
        <w:t xml:space="preserve"> </w:t>
      </w:r>
      <w:r w:rsidR="00DE466A" w:rsidRPr="00DE466A">
        <w:rPr>
          <w:rFonts w:ascii="Arial" w:hAnsi="Arial" w:cs="Arial"/>
          <w:sz w:val="22"/>
          <w:szCs w:val="22"/>
        </w:rPr>
        <w:t xml:space="preserve">(Mistry and </w:t>
      </w:r>
      <w:proofErr w:type="spellStart"/>
      <w:r w:rsidR="00DE466A" w:rsidRPr="00DE466A">
        <w:rPr>
          <w:rFonts w:ascii="Arial" w:hAnsi="Arial" w:cs="Arial"/>
          <w:sz w:val="22"/>
          <w:szCs w:val="22"/>
        </w:rPr>
        <w:t>Jabbal</w:t>
      </w:r>
      <w:proofErr w:type="spellEnd"/>
      <w:r w:rsidR="00DE466A" w:rsidRPr="00DE466A">
        <w:rPr>
          <w:rFonts w:ascii="Arial" w:hAnsi="Arial" w:cs="Arial"/>
          <w:sz w:val="22"/>
          <w:szCs w:val="22"/>
        </w:rPr>
        <w:t>, 2023)</w:t>
      </w:r>
      <w:r w:rsidRPr="0046065E">
        <w:rPr>
          <w:rFonts w:ascii="Arial" w:hAnsi="Arial" w:cs="Arial"/>
          <w:sz w:val="22"/>
          <w:szCs w:val="22"/>
        </w:rPr>
        <w:t xml:space="preserve">. Certain communities have expressed apprehension regarding how aggregated health data </w:t>
      </w:r>
      <w:r w:rsidR="00E30213" w:rsidRPr="0046065E">
        <w:rPr>
          <w:rFonts w:ascii="Arial" w:hAnsi="Arial" w:cs="Arial"/>
          <w:sz w:val="22"/>
          <w:szCs w:val="22"/>
        </w:rPr>
        <w:t>may use</w:t>
      </w:r>
      <w:r w:rsidRPr="0046065E">
        <w:rPr>
          <w:rFonts w:ascii="Arial" w:hAnsi="Arial" w:cs="Arial"/>
          <w:sz w:val="22"/>
          <w:szCs w:val="22"/>
        </w:rPr>
        <w:t xml:space="preserve"> by governmental or private entities, reinforcing the need for transparent data governance and ethical oversight. Overall, EHRs possess the potential to enable more equitable, data-driven community health initiatives, yet their success depends on inclusive infrastructure, accessible digital education, and the establishment of public trust in digital health governance.</w:t>
      </w:r>
    </w:p>
    <w:p w14:paraId="244E9C65" w14:textId="77777777" w:rsidR="00824F6D" w:rsidRPr="009511A5" w:rsidRDefault="00824F6D" w:rsidP="009511A5">
      <w:pPr>
        <w:spacing w:line="360" w:lineRule="auto"/>
        <w:jc w:val="both"/>
        <w:rPr>
          <w:rFonts w:ascii="Arial" w:hAnsi="Arial" w:cs="Arial"/>
          <w:b/>
          <w:bCs/>
          <w:sz w:val="22"/>
          <w:szCs w:val="22"/>
        </w:rPr>
      </w:pPr>
    </w:p>
    <w:p w14:paraId="0C5078D7" w14:textId="77777777" w:rsidR="00C80D0F" w:rsidRPr="009511A5" w:rsidRDefault="00C80D0F" w:rsidP="009511A5">
      <w:pPr>
        <w:pStyle w:val="Heading1"/>
        <w:rPr>
          <w:rFonts w:ascii="Arial" w:hAnsi="Arial" w:cs="Arial"/>
          <w:b/>
          <w:bCs/>
          <w:sz w:val="32"/>
          <w:szCs w:val="32"/>
        </w:rPr>
      </w:pPr>
      <w:bookmarkStart w:id="21" w:name="_Toc213954373"/>
      <w:bookmarkStart w:id="22" w:name="_Toc213954947"/>
      <w:bookmarkStart w:id="23" w:name="_Toc213954963"/>
      <w:r w:rsidRPr="009511A5">
        <w:rPr>
          <w:rFonts w:ascii="Arial" w:hAnsi="Arial" w:cs="Arial"/>
          <w:b/>
          <w:bCs/>
          <w:sz w:val="32"/>
          <w:szCs w:val="32"/>
        </w:rPr>
        <w:t>Conclusion</w:t>
      </w:r>
      <w:bookmarkEnd w:id="21"/>
      <w:bookmarkEnd w:id="22"/>
      <w:bookmarkEnd w:id="23"/>
    </w:p>
    <w:p w14:paraId="2E0E9FD2" w14:textId="429451B0" w:rsidR="009B0334" w:rsidRPr="009B0334" w:rsidRDefault="0046065E" w:rsidP="00E30982">
      <w:pPr>
        <w:spacing w:line="360" w:lineRule="auto"/>
        <w:jc w:val="both"/>
        <w:rPr>
          <w:rFonts w:ascii="Arial" w:hAnsi="Arial" w:cs="Arial"/>
          <w:sz w:val="22"/>
          <w:szCs w:val="22"/>
        </w:rPr>
      </w:pPr>
      <w:r w:rsidRPr="0046065E">
        <w:rPr>
          <w:rFonts w:ascii="Arial" w:hAnsi="Arial" w:cs="Arial"/>
          <w:sz w:val="22"/>
          <w:szCs w:val="22"/>
        </w:rPr>
        <w:t>The implementation of Electronic Health Records (EHRs) represents a cornerstone of digital transformation across the UK health and social care landscape. EHRs have strengthened clinical accuracy, coordination, and efficiency by providing secure, real-time access to comprehensive patient data across care settings. This innovation has improved patient safety, supported evidence-based decision-making, and enabled integrated, data-driven service delivery.</w:t>
      </w:r>
      <w:r w:rsidR="00E437A9">
        <w:rPr>
          <w:rFonts w:ascii="Arial" w:hAnsi="Arial" w:cs="Arial"/>
          <w:sz w:val="22"/>
          <w:szCs w:val="22"/>
        </w:rPr>
        <w:t xml:space="preserve"> </w:t>
      </w:r>
      <w:r w:rsidRPr="0046065E">
        <w:rPr>
          <w:rFonts w:ascii="Arial" w:hAnsi="Arial" w:cs="Arial"/>
          <w:sz w:val="22"/>
          <w:szCs w:val="22"/>
        </w:rPr>
        <w:t>Although EHR implementation can</w:t>
      </w:r>
      <w:r>
        <w:rPr>
          <w:rFonts w:ascii="Arial" w:hAnsi="Arial" w:cs="Arial"/>
          <w:sz w:val="22"/>
          <w:szCs w:val="22"/>
        </w:rPr>
        <w:t xml:space="preserve"> </w:t>
      </w:r>
      <w:r w:rsidRPr="0046065E">
        <w:rPr>
          <w:rFonts w:ascii="Arial" w:hAnsi="Arial" w:cs="Arial"/>
          <w:sz w:val="22"/>
          <w:szCs w:val="22"/>
        </w:rPr>
        <w:t xml:space="preserve">considered a qualified success, persistent challenges remain. Uneven interoperability, variable digital literacy, data security concerns, and digital exclusion continue to restrict full system integration. Thus, while EHRs have achieved considerable progress in transforming the NHS, the journey toward complete digital maturity is ongoing. To sustain success, continuous investment in digital skills, user-centred design, ethical governance, and inclusive engagement is essential. </w:t>
      </w:r>
      <w:r w:rsidRPr="0046065E">
        <w:rPr>
          <w:rFonts w:ascii="Arial" w:hAnsi="Arial" w:cs="Arial"/>
          <w:sz w:val="22"/>
          <w:szCs w:val="22"/>
        </w:rPr>
        <w:t>The</w:t>
      </w:r>
      <w:r w:rsidRPr="0046065E">
        <w:rPr>
          <w:rFonts w:ascii="Arial" w:hAnsi="Arial" w:cs="Arial"/>
          <w:sz w:val="22"/>
          <w:szCs w:val="22"/>
        </w:rPr>
        <w:t xml:space="preserve"> effectiveness of EHRs depends not solely on technological advancement but also on the capacity of the NHS to ensure equitable access, foster workforce confidence, and maintain public trust in digital healthcare innovation</w:t>
      </w:r>
      <w:r w:rsidR="009B0334">
        <w:rPr>
          <w:rFonts w:ascii="Arial" w:hAnsi="Arial" w:cs="Arial"/>
          <w:sz w:val="22"/>
          <w:szCs w:val="22"/>
        </w:rPr>
        <w:t xml:space="preserve"> </w:t>
      </w:r>
      <w:r w:rsidR="009B0334" w:rsidRPr="009B0334">
        <w:rPr>
          <w:rFonts w:ascii="Arial" w:hAnsi="Arial" w:cs="Arial"/>
          <w:sz w:val="22"/>
          <w:szCs w:val="22"/>
        </w:rPr>
        <w:t>(Med Tech News, 2025)</w:t>
      </w:r>
      <w:r w:rsidR="009B0334">
        <w:rPr>
          <w:rFonts w:ascii="Arial" w:hAnsi="Arial" w:cs="Arial"/>
          <w:sz w:val="22"/>
          <w:szCs w:val="22"/>
        </w:rPr>
        <w:t>.</w:t>
      </w:r>
    </w:p>
    <w:p w14:paraId="38691AFE" w14:textId="0215F703" w:rsidR="0046065E" w:rsidRPr="0046065E" w:rsidRDefault="0046065E" w:rsidP="00E30982">
      <w:pPr>
        <w:spacing w:line="360" w:lineRule="auto"/>
        <w:jc w:val="both"/>
        <w:rPr>
          <w:rFonts w:ascii="Arial" w:hAnsi="Arial" w:cs="Arial"/>
          <w:sz w:val="22"/>
          <w:szCs w:val="22"/>
        </w:rPr>
      </w:pPr>
    </w:p>
    <w:p w14:paraId="63857A30" w14:textId="77777777" w:rsidR="008375B5" w:rsidRDefault="008375B5" w:rsidP="00E30982">
      <w:pPr>
        <w:pStyle w:val="Heading1"/>
        <w:spacing w:line="360" w:lineRule="auto"/>
        <w:jc w:val="both"/>
        <w:rPr>
          <w:rFonts w:ascii="Arial" w:hAnsi="Arial" w:cs="Arial"/>
          <w:b/>
          <w:bCs/>
          <w:sz w:val="32"/>
          <w:szCs w:val="32"/>
        </w:rPr>
      </w:pPr>
      <w:bookmarkStart w:id="24" w:name="_Toc213954374"/>
      <w:bookmarkStart w:id="25" w:name="_Toc213954948"/>
      <w:bookmarkStart w:id="26" w:name="_Toc213954964"/>
      <w:r w:rsidRPr="00E30213">
        <w:rPr>
          <w:rFonts w:ascii="Arial" w:hAnsi="Arial" w:cs="Arial"/>
          <w:b/>
          <w:bCs/>
          <w:sz w:val="32"/>
          <w:szCs w:val="32"/>
        </w:rPr>
        <w:t>References</w:t>
      </w:r>
      <w:bookmarkEnd w:id="24"/>
      <w:bookmarkEnd w:id="25"/>
      <w:bookmarkEnd w:id="26"/>
    </w:p>
    <w:p w14:paraId="6644D621" w14:textId="45D6E494" w:rsidR="00015D25" w:rsidRPr="006A635C" w:rsidRDefault="00015D25" w:rsidP="00E30982">
      <w:pPr>
        <w:spacing w:line="360" w:lineRule="auto"/>
        <w:jc w:val="both"/>
      </w:pPr>
      <w:r w:rsidRPr="006A635C">
        <w:t xml:space="preserve">Department of Health and Social Care (2022). </w:t>
      </w:r>
      <w:r w:rsidRPr="006A635C">
        <w:rPr>
          <w:i/>
          <w:iCs/>
        </w:rPr>
        <w:t>A Plan for Digital Health and Social Care</w:t>
      </w:r>
      <w:r w:rsidRPr="006A635C">
        <w:t xml:space="preserve">. GOV.UK. Available at: </w:t>
      </w:r>
      <w:hyperlink r:id="rId13" w:history="1">
        <w:r w:rsidR="00625A31" w:rsidRPr="006A635C">
          <w:rPr>
            <w:rStyle w:val="Hyperlink"/>
          </w:rPr>
          <w:t>https://www.gov.uk/government/publications/a-plan-for-digital-health-and-social-care/a-plan-for-digital-health-and-social-care</w:t>
        </w:r>
      </w:hyperlink>
      <w:r w:rsidR="00625A31">
        <w:t xml:space="preserve"> (</w:t>
      </w:r>
      <w:r w:rsidRPr="006A635C">
        <w:t>Accessed 10 Nov. 2025</w:t>
      </w:r>
      <w:r w:rsidR="00625A31">
        <w:t>)</w:t>
      </w:r>
      <w:r w:rsidRPr="006A635C">
        <w:t>.</w:t>
      </w:r>
    </w:p>
    <w:p w14:paraId="79D78F5E" w14:textId="597D49D6" w:rsidR="00015D25" w:rsidRPr="006A635C" w:rsidRDefault="00015D25" w:rsidP="00E30982">
      <w:pPr>
        <w:spacing w:line="360" w:lineRule="auto"/>
        <w:jc w:val="both"/>
      </w:pPr>
      <w:r w:rsidRPr="006A635C">
        <w:t xml:space="preserve">Department of Health and Social Care (2025). </w:t>
      </w:r>
      <w:r w:rsidRPr="006A635C">
        <w:rPr>
          <w:i/>
          <w:iCs/>
        </w:rPr>
        <w:t>Fit for the future: 10 Year Health Plan for England - Executive Summary</w:t>
      </w:r>
      <w:r w:rsidRPr="006A635C">
        <w:t>.</w:t>
      </w:r>
      <w:r w:rsidR="007443B9">
        <w:t xml:space="preserve"> </w:t>
      </w:r>
      <w:r w:rsidRPr="006A635C">
        <w:t xml:space="preserve">GOV.UK. Available at: </w:t>
      </w:r>
      <w:hyperlink r:id="rId14" w:history="1">
        <w:r w:rsidR="0053341B" w:rsidRPr="006A635C">
          <w:rPr>
            <w:rStyle w:val="Hyperlink"/>
          </w:rPr>
          <w:t>https://www.gov.uk/government/publications/10-year-health-plan-for-england-fit-for-the-future/fit-for-the-future-10-year-health-plan-for-england-executive-summary</w:t>
        </w:r>
      </w:hyperlink>
      <w:r w:rsidR="0053341B">
        <w:t xml:space="preserve"> </w:t>
      </w:r>
      <w:r w:rsidR="007443B9">
        <w:t>(</w:t>
      </w:r>
      <w:r w:rsidRPr="006A635C">
        <w:t xml:space="preserve">Accessed </w:t>
      </w:r>
      <w:r w:rsidR="008A3A44">
        <w:t>20 Oct</w:t>
      </w:r>
      <w:r w:rsidRPr="006A635C">
        <w:t>. 2025</w:t>
      </w:r>
      <w:r w:rsidR="007443B9">
        <w:t>)</w:t>
      </w:r>
      <w:r w:rsidRPr="006A635C">
        <w:t>.</w:t>
      </w:r>
    </w:p>
    <w:p w14:paraId="5DA4121E" w14:textId="7285246A" w:rsidR="00015D25" w:rsidRDefault="00015D25" w:rsidP="00E30982">
      <w:pPr>
        <w:spacing w:line="360" w:lineRule="auto"/>
        <w:jc w:val="both"/>
      </w:pPr>
      <w:r w:rsidRPr="006A635C">
        <w:t xml:space="preserve">Health Education England (2021). </w:t>
      </w:r>
      <w:r w:rsidRPr="006A635C">
        <w:rPr>
          <w:i/>
          <w:iCs/>
        </w:rPr>
        <w:t>INTERIM REPORT Data Driven Healthcare in 2030: Transformation Requirements of the NHS Digital Technology and Health Informatics Workforce Full Report HEE Digital Readiness Programme</w:t>
      </w:r>
      <w:r w:rsidRPr="006A635C">
        <w:t>.</w:t>
      </w:r>
      <w:r w:rsidR="0053341B">
        <w:t xml:space="preserve"> </w:t>
      </w:r>
      <w:r w:rsidRPr="006A635C">
        <w:rPr>
          <w:i/>
          <w:iCs/>
        </w:rPr>
        <w:t>https://www.hee.nhs.uk</w:t>
      </w:r>
      <w:r w:rsidRPr="006A635C">
        <w:t xml:space="preserve">. Available at: </w:t>
      </w:r>
      <w:hyperlink r:id="rId15" w:history="1">
        <w:r w:rsidR="00FC2104" w:rsidRPr="006A635C">
          <w:rPr>
            <w:rStyle w:val="Hyperlink"/>
          </w:rPr>
          <w:t>https://www.hee.nhs.uk/sites/default/files/Data%20Driven%20Healthcare%20in%202030%20-%20Full%20report%20-%20Mar%2021.pdf</w:t>
        </w:r>
      </w:hyperlink>
      <w:r w:rsidR="00FC2104">
        <w:t xml:space="preserve"> </w:t>
      </w:r>
      <w:r w:rsidR="0053341B">
        <w:t>(</w:t>
      </w:r>
      <w:r w:rsidRPr="006A635C">
        <w:t>Accessed 10 Nov. 2025</w:t>
      </w:r>
      <w:r w:rsidR="0053341B">
        <w:t>)</w:t>
      </w:r>
      <w:r w:rsidRPr="006A635C">
        <w:t>.</w:t>
      </w:r>
    </w:p>
    <w:p w14:paraId="7A57E43C" w14:textId="77777777" w:rsidR="00015D25" w:rsidRDefault="00015D25" w:rsidP="00E30982">
      <w:pPr>
        <w:spacing w:line="360" w:lineRule="auto"/>
        <w:jc w:val="both"/>
      </w:pPr>
      <w:r w:rsidRPr="00E30213">
        <w:t xml:space="preserve">Health Foundation (2022) </w:t>
      </w:r>
      <w:r w:rsidRPr="00015D25">
        <w:rPr>
          <w:i/>
          <w:iCs/>
        </w:rPr>
        <w:t>Electronic patient records: why the NHS urgently needs a strategy to deploy EPRs.</w:t>
      </w:r>
      <w:r w:rsidRPr="00E30213">
        <w:t xml:space="preserve"> London: The Health Foundation. Available at: </w:t>
      </w:r>
      <w:hyperlink r:id="rId16" w:tgtFrame="_new" w:history="1">
        <w:r w:rsidRPr="00E30213">
          <w:rPr>
            <w:rStyle w:val="Hyperlink"/>
          </w:rPr>
          <w:t>https://www.health.org.uk/reports-and-analysis/analysis/electronic-patient-records-nhs-strategy</w:t>
        </w:r>
      </w:hyperlink>
      <w:r w:rsidRPr="00E30213">
        <w:t xml:space="preserve"> (Accessed: 4 November 2025).</w:t>
      </w:r>
    </w:p>
    <w:p w14:paraId="18DBBBC0" w14:textId="0362DFB9" w:rsidR="00015D25" w:rsidRPr="006A635C" w:rsidRDefault="00015D25" w:rsidP="00E30982">
      <w:pPr>
        <w:spacing w:line="360" w:lineRule="auto"/>
        <w:jc w:val="both"/>
      </w:pPr>
      <w:r w:rsidRPr="006A635C">
        <w:t xml:space="preserve">HFMA (2025). </w:t>
      </w:r>
      <w:r w:rsidRPr="006A635C">
        <w:rPr>
          <w:i/>
          <w:iCs/>
        </w:rPr>
        <w:t>Implementing an Electronic Patient Record Case Studies Describing the Experience</w:t>
      </w:r>
      <w:r w:rsidRPr="006A635C">
        <w:t>.</w:t>
      </w:r>
      <w:r w:rsidR="00556FF3">
        <w:t xml:space="preserve"> </w:t>
      </w:r>
      <w:r w:rsidRPr="006A635C">
        <w:rPr>
          <w:i/>
          <w:iCs/>
        </w:rPr>
        <w:t>hfma.org.uk</w:t>
      </w:r>
      <w:r w:rsidRPr="006A635C">
        <w:t xml:space="preserve">. Available at: </w:t>
      </w:r>
      <w:hyperlink r:id="rId17" w:history="1">
        <w:r w:rsidR="00556FF3" w:rsidRPr="006A635C">
          <w:rPr>
            <w:rStyle w:val="Hyperlink"/>
          </w:rPr>
          <w:t>https://www.hfma.org.uk/system/files/2025-09/implementing-an-electronic-patient-record-9192.pdf</w:t>
        </w:r>
      </w:hyperlink>
      <w:r w:rsidR="00556FF3">
        <w:t xml:space="preserve"> (</w:t>
      </w:r>
      <w:r w:rsidRPr="006A635C">
        <w:t>Accessed 3 Nov. 2025</w:t>
      </w:r>
      <w:r w:rsidR="00556FF3">
        <w:t>)</w:t>
      </w:r>
      <w:r w:rsidRPr="006A635C">
        <w:t>.</w:t>
      </w:r>
    </w:p>
    <w:p w14:paraId="523C8CA6" w14:textId="729B1318" w:rsidR="001A115E" w:rsidRPr="006A635C" w:rsidRDefault="001A115E" w:rsidP="00E30982">
      <w:pPr>
        <w:spacing w:line="360" w:lineRule="auto"/>
        <w:jc w:val="both"/>
      </w:pPr>
      <w:r w:rsidRPr="001A115E">
        <w:t xml:space="preserve">Isidori, V. </w:t>
      </w:r>
      <w:r w:rsidRPr="001A115E">
        <w:rPr>
          <w:i/>
          <w:iCs/>
        </w:rPr>
        <w:t>et al.</w:t>
      </w:r>
      <w:r w:rsidRPr="001A115E">
        <w:t xml:space="preserve"> (2022) ‘Digital technologies and the role of healthcare professionals: a scoping review exploring nurses’ skills in the digital era and in light of the COVID-19 pandemic’, </w:t>
      </w:r>
      <w:r w:rsidRPr="001A115E">
        <w:rPr>
          <w:i/>
          <w:iCs/>
        </w:rPr>
        <w:t>JMIR Nursing</w:t>
      </w:r>
      <w:r w:rsidRPr="001A115E">
        <w:t xml:space="preserve">, 5(1). Available at: </w:t>
      </w:r>
      <w:hyperlink r:id="rId18" w:tgtFrame="_new" w:history="1">
        <w:r w:rsidRPr="001A115E">
          <w:rPr>
            <w:rStyle w:val="Hyperlink"/>
          </w:rPr>
          <w:t>https://d</w:t>
        </w:r>
        <w:r w:rsidRPr="001A115E">
          <w:rPr>
            <w:rStyle w:val="Hyperlink"/>
          </w:rPr>
          <w:t>oi.org/10.2196/37631</w:t>
        </w:r>
      </w:hyperlink>
      <w:r w:rsidRPr="001A115E">
        <w:t>.</w:t>
      </w:r>
    </w:p>
    <w:p w14:paraId="62CB5516" w14:textId="3EA61E26" w:rsidR="00015D25" w:rsidRPr="006A635C" w:rsidRDefault="00015D25" w:rsidP="00E30982">
      <w:pPr>
        <w:spacing w:line="360" w:lineRule="auto"/>
        <w:jc w:val="both"/>
      </w:pPr>
      <w:r w:rsidRPr="006A635C">
        <w:t>McCrorie, C.</w:t>
      </w:r>
      <w:r w:rsidR="007050EF">
        <w:t xml:space="preserve"> et al</w:t>
      </w:r>
      <w:r w:rsidRPr="006A635C">
        <w:t xml:space="preserve">. (2019). Staff Expectations for the Implementation of an Electronic Health Record system: a Qualitative Study Using Normalisation Process Theory. </w:t>
      </w:r>
      <w:r w:rsidRPr="006A635C">
        <w:rPr>
          <w:i/>
          <w:iCs/>
        </w:rPr>
        <w:t>BMC Medical Informatics and Decision Making</w:t>
      </w:r>
      <w:r w:rsidRPr="006A635C">
        <w:t xml:space="preserve">, 19(1). </w:t>
      </w:r>
      <w:hyperlink r:id="rId19" w:history="1">
        <w:r w:rsidR="00542165" w:rsidRPr="006A635C">
          <w:rPr>
            <w:rStyle w:val="Hyperlink"/>
          </w:rPr>
          <w:t>https://doi.org/10.1186/s12911-019-0952-3</w:t>
        </w:r>
      </w:hyperlink>
      <w:r w:rsidRPr="006A635C">
        <w:t>.</w:t>
      </w:r>
      <w:r w:rsidR="00542165">
        <w:t xml:space="preserve"> </w:t>
      </w:r>
    </w:p>
    <w:p w14:paraId="2D8C1D29" w14:textId="774934D2" w:rsidR="00015D25" w:rsidRPr="006A635C" w:rsidRDefault="00015D25" w:rsidP="00E30982">
      <w:pPr>
        <w:spacing w:line="360" w:lineRule="auto"/>
        <w:jc w:val="both"/>
      </w:pPr>
      <w:r w:rsidRPr="006A635C">
        <w:t xml:space="preserve">Med Tech News (2025). </w:t>
      </w:r>
      <w:r w:rsidRPr="006A635C">
        <w:rPr>
          <w:i/>
          <w:iCs/>
        </w:rPr>
        <w:t>Digital Maturity in the NHS: Assessing the Landscape, Challenges, and Strategies for Transformation</w:t>
      </w:r>
      <w:r w:rsidRPr="006A635C">
        <w:t xml:space="preserve">. </w:t>
      </w:r>
      <w:r w:rsidR="00CB043F" w:rsidRPr="006A635C">
        <w:t>MedTech News</w:t>
      </w:r>
      <w:r w:rsidRPr="006A635C">
        <w:t xml:space="preserve">. Available at: </w:t>
      </w:r>
      <w:hyperlink r:id="rId20" w:history="1">
        <w:r w:rsidR="007050EF" w:rsidRPr="006A635C">
          <w:rPr>
            <w:rStyle w:val="Hyperlink"/>
          </w:rPr>
          <w:t>https://medtechnews.uk/research-reports/digital-maturity-in-the-nhs-assessing-the-landscape-challenges-and-strategies-for-transformation/</w:t>
        </w:r>
      </w:hyperlink>
      <w:r w:rsidR="007050EF">
        <w:t xml:space="preserve"> (</w:t>
      </w:r>
      <w:r w:rsidRPr="006A635C">
        <w:t>Accessed 14 Nov. 2025</w:t>
      </w:r>
      <w:r w:rsidR="007050EF">
        <w:t>)</w:t>
      </w:r>
      <w:r w:rsidRPr="006A635C">
        <w:t>.</w:t>
      </w:r>
    </w:p>
    <w:p w14:paraId="73478482" w14:textId="4B23225F" w:rsidR="00015D25" w:rsidRPr="006A635C" w:rsidRDefault="00015D25" w:rsidP="00E30982">
      <w:pPr>
        <w:spacing w:line="360" w:lineRule="auto"/>
        <w:jc w:val="both"/>
      </w:pPr>
      <w:r w:rsidRPr="006A635C">
        <w:t xml:space="preserve">Mistry, P. and </w:t>
      </w:r>
      <w:proofErr w:type="spellStart"/>
      <w:r w:rsidRPr="006A635C">
        <w:t>Jabbal</w:t>
      </w:r>
      <w:proofErr w:type="spellEnd"/>
      <w:r w:rsidRPr="006A635C">
        <w:t xml:space="preserve">, J. (2023). </w:t>
      </w:r>
      <w:r w:rsidRPr="006A635C">
        <w:rPr>
          <w:i/>
          <w:iCs/>
        </w:rPr>
        <w:t>Moving from Exclusion to Inclusion in Digital Health and Care</w:t>
      </w:r>
      <w:r w:rsidRPr="006A635C">
        <w:t>.</w:t>
      </w:r>
      <w:r w:rsidR="007050EF">
        <w:t xml:space="preserve"> </w:t>
      </w:r>
      <w:r w:rsidRPr="006A635C">
        <w:t xml:space="preserve">The King’s Fund. Available at: </w:t>
      </w:r>
      <w:hyperlink r:id="rId21" w:history="1">
        <w:r w:rsidR="00177942" w:rsidRPr="006A635C">
          <w:rPr>
            <w:rStyle w:val="Hyperlink"/>
          </w:rPr>
          <w:t>https://www.kingsfund.org.uk/insight-and-analysis/long-reads/exclusion-inclusion-digital-health-care?utm_</w:t>
        </w:r>
      </w:hyperlink>
      <w:r w:rsidR="00177942">
        <w:t xml:space="preserve"> (</w:t>
      </w:r>
      <w:r w:rsidRPr="006A635C">
        <w:t xml:space="preserve">Accessed </w:t>
      </w:r>
      <w:r w:rsidR="000767D2">
        <w:t xml:space="preserve">10 </w:t>
      </w:r>
      <w:r w:rsidRPr="006A635C">
        <w:t>Nov. 2025</w:t>
      </w:r>
      <w:r w:rsidR="00177942">
        <w:t>)</w:t>
      </w:r>
      <w:r w:rsidRPr="006A635C">
        <w:t>.</w:t>
      </w:r>
    </w:p>
    <w:p w14:paraId="19B36E88" w14:textId="30FDDA24" w:rsidR="00015D25" w:rsidRPr="006A635C" w:rsidRDefault="00015D25" w:rsidP="00E30982">
      <w:pPr>
        <w:spacing w:line="360" w:lineRule="auto"/>
        <w:jc w:val="both"/>
      </w:pPr>
      <w:r w:rsidRPr="006A635C">
        <w:t xml:space="preserve">NHS (2021). </w:t>
      </w:r>
      <w:r w:rsidRPr="006A635C">
        <w:rPr>
          <w:i/>
          <w:iCs/>
        </w:rPr>
        <w:t>About the NHS App</w:t>
      </w:r>
      <w:r w:rsidRPr="006A635C">
        <w:t>.</w:t>
      </w:r>
      <w:r w:rsidR="00177942">
        <w:t xml:space="preserve"> </w:t>
      </w:r>
      <w:r w:rsidRPr="006A635C">
        <w:t xml:space="preserve">nhs.uk. Available at: </w:t>
      </w:r>
      <w:hyperlink r:id="rId22" w:history="1">
        <w:r w:rsidR="00177942" w:rsidRPr="006A635C">
          <w:rPr>
            <w:rStyle w:val="Hyperlink"/>
          </w:rPr>
          <w:t>https://www.nhs.uk/nhs-app/about-the-nhs-app/</w:t>
        </w:r>
      </w:hyperlink>
      <w:r w:rsidR="00177942">
        <w:t xml:space="preserve"> (</w:t>
      </w:r>
      <w:r w:rsidRPr="006A635C">
        <w:t>Accessed 10 Nov. 2025</w:t>
      </w:r>
      <w:r w:rsidR="00177942">
        <w:t>)</w:t>
      </w:r>
      <w:r w:rsidRPr="006A635C">
        <w:t>.</w:t>
      </w:r>
    </w:p>
    <w:p w14:paraId="13A42243" w14:textId="0C3FB36B" w:rsidR="00015D25" w:rsidRDefault="00015D25" w:rsidP="00E30982">
      <w:pPr>
        <w:spacing w:line="360" w:lineRule="auto"/>
        <w:jc w:val="both"/>
      </w:pPr>
      <w:r w:rsidRPr="006A635C">
        <w:t xml:space="preserve">NHS England (2014). </w:t>
      </w:r>
      <w:r w:rsidRPr="006A635C">
        <w:rPr>
          <w:i/>
          <w:iCs/>
        </w:rPr>
        <w:t>Five Year Forward View</w:t>
      </w:r>
      <w:r w:rsidRPr="006A635C">
        <w:t xml:space="preserve">. </w:t>
      </w:r>
      <w:r w:rsidRPr="006A635C">
        <w:rPr>
          <w:i/>
          <w:iCs/>
        </w:rPr>
        <w:t>NHS England</w:t>
      </w:r>
      <w:r w:rsidRPr="006A635C">
        <w:t xml:space="preserve">. London: NHS England. Available at: </w:t>
      </w:r>
      <w:hyperlink r:id="rId23" w:history="1">
        <w:r w:rsidR="00C40D68" w:rsidRPr="006A635C">
          <w:rPr>
            <w:rStyle w:val="Hyperlink"/>
          </w:rPr>
          <w:t>https://www.england.nhs.uk/wp-content/uploads/2014/10/5yfv-web.pdf</w:t>
        </w:r>
      </w:hyperlink>
      <w:r w:rsidR="00C40D68">
        <w:t xml:space="preserve"> </w:t>
      </w:r>
      <w:r w:rsidRPr="006A635C">
        <w:t xml:space="preserve"> </w:t>
      </w:r>
      <w:r w:rsidR="00C40D68">
        <w:t xml:space="preserve"> </w:t>
      </w:r>
      <w:r w:rsidR="00177942">
        <w:t>(</w:t>
      </w:r>
      <w:r w:rsidRPr="006A635C">
        <w:t>Accessed 9 Nov. 2025</w:t>
      </w:r>
      <w:r w:rsidR="00177942">
        <w:t>)</w:t>
      </w:r>
      <w:r w:rsidRPr="006A635C">
        <w:t>.</w:t>
      </w:r>
    </w:p>
    <w:p w14:paraId="1AC3296D" w14:textId="77777777" w:rsidR="00015D25" w:rsidRPr="00E30213" w:rsidRDefault="00015D25" w:rsidP="00E30982">
      <w:pPr>
        <w:spacing w:line="360" w:lineRule="auto"/>
        <w:jc w:val="both"/>
      </w:pPr>
      <w:r w:rsidRPr="00E30213">
        <w:t xml:space="preserve">NHS England (2018) </w:t>
      </w:r>
      <w:r w:rsidRPr="00544242">
        <w:rPr>
          <w:i/>
          <w:iCs/>
        </w:rPr>
        <w:t>Global Digital Exemplars.</w:t>
      </w:r>
      <w:r w:rsidRPr="00E30213">
        <w:t xml:space="preserve"> London: NHS England. Available at: </w:t>
      </w:r>
      <w:hyperlink r:id="rId24" w:tgtFrame="_new" w:history="1">
        <w:r w:rsidRPr="00E30213">
          <w:rPr>
            <w:rStyle w:val="Hyperlink"/>
          </w:rPr>
          <w:t>https://www.england.nhs.uk/digitaltechnology/connecteddigitalsystems/exemplars/</w:t>
        </w:r>
      </w:hyperlink>
      <w:r w:rsidRPr="00E30213">
        <w:t xml:space="preserve"> (Accessed: 4 November 2025).</w:t>
      </w:r>
    </w:p>
    <w:p w14:paraId="4C190035" w14:textId="49A8FB00" w:rsidR="00015D25" w:rsidRPr="006A635C" w:rsidRDefault="00015D25" w:rsidP="00E30982">
      <w:pPr>
        <w:spacing w:line="360" w:lineRule="auto"/>
        <w:jc w:val="both"/>
      </w:pPr>
      <w:r w:rsidRPr="006A635C">
        <w:t xml:space="preserve">NHS England (2019). </w:t>
      </w:r>
      <w:r w:rsidRPr="006A635C">
        <w:rPr>
          <w:i/>
          <w:iCs/>
        </w:rPr>
        <w:t>The NHS Long Term Plan</w:t>
      </w:r>
      <w:r w:rsidRPr="006A635C">
        <w:t xml:space="preserve">. </w:t>
      </w:r>
      <w:r w:rsidRPr="006A635C">
        <w:rPr>
          <w:i/>
          <w:iCs/>
        </w:rPr>
        <w:t>webarchive.nationalarchives.gov.uk</w:t>
      </w:r>
      <w:r w:rsidRPr="006A635C">
        <w:t xml:space="preserve">. Available at: </w:t>
      </w:r>
      <w:hyperlink r:id="rId25" w:history="1">
        <w:r w:rsidR="004D4048" w:rsidRPr="006A635C">
          <w:rPr>
            <w:rStyle w:val="Hyperlink"/>
          </w:rPr>
          <w:t>https://webarchive.nationalarchives.gov.uk/ukgwa/20230418120748mp_/https://www.longtermplan.nhs.uk/wp-content/uploads/2019/08/nhs-long-term-plan-version-1.2.pdf#page=1.00&amp;gsr=0</w:t>
        </w:r>
      </w:hyperlink>
      <w:r w:rsidR="004D4048">
        <w:t xml:space="preserve"> (</w:t>
      </w:r>
      <w:r w:rsidRPr="006A635C">
        <w:t>Accessed 9 Nov. 2025</w:t>
      </w:r>
      <w:r w:rsidR="004D4048">
        <w:t>)</w:t>
      </w:r>
      <w:r w:rsidRPr="006A635C">
        <w:t>.</w:t>
      </w:r>
    </w:p>
    <w:p w14:paraId="7629C146" w14:textId="4751C52C" w:rsidR="00015D25" w:rsidRPr="006A635C" w:rsidRDefault="00015D25" w:rsidP="00E30982">
      <w:pPr>
        <w:spacing w:line="360" w:lineRule="auto"/>
        <w:jc w:val="both"/>
      </w:pPr>
      <w:r w:rsidRPr="006A635C">
        <w:t xml:space="preserve">NHS England (2023a). </w:t>
      </w:r>
      <w:r w:rsidRPr="006A635C">
        <w:rPr>
          <w:i/>
          <w:iCs/>
        </w:rPr>
        <w:t>NHS England - Purpose of the GP Electronic Health Record</w:t>
      </w:r>
      <w:proofErr w:type="gramStart"/>
      <w:r w:rsidRPr="006A635C">
        <w:t xml:space="preserve">.  </w:t>
      </w:r>
      <w:proofErr w:type="gramEnd"/>
      <w:r w:rsidRPr="006A635C">
        <w:t xml:space="preserve">www.england.nhs.uk. Available at: </w:t>
      </w:r>
      <w:hyperlink r:id="rId26" w:history="1">
        <w:r w:rsidR="00BF021C" w:rsidRPr="006A635C">
          <w:rPr>
            <w:rStyle w:val="Hyperlink"/>
          </w:rPr>
          <w:t>https://www.england.nhs.uk/long-read/purpose-of-the-gp-electronic-health-record/</w:t>
        </w:r>
      </w:hyperlink>
      <w:r w:rsidR="00BF021C">
        <w:t xml:space="preserve"> (</w:t>
      </w:r>
      <w:r w:rsidRPr="006A635C">
        <w:t>Accessed 10 Nov. 2025</w:t>
      </w:r>
      <w:r w:rsidR="00BF021C">
        <w:t>)</w:t>
      </w:r>
      <w:r w:rsidRPr="006A635C">
        <w:t>.</w:t>
      </w:r>
    </w:p>
    <w:p w14:paraId="3AE89A55" w14:textId="43A088EE" w:rsidR="00015D25" w:rsidRPr="006A635C" w:rsidRDefault="00015D25" w:rsidP="00E30982">
      <w:pPr>
        <w:spacing w:line="360" w:lineRule="auto"/>
        <w:jc w:val="both"/>
      </w:pPr>
      <w:r w:rsidRPr="006A635C">
        <w:t xml:space="preserve">NHS England (2023b). </w:t>
      </w:r>
      <w:r w:rsidRPr="006A635C">
        <w:rPr>
          <w:i/>
          <w:iCs/>
        </w:rPr>
        <w:t>NHS England» NHS Long Term Workforce Plan</w:t>
      </w:r>
      <w:r w:rsidRPr="006A635C">
        <w:t xml:space="preserve">. England.nhs.uk. Available at: </w:t>
      </w:r>
      <w:hyperlink r:id="rId27" w:history="1">
        <w:r w:rsidR="00AA4CF6" w:rsidRPr="006A635C">
          <w:rPr>
            <w:rStyle w:val="Hyperlink"/>
          </w:rPr>
          <w:t>https://www.england.nhs.uk/long-read/nhs-long-term-workforce-plan-2/?utm_source=chatgpt.com</w:t>
        </w:r>
      </w:hyperlink>
      <w:r w:rsidR="00AA4CF6">
        <w:t xml:space="preserve"> </w:t>
      </w:r>
      <w:r w:rsidR="00BF021C">
        <w:t>(</w:t>
      </w:r>
      <w:r w:rsidRPr="006A635C">
        <w:t>Accessed 10 Nov. 2025</w:t>
      </w:r>
      <w:r w:rsidR="00BF021C">
        <w:t>)</w:t>
      </w:r>
      <w:r w:rsidRPr="006A635C">
        <w:t>.</w:t>
      </w:r>
    </w:p>
    <w:p w14:paraId="08758B1F" w14:textId="185B46C0" w:rsidR="00015D25" w:rsidRPr="006A635C" w:rsidRDefault="00015D25" w:rsidP="00E30982">
      <w:pPr>
        <w:spacing w:line="360" w:lineRule="auto"/>
        <w:jc w:val="both"/>
      </w:pPr>
      <w:r w:rsidRPr="006A635C">
        <w:t xml:space="preserve">NHS England (2023c). </w:t>
      </w:r>
      <w:r w:rsidRPr="006A635C">
        <w:rPr>
          <w:i/>
          <w:iCs/>
        </w:rPr>
        <w:t>NHS England» Shared Care Records</w:t>
      </w:r>
      <w:r w:rsidRPr="006A635C">
        <w:t xml:space="preserve">. England.nhs.uk. Available at: </w:t>
      </w:r>
      <w:hyperlink r:id="rId28" w:history="1">
        <w:r w:rsidR="00AA4CF6" w:rsidRPr="006A635C">
          <w:rPr>
            <w:rStyle w:val="Hyperlink"/>
          </w:rPr>
          <w:t>https://www.england.nhs.uk/long-read/shared-care-records/?utm_</w:t>
        </w:r>
      </w:hyperlink>
      <w:r w:rsidR="00AA4CF6">
        <w:t xml:space="preserve"> (</w:t>
      </w:r>
      <w:r w:rsidRPr="006A635C">
        <w:t>Accessed 14 Nov. 2025</w:t>
      </w:r>
      <w:r w:rsidR="00AA4CF6">
        <w:t>)</w:t>
      </w:r>
      <w:r w:rsidRPr="006A635C">
        <w:t>.</w:t>
      </w:r>
    </w:p>
    <w:p w14:paraId="2066C861" w14:textId="3337F0E2" w:rsidR="00015D25" w:rsidRPr="006A635C" w:rsidRDefault="00015D25" w:rsidP="00E30982">
      <w:pPr>
        <w:spacing w:line="360" w:lineRule="auto"/>
        <w:jc w:val="both"/>
      </w:pPr>
      <w:r w:rsidRPr="006A635C">
        <w:t>Provenzano, M.</w:t>
      </w:r>
      <w:r w:rsidR="005C4560">
        <w:t xml:space="preserve"> et al</w:t>
      </w:r>
      <w:r w:rsidRPr="006A635C">
        <w:t xml:space="preserve">. (2024). Electronic Health Record Adoption and Its Effects on Healthcare Staff: A Qualitative Study of Well-Being and Workplace Stress. </w:t>
      </w:r>
      <w:r w:rsidRPr="006A635C">
        <w:rPr>
          <w:i/>
          <w:iCs/>
        </w:rPr>
        <w:t>International Journal of Environmental Research and Public Health</w:t>
      </w:r>
      <w:r w:rsidRPr="006A635C">
        <w:t xml:space="preserve">, 21(11), pp.1430–1430. </w:t>
      </w:r>
      <w:hyperlink r:id="rId29" w:history="1">
        <w:r w:rsidR="005C4560" w:rsidRPr="006A635C">
          <w:rPr>
            <w:rStyle w:val="Hyperlink"/>
          </w:rPr>
          <w:t>https://doi.org/10.3390/ijerph21111430</w:t>
        </w:r>
      </w:hyperlink>
      <w:r w:rsidRPr="006A635C">
        <w:t>.</w:t>
      </w:r>
      <w:r w:rsidR="005C4560">
        <w:t xml:space="preserve"> </w:t>
      </w:r>
    </w:p>
    <w:p w14:paraId="2221F9D9" w14:textId="2285F5C2" w:rsidR="00015D25" w:rsidRPr="006A635C" w:rsidRDefault="00015D25" w:rsidP="00E30982">
      <w:pPr>
        <w:spacing w:line="360" w:lineRule="auto"/>
        <w:jc w:val="both"/>
      </w:pPr>
      <w:r w:rsidRPr="006A635C">
        <w:t xml:space="preserve">UK Government (2018). </w:t>
      </w:r>
      <w:r w:rsidRPr="006A635C">
        <w:rPr>
          <w:i/>
          <w:iCs/>
        </w:rPr>
        <w:t>Data Protection Act 2018</w:t>
      </w:r>
      <w:r w:rsidRPr="006A635C">
        <w:t xml:space="preserve">. </w:t>
      </w:r>
      <w:r w:rsidRPr="006A635C">
        <w:rPr>
          <w:i/>
          <w:iCs/>
        </w:rPr>
        <w:t>legislation.gov.uk</w:t>
      </w:r>
      <w:r w:rsidRPr="006A635C">
        <w:t xml:space="preserve">. Available at: </w:t>
      </w:r>
      <w:hyperlink r:id="rId30" w:history="1">
        <w:r w:rsidR="005C4560" w:rsidRPr="006A635C">
          <w:rPr>
            <w:rStyle w:val="Hyperlink"/>
          </w:rPr>
          <w:t>https://www.legislation.gov.uk/ukpga/2018/12/pdfs/ukpga_20180012_en.pdf</w:t>
        </w:r>
      </w:hyperlink>
      <w:r w:rsidR="005C4560">
        <w:t xml:space="preserve"> (</w:t>
      </w:r>
      <w:r w:rsidRPr="006A635C">
        <w:t xml:space="preserve">Accessed </w:t>
      </w:r>
      <w:r w:rsidR="00AA51C8">
        <w:t xml:space="preserve">02 </w:t>
      </w:r>
      <w:r w:rsidRPr="006A635C">
        <w:t>Nov. 2025</w:t>
      </w:r>
      <w:r w:rsidR="005C4560">
        <w:t>)</w:t>
      </w:r>
      <w:r w:rsidRPr="006A635C">
        <w:t>.</w:t>
      </w:r>
    </w:p>
    <w:p w14:paraId="59C0D2AE" w14:textId="77777777" w:rsidR="007E7F70" w:rsidRDefault="007E7F70" w:rsidP="00E30982">
      <w:pPr>
        <w:spacing w:line="360" w:lineRule="auto"/>
        <w:jc w:val="both"/>
      </w:pPr>
    </w:p>
    <w:p w14:paraId="2360D039" w14:textId="77777777" w:rsidR="001B1AB2" w:rsidRPr="00E30213" w:rsidRDefault="001B1AB2" w:rsidP="00E30213"/>
    <w:p w14:paraId="61129786" w14:textId="50F77707" w:rsidR="00E30213" w:rsidRDefault="00E30213" w:rsidP="00544242"/>
    <w:sectPr w:rsidR="00E30213" w:rsidSect="008771FB">
      <w:headerReference w:type="default" r:id="rId31"/>
      <w:footerReference w:type="default" r:id="rId32"/>
      <w:footerReference w:type="first" r:id="rId33"/>
      <w:pgSz w:w="11906" w:h="16838"/>
      <w:pgMar w:top="1440" w:right="1440" w:bottom="1440" w:left="1440"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95A99" w14:textId="77777777" w:rsidR="008265EC" w:rsidRDefault="008265EC" w:rsidP="008375B5">
      <w:pPr>
        <w:spacing w:after="0" w:line="240" w:lineRule="auto"/>
      </w:pPr>
      <w:r>
        <w:separator/>
      </w:r>
    </w:p>
  </w:endnote>
  <w:endnote w:type="continuationSeparator" w:id="0">
    <w:p w14:paraId="5FEFB3B1" w14:textId="77777777" w:rsidR="008265EC" w:rsidRDefault="008265EC"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EC8D1" w14:textId="77777777" w:rsidR="00A077A2" w:rsidRDefault="00A077A2">
    <w:pPr>
      <w:tabs>
        <w:tab w:val="center" w:pos="4550"/>
        <w:tab w:val="left" w:pos="5818"/>
      </w:tabs>
      <w:ind w:right="260"/>
      <w:jc w:val="right"/>
      <w:rPr>
        <w:color w:val="071320" w:themeColor="text2" w:themeShade="80"/>
      </w:rPr>
    </w:pPr>
    <w:r>
      <w:rPr>
        <w:color w:val="2C7FCE" w:themeColor="text2" w:themeTint="99"/>
        <w:spacing w:val="60"/>
      </w:rPr>
      <w:t>Page</w:t>
    </w:r>
    <w:r>
      <w:rPr>
        <w:color w:val="2C7FCE" w:themeColor="text2" w:themeTint="99"/>
      </w:rPr>
      <w:t xml:space="preserve"> </w:t>
    </w:r>
    <w:r>
      <w:rPr>
        <w:color w:val="0A1D30" w:themeColor="text2" w:themeShade="BF"/>
      </w:rPr>
      <w:fldChar w:fldCharType="begin"/>
    </w:r>
    <w:r>
      <w:rPr>
        <w:color w:val="0A1D30" w:themeColor="text2" w:themeShade="BF"/>
      </w:rPr>
      <w:instrText xml:space="preserve"> PAGE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r>
      <w:rPr>
        <w:color w:val="0A1D30" w:themeColor="text2" w:themeShade="BF"/>
      </w:rPr>
      <w:t xml:space="preserve"> | </w:t>
    </w:r>
    <w:r>
      <w:rPr>
        <w:color w:val="0A1D30" w:themeColor="text2" w:themeShade="BF"/>
      </w:rPr>
      <w:fldChar w:fldCharType="begin"/>
    </w:r>
    <w:r>
      <w:rPr>
        <w:color w:val="0A1D30" w:themeColor="text2" w:themeShade="BF"/>
      </w:rPr>
      <w:instrText xml:space="preserve"> NUMPAGES  \* Arabic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p>
  <w:p w14:paraId="07B6721E" w14:textId="77777777" w:rsidR="008375B5" w:rsidRDefault="008375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4932424"/>
      <w:docPartObj>
        <w:docPartGallery w:val="Page Numbers (Bottom of Page)"/>
        <w:docPartUnique/>
      </w:docPartObj>
    </w:sdtPr>
    <w:sdtEndPr>
      <w:rPr>
        <w:color w:val="7F7F7F" w:themeColor="background1" w:themeShade="7F"/>
        <w:spacing w:val="60"/>
      </w:rPr>
    </w:sdtEndPr>
    <w:sdtContent>
      <w:p w14:paraId="0978B609" w14:textId="2A5D6DC3" w:rsidR="00E30213" w:rsidRDefault="00E3021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2357FE7" w14:textId="77777777" w:rsidR="00E30213" w:rsidRDefault="00E302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E110D" w14:textId="77777777" w:rsidR="008265EC" w:rsidRDefault="008265EC" w:rsidP="008375B5">
      <w:pPr>
        <w:spacing w:after="0" w:line="240" w:lineRule="auto"/>
      </w:pPr>
      <w:r>
        <w:separator/>
      </w:r>
    </w:p>
  </w:footnote>
  <w:footnote w:type="continuationSeparator" w:id="0">
    <w:p w14:paraId="62875B80" w14:textId="77777777" w:rsidR="008265EC" w:rsidRDefault="008265EC" w:rsidP="008375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9CAE7" w14:textId="5A89CEDE" w:rsidR="002065F7" w:rsidRPr="002065F7" w:rsidRDefault="002065F7">
    <w:pPr>
      <w:pStyle w:val="Header"/>
      <w:rPr>
        <w:rFonts w:ascii="Arial" w:hAnsi="Arial" w:cs="Arial"/>
        <w:b/>
        <w:bCs/>
      </w:rPr>
    </w:pPr>
    <w:r w:rsidRPr="002065F7">
      <w:rPr>
        <w:rStyle w:val="Strong"/>
        <w:rFonts w:ascii="Arial" w:hAnsi="Arial" w:cs="Arial"/>
        <w:color w:val="1D2125"/>
      </w:rPr>
      <w:t>BMHP6026</w:t>
    </w:r>
    <w:r w:rsidRPr="002065F7">
      <w:rPr>
        <w:rFonts w:ascii="Arial" w:hAnsi="Arial" w:cs="Arial"/>
        <w:b/>
        <w:bCs/>
      </w:rPr>
      <w:ptab w:relativeTo="margin" w:alignment="center" w:leader="none"/>
    </w:r>
    <w:r w:rsidRPr="002065F7">
      <w:rPr>
        <w:rFonts w:ascii="Arial" w:hAnsi="Arial" w:cs="Arial"/>
        <w:b/>
        <w:bCs/>
      </w:rPr>
      <w:t>2245076</w:t>
    </w:r>
    <w:r w:rsidRPr="002065F7">
      <w:rPr>
        <w:rFonts w:ascii="Arial" w:hAnsi="Arial" w:cs="Arial"/>
        <w:b/>
        <w:bCs/>
      </w:rPr>
      <w:ptab w:relativeTo="margin" w:alignment="right" w:leader="none"/>
    </w:r>
    <w:r w:rsidRPr="002065F7">
      <w:rPr>
        <w:rFonts w:ascii="Arial" w:hAnsi="Arial" w:cs="Arial"/>
        <w:b/>
        <w:bCs/>
      </w:rPr>
      <w:t>Wahida Nagi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98481D"/>
    <w:multiLevelType w:val="hybridMultilevel"/>
    <w:tmpl w:val="9C562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0109961">
    <w:abstractNumId w:val="3"/>
  </w:num>
  <w:num w:numId="2" w16cid:durableId="1722706951">
    <w:abstractNumId w:val="4"/>
  </w:num>
  <w:num w:numId="3" w16cid:durableId="335810324">
    <w:abstractNumId w:val="5"/>
  </w:num>
  <w:num w:numId="4" w16cid:durableId="808743765">
    <w:abstractNumId w:val="0"/>
  </w:num>
  <w:num w:numId="5" w16cid:durableId="1356345100">
    <w:abstractNumId w:val="1"/>
  </w:num>
  <w:num w:numId="6" w16cid:durableId="409356113">
    <w:abstractNumId w:val="6"/>
  </w:num>
  <w:num w:numId="7" w16cid:durableId="1013411307">
    <w:abstractNumId w:val="7"/>
  </w:num>
  <w:num w:numId="8" w16cid:durableId="704909136">
    <w:abstractNumId w:val="8"/>
  </w:num>
  <w:num w:numId="9" w16cid:durableId="6390733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15D25"/>
    <w:rsid w:val="00074657"/>
    <w:rsid w:val="000767D2"/>
    <w:rsid w:val="000B04A5"/>
    <w:rsid w:val="000D791A"/>
    <w:rsid w:val="00124DD5"/>
    <w:rsid w:val="00141B54"/>
    <w:rsid w:val="00156D5F"/>
    <w:rsid w:val="00177942"/>
    <w:rsid w:val="001A115E"/>
    <w:rsid w:val="001B1AB2"/>
    <w:rsid w:val="002065F7"/>
    <w:rsid w:val="0022691F"/>
    <w:rsid w:val="00233D97"/>
    <w:rsid w:val="00244453"/>
    <w:rsid w:val="00252330"/>
    <w:rsid w:val="00255D51"/>
    <w:rsid w:val="00256805"/>
    <w:rsid w:val="002B4262"/>
    <w:rsid w:val="002C1C76"/>
    <w:rsid w:val="00302D7C"/>
    <w:rsid w:val="003A346C"/>
    <w:rsid w:val="003D79CA"/>
    <w:rsid w:val="003E2CF2"/>
    <w:rsid w:val="003E6E3B"/>
    <w:rsid w:val="00402E07"/>
    <w:rsid w:val="0041449E"/>
    <w:rsid w:val="0043376A"/>
    <w:rsid w:val="00444F1C"/>
    <w:rsid w:val="00454C14"/>
    <w:rsid w:val="0046065E"/>
    <w:rsid w:val="00465AB4"/>
    <w:rsid w:val="004B2E16"/>
    <w:rsid w:val="004D0B14"/>
    <w:rsid w:val="004D2466"/>
    <w:rsid w:val="004D4048"/>
    <w:rsid w:val="004E1896"/>
    <w:rsid w:val="004F5250"/>
    <w:rsid w:val="0053341B"/>
    <w:rsid w:val="00542165"/>
    <w:rsid w:val="00544242"/>
    <w:rsid w:val="0055044F"/>
    <w:rsid w:val="00554498"/>
    <w:rsid w:val="00556FF3"/>
    <w:rsid w:val="0058254B"/>
    <w:rsid w:val="00590AEB"/>
    <w:rsid w:val="005A37F1"/>
    <w:rsid w:val="005C4560"/>
    <w:rsid w:val="005D5307"/>
    <w:rsid w:val="005E7749"/>
    <w:rsid w:val="00625A31"/>
    <w:rsid w:val="006A635C"/>
    <w:rsid w:val="006E2A08"/>
    <w:rsid w:val="007050EF"/>
    <w:rsid w:val="00741D1A"/>
    <w:rsid w:val="007443B9"/>
    <w:rsid w:val="007618B0"/>
    <w:rsid w:val="007E7F70"/>
    <w:rsid w:val="007F2398"/>
    <w:rsid w:val="00801E53"/>
    <w:rsid w:val="00824F6D"/>
    <w:rsid w:val="008265EC"/>
    <w:rsid w:val="008375B5"/>
    <w:rsid w:val="00845213"/>
    <w:rsid w:val="00864257"/>
    <w:rsid w:val="008771FB"/>
    <w:rsid w:val="008821A3"/>
    <w:rsid w:val="008A3A44"/>
    <w:rsid w:val="008B148B"/>
    <w:rsid w:val="008E31E6"/>
    <w:rsid w:val="008E3813"/>
    <w:rsid w:val="00910843"/>
    <w:rsid w:val="0091650F"/>
    <w:rsid w:val="009170EA"/>
    <w:rsid w:val="00927F45"/>
    <w:rsid w:val="009334D8"/>
    <w:rsid w:val="009511A5"/>
    <w:rsid w:val="00955D0B"/>
    <w:rsid w:val="00956BC5"/>
    <w:rsid w:val="00987802"/>
    <w:rsid w:val="009B0334"/>
    <w:rsid w:val="009C208A"/>
    <w:rsid w:val="009C7112"/>
    <w:rsid w:val="009F2762"/>
    <w:rsid w:val="00A077A2"/>
    <w:rsid w:val="00A24E78"/>
    <w:rsid w:val="00A83D7B"/>
    <w:rsid w:val="00A875D4"/>
    <w:rsid w:val="00A9474F"/>
    <w:rsid w:val="00AA4CF6"/>
    <w:rsid w:val="00AA51C8"/>
    <w:rsid w:val="00AC2DCE"/>
    <w:rsid w:val="00AC3FDE"/>
    <w:rsid w:val="00AE26B3"/>
    <w:rsid w:val="00B06B51"/>
    <w:rsid w:val="00B17DE8"/>
    <w:rsid w:val="00B5223E"/>
    <w:rsid w:val="00BC4F80"/>
    <w:rsid w:val="00BE33DA"/>
    <w:rsid w:val="00BF021C"/>
    <w:rsid w:val="00C04D7A"/>
    <w:rsid w:val="00C40D68"/>
    <w:rsid w:val="00C508C4"/>
    <w:rsid w:val="00C80D0F"/>
    <w:rsid w:val="00C97A61"/>
    <w:rsid w:val="00CB043F"/>
    <w:rsid w:val="00CC1717"/>
    <w:rsid w:val="00CC7A9C"/>
    <w:rsid w:val="00D40915"/>
    <w:rsid w:val="00D46016"/>
    <w:rsid w:val="00D61473"/>
    <w:rsid w:val="00D9058C"/>
    <w:rsid w:val="00DA4C99"/>
    <w:rsid w:val="00DB1000"/>
    <w:rsid w:val="00DE466A"/>
    <w:rsid w:val="00DF2755"/>
    <w:rsid w:val="00DF5604"/>
    <w:rsid w:val="00E21D9B"/>
    <w:rsid w:val="00E2513E"/>
    <w:rsid w:val="00E30213"/>
    <w:rsid w:val="00E30982"/>
    <w:rsid w:val="00E437A9"/>
    <w:rsid w:val="00E80530"/>
    <w:rsid w:val="00F1236E"/>
    <w:rsid w:val="00F16997"/>
    <w:rsid w:val="00F356EF"/>
    <w:rsid w:val="00F45026"/>
    <w:rsid w:val="00FA2839"/>
    <w:rsid w:val="00FC2104"/>
    <w:rsid w:val="00FF3D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Hyperlink">
    <w:name w:val="Hyperlink"/>
    <w:basedOn w:val="DefaultParagraphFont"/>
    <w:uiPriority w:val="99"/>
    <w:unhideWhenUsed/>
    <w:rsid w:val="00E30213"/>
    <w:rPr>
      <w:color w:val="467886" w:themeColor="hyperlink"/>
      <w:u w:val="single"/>
    </w:rPr>
  </w:style>
  <w:style w:type="character" w:styleId="UnresolvedMention">
    <w:name w:val="Unresolved Mention"/>
    <w:basedOn w:val="DefaultParagraphFont"/>
    <w:uiPriority w:val="99"/>
    <w:semiHidden/>
    <w:unhideWhenUsed/>
    <w:rsid w:val="00E30213"/>
    <w:rPr>
      <w:color w:val="605E5C"/>
      <w:shd w:val="clear" w:color="auto" w:fill="E1DFDD"/>
    </w:rPr>
  </w:style>
  <w:style w:type="paragraph" w:styleId="TOCHeading">
    <w:name w:val="TOC Heading"/>
    <w:basedOn w:val="Heading1"/>
    <w:next w:val="Normal"/>
    <w:uiPriority w:val="39"/>
    <w:unhideWhenUsed/>
    <w:qFormat/>
    <w:rsid w:val="00E30213"/>
    <w:pPr>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rPr>
  </w:style>
  <w:style w:type="paragraph" w:styleId="TOC1">
    <w:name w:val="toc 1"/>
    <w:basedOn w:val="Normal"/>
    <w:next w:val="Normal"/>
    <w:autoRedefine/>
    <w:uiPriority w:val="39"/>
    <w:unhideWhenUsed/>
    <w:rsid w:val="00E30213"/>
    <w:pPr>
      <w:tabs>
        <w:tab w:val="right" w:leader="dot" w:pos="9016"/>
      </w:tabs>
      <w:spacing w:after="100"/>
    </w:pPr>
    <w:rPr>
      <w:rFonts w:ascii="Arial" w:hAnsi="Arial" w:cs="Arial"/>
      <w:b/>
      <w:bCs/>
      <w:noProof/>
    </w:rPr>
  </w:style>
  <w:style w:type="character" w:styleId="FollowedHyperlink">
    <w:name w:val="FollowedHyperlink"/>
    <w:basedOn w:val="DefaultParagraphFont"/>
    <w:uiPriority w:val="99"/>
    <w:semiHidden/>
    <w:unhideWhenUsed/>
    <w:rsid w:val="00B17DE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a-plan-for-digital-health-and-social-care/a-plan-for-digital-health-and-social-care" TargetMode="External"/><Relationship Id="rId18" Type="http://schemas.openxmlformats.org/officeDocument/2006/relationships/hyperlink" Target="https://doi.org/10.2196/37631" TargetMode="External"/><Relationship Id="rId26" Type="http://schemas.openxmlformats.org/officeDocument/2006/relationships/hyperlink" Target="https://www.england.nhs.uk/long-read/purpose-of-the-gp-electronic-health-record/" TargetMode="External"/><Relationship Id="rId3" Type="http://schemas.openxmlformats.org/officeDocument/2006/relationships/customXml" Target="../customXml/item3.xml"/><Relationship Id="rId21" Type="http://schemas.openxmlformats.org/officeDocument/2006/relationships/hyperlink" Target="https://www.kingsfund.org.uk/insight-and-analysis/long-reads/exclusion-inclusion-digital-health-care?utm_"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file:///C:\Users\biancasanfilippo\Library\Group%20Containers\UBF8T346G9.ms\WebArchiveCopyPasteTempFiles\com.microsoft.Word\UWTSD-Logo.jpg" TargetMode="External"/><Relationship Id="rId17" Type="http://schemas.openxmlformats.org/officeDocument/2006/relationships/hyperlink" Target="https://www.hfma.org.uk/system/files/2025-09/implementing-an-electronic-patient-record-9192.pdf" TargetMode="External"/><Relationship Id="rId25" Type="http://schemas.openxmlformats.org/officeDocument/2006/relationships/hyperlink" Target="https://webarchive.nationalarchives.gov.uk/ukgwa/20230418120748mp_/https://www.longtermplan.nhs.uk/wp-content/uploads/2019/08/nhs-long-term-plan-version-1.2.pdf#page=1.00&amp;gsr=0"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health.org.uk/reports-and-analysis/analysis/electronic-patient-records-nhs-strategy?utm_source=chatgpt.com" TargetMode="External"/><Relationship Id="rId20" Type="http://schemas.openxmlformats.org/officeDocument/2006/relationships/hyperlink" Target="https://medtechnews.uk/research-reports/digital-maturity-in-the-nhs-assessing-the-landscape-challenges-and-strategies-for-transformation/" TargetMode="External"/><Relationship Id="rId29" Type="http://schemas.openxmlformats.org/officeDocument/2006/relationships/hyperlink" Target="https://doi.org/10.3390/ijerph2111143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england.nhs.uk/digitaltechnology/connecteddigitalsystems/exemplars/?utm_source=chatgpt.com"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hee.nhs.uk/sites/default/files/Data%20Driven%20Healthcare%20in%202030%20-%20Full%20report%20-%20Mar%2021.pdf" TargetMode="External"/><Relationship Id="rId23" Type="http://schemas.openxmlformats.org/officeDocument/2006/relationships/hyperlink" Target="https://www.england.nhs.uk/wp-content/uploads/2014/10/5yfv-web.pdf" TargetMode="External"/><Relationship Id="rId28" Type="http://schemas.openxmlformats.org/officeDocument/2006/relationships/hyperlink" Target="https://www.england.nhs.uk/long-read/shared-care-records/?utm_" TargetMode="External"/><Relationship Id="rId10" Type="http://schemas.openxmlformats.org/officeDocument/2006/relationships/endnotes" Target="endnotes.xml"/><Relationship Id="rId19" Type="http://schemas.openxmlformats.org/officeDocument/2006/relationships/hyperlink" Target="https://doi.org/10.1186/s12911-019-0952-3"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10-year-health-plan-for-england-fit-for-the-future/fit-for-the-future-10-year-health-plan-for-england-executive-summary" TargetMode="External"/><Relationship Id="rId22" Type="http://schemas.openxmlformats.org/officeDocument/2006/relationships/hyperlink" Target="https://www.nhs.uk/nhs-app/about-the-nhs-app/" TargetMode="External"/><Relationship Id="rId27" Type="http://schemas.openxmlformats.org/officeDocument/2006/relationships/hyperlink" Target="https://www.england.nhs.uk/long-read/nhs-long-term-workforce-plan-2/?utm_source=chatgpt.com" TargetMode="External"/><Relationship Id="rId30" Type="http://schemas.openxmlformats.org/officeDocument/2006/relationships/hyperlink" Target="https://www.legislation.gov.uk/ukpga/2018/12/pdfs/ukpga_20180012_en.pdf"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9" ma:contentTypeDescription="Create a new document." ma:contentTypeScope="" ma:versionID="04ef5df98a6328c250d245e3e128eb1f">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a5436311100173d2024525befa6179e4"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6B6658CA-0D68-48C5-AD59-535872864918}">
  <ds:schemaRefs>
    <ds:schemaRef ds:uri="http://schemas.openxmlformats.org/officeDocument/2006/bibliography"/>
  </ds:schemaRefs>
</ds:datastoreItem>
</file>

<file path=customXml/itemProps2.xml><?xml version="1.0" encoding="utf-8"?>
<ds:datastoreItem xmlns:ds="http://schemas.openxmlformats.org/officeDocument/2006/customXml" ds:itemID="{258D96C6-0764-498C-91B0-AFCB91E42A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3DE0E3-CB35-4E91-B48D-0A87A80AA265}">
  <ds:schemaRefs>
    <ds:schemaRef ds:uri="http://schemas.microsoft.com/sharepoint/v3/contenttype/forms"/>
  </ds:schemaRefs>
</ds:datastoreItem>
</file>

<file path=customXml/itemProps4.xml><?xml version="1.0" encoding="utf-8"?>
<ds:datastoreItem xmlns:ds="http://schemas.openxmlformats.org/officeDocument/2006/customXml" ds:itemID="{FF6FC235-0094-4054-9C7B-3EB5C2C0E141}">
  <ds:schemaRefs>
    <ds:schemaRef ds:uri="http://schemas.microsoft.com/office/2006/metadata/properties"/>
    <ds:schemaRef ds:uri="http://www.w3.org/XML/1998/namespace"/>
    <ds:schemaRef ds:uri="http://purl.org/dc/terms/"/>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0ebdf10f-b5a3-45b6-acdb-7dc1eb398785"/>
    <ds:schemaRef ds:uri="550816ce-8156-4f45-b1c4-24236a73d01f"/>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3032</Words>
  <Characters>19744</Characters>
  <Application>Microsoft Office Word</Application>
  <DocSecurity>0</DocSecurity>
  <Lines>340</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22730</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Wahida Nagi (2245076)</cp:lastModifiedBy>
  <cp:revision>2</cp:revision>
  <dcterms:created xsi:type="dcterms:W3CDTF">2025-11-15T03:25:00Z</dcterms:created>
  <dcterms:modified xsi:type="dcterms:W3CDTF">2025-11-15T03:25:00Z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