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37517837"/>
        <w:docPartObj>
          <w:docPartGallery w:val="Cover Pages"/>
          <w:docPartUnique/>
        </w:docPartObj>
      </w:sdtPr>
      <w:sdtContent>
        <w:p w14:paraId="4D290712" w14:textId="6FF2876A" w:rsidR="00341421" w:rsidRDefault="00341421">
          <w:r>
            <w:rPr>
              <w:noProof/>
            </w:rPr>
            <mc:AlternateContent>
              <mc:Choice Requires="wpg">
                <w:drawing>
                  <wp:anchor distT="0" distB="0" distL="114300" distR="114300" simplePos="0" relativeHeight="251659264" behindDoc="1" locked="0" layoutInCell="1" allowOverlap="1" wp14:anchorId="3A011DF9" wp14:editId="7700A92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1C4D532" w14:textId="2CFEEB73" w:rsidR="00341421" w:rsidRDefault="00341421">
                                      <w:pPr>
                                        <w:pStyle w:val="NoSpacing"/>
                                        <w:spacing w:before="120"/>
                                        <w:jc w:val="center"/>
                                        <w:rPr>
                                          <w:color w:val="FFFFFF" w:themeColor="background1"/>
                                        </w:rPr>
                                      </w:pPr>
                                      <w:r>
                                        <w:rPr>
                                          <w:color w:val="FFFFFF" w:themeColor="background1"/>
                                        </w:rPr>
                                        <w:t>Serena Storton (2405566)</w:t>
                                      </w:r>
                                    </w:p>
                                  </w:sdtContent>
                                </w:sdt>
                                <w:p w14:paraId="47339AA8" w14:textId="5A992870" w:rsidR="00341421" w:rsidRDefault="0034142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341421">
                                        <w:rPr>
                                          <w:color w:val="FFFFFF" w:themeColor="background1"/>
                                        </w:rPr>
                                        <w:t>BMLC5009</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46005F2" w14:textId="37772938" w:rsidR="00341421" w:rsidRDefault="00341421">
                                      <w:pPr>
                                        <w:pStyle w:val="NoSpacing"/>
                                        <w:jc w:val="center"/>
                                        <w:rPr>
                                          <w:rFonts w:asciiTheme="majorHAnsi" w:eastAsiaTheme="majorEastAsia" w:hAnsiTheme="majorHAnsi" w:cstheme="majorBidi"/>
                                          <w:caps/>
                                          <w:color w:val="156082" w:themeColor="accent1"/>
                                          <w:sz w:val="72"/>
                                          <w:szCs w:val="72"/>
                                        </w:rPr>
                                      </w:pPr>
                                      <w:r w:rsidRPr="00341421">
                                        <w:rPr>
                                          <w:rFonts w:asciiTheme="majorHAnsi" w:eastAsiaTheme="majorEastAsia" w:hAnsiTheme="majorHAnsi" w:cstheme="majorBidi"/>
                                          <w:caps/>
                                          <w:color w:val="156082" w:themeColor="accent1"/>
                                          <w:sz w:val="72"/>
                                          <w:szCs w:val="72"/>
                                        </w:rPr>
                                        <w:t>Critically explore contemporary barriers to policing by consent.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A011DF9" id="Group 198"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1C4D532" w14:textId="2CFEEB73" w:rsidR="00341421" w:rsidRDefault="00341421">
                                <w:pPr>
                                  <w:pStyle w:val="NoSpacing"/>
                                  <w:spacing w:before="120"/>
                                  <w:jc w:val="center"/>
                                  <w:rPr>
                                    <w:color w:val="FFFFFF" w:themeColor="background1"/>
                                  </w:rPr>
                                </w:pPr>
                                <w:r>
                                  <w:rPr>
                                    <w:color w:val="FFFFFF" w:themeColor="background1"/>
                                  </w:rPr>
                                  <w:t>Serena Storton (2405566)</w:t>
                                </w:r>
                              </w:p>
                            </w:sdtContent>
                          </w:sdt>
                          <w:p w14:paraId="47339AA8" w14:textId="5A992870" w:rsidR="00341421" w:rsidRDefault="00341421">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Pr="00341421">
                                  <w:rPr>
                                    <w:color w:val="FFFFFF" w:themeColor="background1"/>
                                  </w:rPr>
                                  <w:t>BMLC5009</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46005F2" w14:textId="37772938" w:rsidR="00341421" w:rsidRDefault="00341421">
                                <w:pPr>
                                  <w:pStyle w:val="NoSpacing"/>
                                  <w:jc w:val="center"/>
                                  <w:rPr>
                                    <w:rFonts w:asciiTheme="majorHAnsi" w:eastAsiaTheme="majorEastAsia" w:hAnsiTheme="majorHAnsi" w:cstheme="majorBidi"/>
                                    <w:caps/>
                                    <w:color w:val="156082" w:themeColor="accent1"/>
                                    <w:sz w:val="72"/>
                                    <w:szCs w:val="72"/>
                                  </w:rPr>
                                </w:pPr>
                                <w:r w:rsidRPr="00341421">
                                  <w:rPr>
                                    <w:rFonts w:asciiTheme="majorHAnsi" w:eastAsiaTheme="majorEastAsia" w:hAnsiTheme="majorHAnsi" w:cstheme="majorBidi"/>
                                    <w:caps/>
                                    <w:color w:val="156082" w:themeColor="accent1"/>
                                    <w:sz w:val="72"/>
                                    <w:szCs w:val="72"/>
                                  </w:rPr>
                                  <w:t>Critically explore contemporary barriers to policing by consent.</w:t>
                                </w:r>
                              </w:p>
                            </w:sdtContent>
                          </w:sdt>
                        </w:txbxContent>
                      </v:textbox>
                    </v:shape>
                    <w10:wrap anchorx="page" anchory="page"/>
                  </v:group>
                </w:pict>
              </mc:Fallback>
            </mc:AlternateContent>
          </w:r>
        </w:p>
        <w:p w14:paraId="60CE2000" w14:textId="6D85EB69" w:rsidR="00341421" w:rsidRDefault="00341421">
          <w:r>
            <w:br w:type="page"/>
          </w:r>
        </w:p>
      </w:sdtContent>
    </w:sdt>
    <w:p w14:paraId="792FB05B" w14:textId="7841769E" w:rsidR="00341421" w:rsidRDefault="00341421">
      <w:r>
        <w:lastRenderedPageBreak/>
        <w:br w:type="page"/>
      </w:r>
    </w:p>
    <w:p w14:paraId="04CC25B6" w14:textId="59654E92" w:rsidR="00341421" w:rsidRPr="00341421" w:rsidRDefault="00341421" w:rsidP="00341421">
      <w:r w:rsidRPr="00341421">
        <w:lastRenderedPageBreak/>
        <w:t>Policing by consent remains one of the importances of policing in the UK. It represents an understanding in which the legitimacy of the police depends not </w:t>
      </w:r>
      <w:r w:rsidRPr="00341421">
        <w:t>solely</w:t>
      </w:r>
      <w:r w:rsidRPr="00341421">
        <w:t> on their capacity to enforce the law but on the consent and co-operation of the public that they serve for (Emsley,2024). In this study it will discuss the barriers to policing by consent to police misconduct and race and will touch upon gender barriers of policing by consent.   </w:t>
      </w:r>
    </w:p>
    <w:p w14:paraId="26CF7BD4" w14:textId="77777777" w:rsidR="00341421" w:rsidRPr="00341421" w:rsidRDefault="00341421" w:rsidP="00341421">
      <w:r w:rsidRPr="00341421">
        <w:t>The principles of policing by consent rests on the assumption that the authority of the police derives from the public's approval the legitimacy and co-operation of the fear or coercion. This distinguishes the police from authoritarian models that rely on state power and compulsion. The legitimacy of policing depends on the perception that the police act fairly, proportionately and has all interests of the citizens. Procedural justice is the sense that individuals are treated fairly and respectfully this is important to sustain consent (HM Inspectorate of Probation,2018). Citizens believe the police act with fairness and impartiality; they are more likely to comply with the law and co-operate with the enforcement. When the legitimacy is under minded, policing shifts from being consensual to coercive authority and taking their power to control others. In recent years a series of social and political developments have weakened the legitimacy, there so posing barriers to policing by consent (College of Policing,2025). </w:t>
      </w:r>
    </w:p>
    <w:p w14:paraId="00CE3D26" w14:textId="63C1CCD5" w:rsidR="00341421" w:rsidRDefault="00341421" w:rsidP="00341421">
      <w:r w:rsidRPr="00341421">
        <w:t>David Carrick was a serving officer in the Metropolitan Police; in 2023 he was sentenced to life imprisonment for dozens of serious sexual offences including multiple rapes and coercive control. These crimes were committed over nearly two decades, these offences were described by the judge that among the most serious cases of sexual violence in British criminal history. Carrick committed many of these crimes serving as a police officer in the metropolitan police force. He would often use his position and authority to intimidate these victims and avoid accountability (Kelly et al,2023).  The institutional response to Carrick's behaviour is prior to his convictions it revealed serious deficiencies in the police’s internal systems of vetting, discipline and oversight. Multiple allegations of controlling behaviour, domestic violence and misconduct were not investigated by the metropolitan police force (Kelly et al, 2023). According to Casey Review (2023), these failures exposed a lack of trust and hate towards the metropolitan police, in which police officers were often shieled from scrutiny. Carrick’s offences had reinforced the publics perceptions of policing as an organisation that protects its own members at the expense accountability. (Casey Review, 2023). Within Carrick's actions it must be understood within the broader context of gender and power within policing. His crimes occurred in the aftermath of the murder of Sarah Everard by another serving police officer in the Metropolitan police Wayne Couzens where it had already participated a major crisis of the confidence and trust in the police especially among women of the public.  David Carrick case compounded the perception that misogyny, abuse and sexism of authority were a problem in the policing environment. The pervasive culture of gender-</w:t>
      </w:r>
      <w:r w:rsidRPr="00341421">
        <w:lastRenderedPageBreak/>
        <w:t>based discrimination, inappropriate behaviour and harassment within the police. For many women both within the organisation and in the wider public, this shows that the police are completely structurally hostile to women (Casey Review,2023). This had made issues for public confidence, surveys conducted in 2023 showed significant decline in the women's trust within the police especially regarding to report a sexual or domestic violence (YouGov, 2023). Policing by consent is not merely challenged but is partially suspended as large segments of the population in the UK is no longer perceived the police as legitimate protectors. However, a balanced type of analysing must also acknowledge that the exposure of Carrick's crimes prompted significant institutional reflection and reform efforts. The Met police and the college of policing have implemented enhanced vetting procedures and re vetting for officers in the system (College of Policing,2023). Senior leadership and Mark Rowley (commissioner) have publicly realised that policing has failed women and has committed to cultural reform aim to restore this trust back with the women in the public (Metropolitan Police, 2024). Carrick’s actions inflicted substantial damage on the legitimacy of policing, so they also catalysed a process of institutional reckoning and reform. These measures may not be able to regain the trust in the community, but they illustrate that legitimacy can regenerate through account ability and transparency (Crown Prosecution Service,2022). After Carrick sentencing protestors gathered outside with placards and slogans stating, “who do we report to when the rapists are the police” (</w:t>
      </w:r>
      <w:proofErr w:type="spellStart"/>
      <w:r w:rsidRPr="00341421">
        <w:t>Snepvangers</w:t>
      </w:r>
      <w:proofErr w:type="spellEnd"/>
      <w:r w:rsidRPr="00341421">
        <w:t>, 2023). Organisations such as Women Against Rape and Women of Colour Global Women’s Strike were involved in the demonstration and using the case to draw attention to the broader issues of the police misconduct and failures in response to the gender-based violence (</w:t>
      </w:r>
      <w:proofErr w:type="spellStart"/>
      <w:r w:rsidRPr="00341421">
        <w:t>Snepvangers</w:t>
      </w:r>
      <w:proofErr w:type="spellEnd"/>
      <w:r w:rsidRPr="00341421">
        <w:t>, 2023).</w:t>
      </w:r>
      <w:r>
        <w:t xml:space="preserve"> This can be seen in gender barriers to, inequality and misogyny within policing by consent to women (Home Office,2012). What David Carrick did to those women make women perceive the police as either </w:t>
      </w:r>
      <w:proofErr w:type="spellStart"/>
      <w:r>
        <w:t>failingto</w:t>
      </w:r>
      <w:proofErr w:type="spellEnd"/>
      <w:r>
        <w:t xml:space="preserve"> protect them or as complicit in gender- based harm, the legitimacy upon which consent relies is critically under minded. </w:t>
      </w:r>
      <w:r w:rsidRPr="00341421">
        <w:t>These protests show society how Carrick’s case was seen as not only an individual's committing these traumatic offences to these victims, shows that he was an armed officer that had power to do what he was able to do. In their message they challenged the notion of trust in the police asking who protects them when the perpetrators are the officers.  the principles of policing by consent relies fundamentally on mutual trust and public co-operation. However, these elements </w:t>
      </w:r>
      <w:r w:rsidR="00950A7B" w:rsidRPr="00341421">
        <w:t>cannot</w:t>
      </w:r>
      <w:r w:rsidRPr="00341421">
        <w:t> be forgotten about when sections of the population perceive the police as corrupt. The instances of police misconduct that they had been abusing their power and making failures in accountability have been repeatedly damaged the societies trust. The high profiled cases of David Carrick and Wayne Couzens have not only exposed serious weaknesses but had made the public not wanting to come to an officer that might rape or kill them.  </w:t>
      </w:r>
    </w:p>
    <w:p w14:paraId="08BFD735" w14:textId="6BB415EE" w:rsidR="00341421" w:rsidRDefault="00341421" w:rsidP="00341421">
      <w:r>
        <w:t xml:space="preserve">However, the </w:t>
      </w:r>
      <w:r w:rsidR="00950A7B">
        <w:t>handling</w:t>
      </w:r>
      <w:r>
        <w:t xml:space="preserve"> of gender based violence cases such as rape, domestic violence and harassment has further </w:t>
      </w:r>
      <w:r w:rsidR="00950A7B">
        <w:t>weakened the confidence in women in reporting these crimes. Reports by HMICRFS (2021) found a wide spread of failures in how police respond to victims, including dismissive attitudes. When often report and are left disbelieved or neglected by the police, such failures contribute to the gendered legitimacy. Women have seen the David Carrick case along with others and they do not want to come forward and speak up due to the police not making them feel safe in the world that they cannot protect themselves without the guardianship of the police</w:t>
      </w:r>
    </w:p>
    <w:p w14:paraId="030C9913" w14:textId="3CC20F0E" w:rsidR="00341421" w:rsidRPr="00341421" w:rsidRDefault="00341421" w:rsidP="00341421">
      <w:r w:rsidRPr="00341421">
        <w:t>Racial inequality remains a major obstacle to policing by consent still in the 21</w:t>
      </w:r>
      <w:r w:rsidRPr="00341421">
        <w:rPr>
          <w:vertAlign w:val="superscript"/>
        </w:rPr>
        <w:t>st</w:t>
      </w:r>
      <w:r w:rsidRPr="00341421">
        <w:t xml:space="preserve"> century. The relationship between ethnic minority communities and the police has long been shaped by experiences of discrimination from policing and racial profiling (). The Macpherson Report in 1999 was investigated by the police and was handling the </w:t>
      </w:r>
      <w:r w:rsidRPr="00341421">
        <w:lastRenderedPageBreak/>
        <w:t>murder of Stephen Lawrence it concluded the Metropolitan Police, and they were named in the media as institutionally racist. This finding of the interpretation of the met police was due to the amounts of stop and searches, the use of force and the arrest rates. Data from the home office (2024) shows that black people in </w:t>
      </w:r>
      <w:r w:rsidR="00950A7B">
        <w:t>E</w:t>
      </w:r>
      <w:r w:rsidRPr="00341421">
        <w:t>ngland and </w:t>
      </w:r>
      <w:r w:rsidR="00950A7B">
        <w:t>W</w:t>
      </w:r>
      <w:r w:rsidRPr="00341421">
        <w:t>ales are over five times more likely to get stopped other than white people. Among the minority of black communities, they are treated as suspects rather than citizens (Gov.uk, 2021). This shows the perception of the ideal opposite of policing by consent. These patterns have profound implications for legitimacy in the police. Bradford et al. (2020) argues that the perception and fairness are the importance to the </w:t>
      </w:r>
      <w:r w:rsidR="00950A7B" w:rsidRPr="00341421">
        <w:t>public’s</w:t>
      </w:r>
      <w:r w:rsidRPr="00341421">
        <w:t> trust. When communities experience policing as unequal and coercive they are less likely to view the police as legitimate authorities. The public may withdraw co-operation and will fail to report these crimes or serve as a witness in a case due to their way of policing (Bradford et al, 2020).  Racialised policing manifests not only the extent of surveillance but also in insufficient protection. Minority black communities feel that they are over policed as suspects and under protected as victims (Bowling, Reiner and </w:t>
      </w:r>
      <w:proofErr w:type="spellStart"/>
      <w:r w:rsidRPr="00341421">
        <w:t>Sheptuchi</w:t>
      </w:r>
      <w:proofErr w:type="spellEnd"/>
      <w:r w:rsidRPr="00341421">
        <w:t xml:space="preserve">, 2019).  as for instance the police have a lot of historical events such as the Brixton riots (1981), Watts riots (1965) and the Black Lives Matter movement. This dynamic makes the black communities feel a deep mistrust in the police (Policing Tomorrow, 2025). Communities will see the police neither treat them fairly nor protect them effectively, they are less likely to see law enforcement as acting in their own interest (Policing Tomorrow, 2025). The composition and culture of the police also act as barriers to consent. Despite recruitment drives, ethical minorities remain underrepresented in policing (Home Office, 2023). This lack of diversity shows to be insensitive towards racial issues and perpetuates a culture dominated by White, male norms (Loftus,2009). A lack of awareness of community values and languages can lead to miscommunication and conflict the police encounters. When officer lack cultural competence, these interactions might otherwise build trust in the force and gain resilience in the public (Hanway and Hambly, 2023). Although there are these barriers with race in policing after the Macpherson Report (1999) there was recommended measures such as anti-racism training and improved recruitment diversity this made a greater accountability. the Lammy Review (2017) expanded on these concerns across the criminal justice system and started to advocate for transparency in decision making and community oversight. While these initiatives have been produced and there has been some improvements in the policing with racism critics argue that it has been a slow and uneven amount of time that they did this. Research shows that there are still racism, sexism and homophobia remaining in the police. While reform efforts indicate recognition of the problem there is only a small, limited success to the racial barriers to policing to consent (Hanway and Hambly, 2023). Race continues to pose a barrier to policing by consent in the UK. For minority communities the experience often reflects on inequality and bias rather than fairness and protection </w:t>
      </w:r>
      <w:r w:rsidRPr="00341421">
        <w:lastRenderedPageBreak/>
        <w:t>to the public. While there are reforms that have aimed to address these racial barriers, the meaningful progress requires structural transformation for cultural and organisational (HMRICFRS, 2023).  </w:t>
      </w:r>
    </w:p>
    <w:p w14:paraId="15591F36" w14:textId="745169DA" w:rsidR="00341421" w:rsidRDefault="00341421" w:rsidP="00341421">
      <w:r w:rsidRPr="00341421">
        <w:t xml:space="preserve">In conclusion, </w:t>
      </w:r>
      <w:r>
        <w:t>P</w:t>
      </w:r>
      <w:r w:rsidRPr="00341421">
        <w:t>olicing</w:t>
      </w:r>
      <w:r w:rsidRPr="00341421">
        <w:t xml:space="preserve"> by consent has raised a numerous issue throughout years. They are trying to improve these issues by putting reform in place, but society has made their decisions on past evidence and how they see the police in general. Social media has shown the public that the police are the criminals, and it is not just one individual there are a lot more that has been discussed in this study. Although there are bad, there are some good these barriers have come from certain number of individuals but not all. Police put this procedure in place to make sure that the public can gain their trust, and the public will be treated fairly. But as seen this </w:t>
      </w:r>
      <w:r w:rsidRPr="00341421">
        <w:t>cannot</w:t>
      </w:r>
      <w:r w:rsidRPr="00341421">
        <w:t xml:space="preserve"> be the case in policing by consent. The police need to restore more </w:t>
      </w:r>
      <w:r w:rsidRPr="00341421">
        <w:t>than</w:t>
      </w:r>
      <w:r w:rsidRPr="00341421">
        <w:t xml:space="preserve"> just procedural reform to continue to move on from these barriers, only through consistent fairness and accountability can public consent be meaningful rebuilt.  </w:t>
      </w:r>
    </w:p>
    <w:p w14:paraId="526B21BA" w14:textId="77777777" w:rsidR="00950A7B" w:rsidRDefault="00950A7B" w:rsidP="00341421"/>
    <w:p w14:paraId="6FB27901" w14:textId="77777777" w:rsidR="00950A7B" w:rsidRDefault="00950A7B" w:rsidP="00341421"/>
    <w:p w14:paraId="1FB2DF0C" w14:textId="77777777" w:rsidR="00950A7B" w:rsidRDefault="00950A7B" w:rsidP="00341421"/>
    <w:p w14:paraId="6A64B1A5" w14:textId="77777777" w:rsidR="00950A7B" w:rsidRDefault="00950A7B" w:rsidP="00341421"/>
    <w:p w14:paraId="7B987C3A" w14:textId="77777777" w:rsidR="00950A7B" w:rsidRDefault="00950A7B" w:rsidP="00341421"/>
    <w:p w14:paraId="4E1F05C2" w14:textId="77777777" w:rsidR="00950A7B" w:rsidRDefault="00950A7B" w:rsidP="00341421"/>
    <w:p w14:paraId="2A593EBF" w14:textId="77777777" w:rsidR="00950A7B" w:rsidRDefault="00950A7B" w:rsidP="00341421"/>
    <w:p w14:paraId="0339A52C" w14:textId="77777777" w:rsidR="00950A7B" w:rsidRDefault="00950A7B" w:rsidP="00341421"/>
    <w:p w14:paraId="00DD6678" w14:textId="77777777" w:rsidR="00950A7B" w:rsidRDefault="00950A7B" w:rsidP="00341421"/>
    <w:p w14:paraId="6C567A8F" w14:textId="256A246B" w:rsidR="00950A7B" w:rsidRPr="00950A7B" w:rsidRDefault="00950A7B" w:rsidP="00950A7B">
      <w:pPr>
        <w:rPr>
          <w:b/>
          <w:bCs/>
        </w:rPr>
      </w:pPr>
      <w:r>
        <w:rPr>
          <w:b/>
          <w:bCs/>
        </w:rPr>
        <w:t xml:space="preserve">References </w:t>
      </w:r>
    </w:p>
    <w:p w14:paraId="5EA2D844" w14:textId="515D6220" w:rsidR="00950A7B" w:rsidRDefault="00950A7B" w:rsidP="00950A7B">
      <w:r w:rsidRPr="00950A7B">
        <w:t>Bradford, B., Jackson, J. and Hough, M. (2020) ‘Trust and confidence in the police: A conceptual review’, </w:t>
      </w:r>
      <w:r w:rsidRPr="00950A7B">
        <w:rPr>
          <w:i/>
          <w:iCs/>
        </w:rPr>
        <w:t>Policing and Society</w:t>
      </w:r>
      <w:r w:rsidRPr="00950A7B">
        <w:t>, 30(4), pp. 375–394. </w:t>
      </w:r>
      <w:r w:rsidRPr="00950A7B">
        <w:br/>
        <w:t> </w:t>
      </w:r>
      <w:r w:rsidR="003C427B" w:rsidRPr="00950A7B">
        <w:t>Bowling, B. and Phillips, C. (2007) </w:t>
      </w:r>
      <w:r w:rsidR="003C427B" w:rsidRPr="00950A7B">
        <w:rPr>
          <w:i/>
          <w:iCs/>
        </w:rPr>
        <w:t>Disproportionate and Discriminatory: Reviewing the Evidence on Race and Policing</w:t>
      </w:r>
      <w:r w:rsidR="003C427B" w:rsidRPr="00950A7B">
        <w:t>. London: Home Office. </w:t>
      </w:r>
    </w:p>
    <w:p w14:paraId="411BF2A1" w14:textId="7C5EDF20" w:rsidR="00950A7B" w:rsidRDefault="00950A7B" w:rsidP="00950A7B">
      <w:r w:rsidRPr="00950A7B">
        <w:t>Casey, L. (2023) </w:t>
      </w:r>
      <w:r w:rsidRPr="00950A7B">
        <w:rPr>
          <w:i/>
          <w:iCs/>
        </w:rPr>
        <w:t>The Casey Review: An Independent Review into the Standards of Behaviour and Internal Culture of the Metropolitan Police Service</w:t>
      </w:r>
      <w:r w:rsidRPr="00950A7B">
        <w:t>. London: Home Office. </w:t>
      </w:r>
    </w:p>
    <w:p w14:paraId="2B7DC399" w14:textId="3E02F8F5" w:rsidR="00950A7B" w:rsidRDefault="00950A7B" w:rsidP="00950A7B">
      <w:r w:rsidRPr="00950A7B">
        <w:t>Casey, L. (2023) </w:t>
      </w:r>
      <w:r w:rsidRPr="00950A7B">
        <w:rPr>
          <w:i/>
          <w:iCs/>
        </w:rPr>
        <w:t>The Casey Review: An Independent Review into the Standards of Behaviour and Internal</w:t>
      </w:r>
      <w:r w:rsidRPr="00950A7B">
        <w:t> </w:t>
      </w:r>
    </w:p>
    <w:p w14:paraId="4CA89F7B" w14:textId="0A5CB3E6" w:rsidR="00950A7B" w:rsidRPr="00950A7B" w:rsidRDefault="00950A7B" w:rsidP="00950A7B">
      <w:r w:rsidRPr="00950A7B">
        <w:t xml:space="preserve">College of Policing. “Definitions | College of Policing.” </w:t>
      </w:r>
      <w:r w:rsidRPr="00950A7B">
        <w:rPr>
          <w:i/>
          <w:iCs/>
        </w:rPr>
        <w:t>College of Policing</w:t>
      </w:r>
      <w:r w:rsidRPr="00950A7B">
        <w:t xml:space="preserve">, Definitions | College of Policing, 22 Apr. 2025, </w:t>
      </w:r>
      <w:hyperlink r:id="rId8" w:history="1">
        <w:r w:rsidR="003C427B" w:rsidRPr="00950A7B">
          <w:rPr>
            <w:rStyle w:val="Hyperlink"/>
          </w:rPr>
          <w:t>www.college.police.uk/guidance/improving-public-confidence-police/definitions</w:t>
        </w:r>
      </w:hyperlink>
      <w:r w:rsidRPr="00950A7B">
        <w:t>.</w:t>
      </w:r>
      <w:r w:rsidR="003C427B">
        <w:t xml:space="preserve"> </w:t>
      </w:r>
    </w:p>
    <w:p w14:paraId="7BFB224C" w14:textId="5E10B7A6" w:rsidR="00950A7B" w:rsidRDefault="00950A7B" w:rsidP="00950A7B">
      <w:r w:rsidRPr="00950A7B">
        <w:t xml:space="preserve">Crown Prosecution Service. “How 13 Women’s Testimonies Secured the Fate of Serial Rapist David Carrick.” </w:t>
      </w:r>
      <w:r w:rsidRPr="00950A7B">
        <w:rPr>
          <w:i/>
          <w:iCs/>
        </w:rPr>
        <w:t>Www.cps.gov.uk</w:t>
      </w:r>
      <w:r w:rsidRPr="00950A7B">
        <w:t xml:space="preserve">, 2022, </w:t>
      </w:r>
      <w:hyperlink r:id="rId9" w:history="1">
        <w:r w:rsidRPr="00950A7B">
          <w:rPr>
            <w:rStyle w:val="Hyperlink"/>
          </w:rPr>
          <w:t>www.cps.gov.uk/stories/david-carrick</w:t>
        </w:r>
      </w:hyperlink>
      <w:r w:rsidRPr="00950A7B">
        <w:t>.</w:t>
      </w:r>
    </w:p>
    <w:p w14:paraId="2DA8BCB5" w14:textId="4D5E3573" w:rsidR="00950A7B" w:rsidRPr="00950A7B" w:rsidRDefault="00950A7B" w:rsidP="00950A7B">
      <w:r w:rsidRPr="00950A7B">
        <w:t>Emsley, C. (2014) </w:t>
      </w:r>
      <w:r w:rsidRPr="00950A7B">
        <w:rPr>
          <w:i/>
          <w:iCs/>
        </w:rPr>
        <w:t>The English Police: A Political and Social History</w:t>
      </w:r>
      <w:r w:rsidRPr="00950A7B">
        <w:t>. 4th </w:t>
      </w:r>
      <w:proofErr w:type="spellStart"/>
      <w:r w:rsidRPr="00950A7B">
        <w:t>edn</w:t>
      </w:r>
      <w:proofErr w:type="spellEnd"/>
      <w:r w:rsidRPr="00950A7B">
        <w:t>. London: Routledge. </w:t>
      </w:r>
    </w:p>
    <w:p w14:paraId="6C5FBE09" w14:textId="72439D84" w:rsidR="00950A7B" w:rsidRPr="00950A7B" w:rsidRDefault="00950A7B" w:rsidP="00950A7B">
      <w:r w:rsidRPr="00950A7B">
        <w:t xml:space="preserve">Gov.uk. “Crime and Policing.” </w:t>
      </w:r>
      <w:r w:rsidRPr="00950A7B">
        <w:rPr>
          <w:i/>
          <w:iCs/>
        </w:rPr>
        <w:t>GOV.UK</w:t>
      </w:r>
      <w:r w:rsidRPr="00950A7B">
        <w:t xml:space="preserve">, 28 Apr. 2021, </w:t>
      </w:r>
      <w:hyperlink r:id="rId10" w:history="1">
        <w:r w:rsidR="003C427B" w:rsidRPr="00950A7B">
          <w:rPr>
            <w:rStyle w:val="Hyperlink"/>
          </w:rPr>
          <w:t>www.gov.uk/government/publications/the-report-of-the-commission-on-race-and-ethnic-disparities/crime-and-policing</w:t>
        </w:r>
      </w:hyperlink>
      <w:r w:rsidRPr="00950A7B">
        <w:t>.</w:t>
      </w:r>
      <w:r w:rsidR="003C427B">
        <w:t xml:space="preserve"> </w:t>
      </w:r>
    </w:p>
    <w:p w14:paraId="300A45FF" w14:textId="351DB688" w:rsidR="00950A7B" w:rsidRPr="00950A7B" w:rsidRDefault="00950A7B" w:rsidP="00950A7B">
      <w:r w:rsidRPr="00950A7B">
        <w:t xml:space="preserve">Hanway, Pamela , and Olivia Hambly. “Public Perceptions of Policing: A Review of Research and Literature.” </w:t>
      </w:r>
      <w:r w:rsidRPr="00950A7B">
        <w:rPr>
          <w:i/>
          <w:iCs/>
        </w:rPr>
        <w:t>GOV.UK</w:t>
      </w:r>
      <w:r w:rsidRPr="00950A7B">
        <w:t xml:space="preserve">, Mar. 2023, </w:t>
      </w:r>
      <w:hyperlink r:id="rId11" w:history="1">
        <w:r w:rsidR="003C427B" w:rsidRPr="00950A7B">
          <w:rPr>
            <w:rStyle w:val="Hyperlink"/>
          </w:rPr>
          <w:t>www.gov.uk/government/publications/public-perceptions-of-policing-a-review-of-research-and-literature/public-perceptions-of-policing-a-review-of-research-and-literature</w:t>
        </w:r>
      </w:hyperlink>
      <w:r w:rsidRPr="00950A7B">
        <w:t>.</w:t>
      </w:r>
      <w:r w:rsidR="003C427B">
        <w:t xml:space="preserve"> </w:t>
      </w:r>
    </w:p>
    <w:p w14:paraId="152C22AD" w14:textId="4FF03F78" w:rsidR="00950A7B" w:rsidRPr="00950A7B" w:rsidRDefault="00950A7B" w:rsidP="00950A7B">
      <w:r w:rsidRPr="00950A7B">
        <w:t xml:space="preserve">HM Inspectorate of Probation. “Procedural Justice – HM Inspectorate of Probation.” </w:t>
      </w:r>
      <w:r w:rsidRPr="00950A7B">
        <w:rPr>
          <w:i/>
          <w:iCs/>
        </w:rPr>
        <w:t>Justiceinspectorates.gov.uk</w:t>
      </w:r>
      <w:r w:rsidRPr="00950A7B">
        <w:t>, 2018, hmiprobation.justiceinspectorates.gov.uk/our-research/evidence-base-probation-service/models-and-principles/procedural-justice/.</w:t>
      </w:r>
      <w:r w:rsidR="003C427B">
        <w:t xml:space="preserve"> </w:t>
      </w:r>
    </w:p>
    <w:p w14:paraId="593B14EC" w14:textId="4EBFC40C" w:rsidR="00950A7B" w:rsidRPr="00950A7B" w:rsidRDefault="00950A7B" w:rsidP="00950A7B">
      <w:r w:rsidRPr="00950A7B">
        <w:t xml:space="preserve">HMICFRS. “Race and Policing: An Inspection of Race Disparity in Police Criminal Justice Decision-Making.” </w:t>
      </w:r>
      <w:r w:rsidRPr="00950A7B">
        <w:rPr>
          <w:i/>
          <w:iCs/>
        </w:rPr>
        <w:t>His Majesty’s Inspectorate of Constabulary and Fire &amp; Rescue Services</w:t>
      </w:r>
      <w:r w:rsidRPr="00950A7B">
        <w:t>, 2023, hmicfrs.justiceinspectorates.gov.uk/publications/inspection-of-race-disparity-in-police-criminal-justice-decision-making/.</w:t>
      </w:r>
      <w:r w:rsidR="003C427B">
        <w:t xml:space="preserve"> </w:t>
      </w:r>
    </w:p>
    <w:p w14:paraId="4A9E85EA" w14:textId="1E82D19D" w:rsidR="00950A7B" w:rsidRDefault="00950A7B" w:rsidP="00950A7B">
      <w:r w:rsidRPr="00950A7B">
        <w:t xml:space="preserve">Kelly, June, et al. “David Carrick: The Serial Rapist and Abuser in a Police Uniform.” </w:t>
      </w:r>
      <w:r w:rsidRPr="00950A7B">
        <w:rPr>
          <w:i/>
          <w:iCs/>
        </w:rPr>
        <w:t>BBC News</w:t>
      </w:r>
      <w:r w:rsidRPr="00950A7B">
        <w:t xml:space="preserve">, 16 Jan. 2023, </w:t>
      </w:r>
      <w:hyperlink r:id="rId12" w:history="1">
        <w:r w:rsidRPr="00950A7B">
          <w:rPr>
            <w:rStyle w:val="Hyperlink"/>
          </w:rPr>
          <w:t>www.bbc.co.uk/news/uk-64283783</w:t>
        </w:r>
      </w:hyperlink>
      <w:r w:rsidRPr="00950A7B">
        <w:t>.</w:t>
      </w:r>
    </w:p>
    <w:p w14:paraId="4CBC6969" w14:textId="62151381" w:rsidR="00950A7B" w:rsidRDefault="00950A7B" w:rsidP="00950A7B">
      <w:r w:rsidRPr="00950A7B">
        <w:t>Lammy, D. (2017) </w:t>
      </w:r>
      <w:r w:rsidRPr="00950A7B">
        <w:rPr>
          <w:i/>
          <w:iCs/>
        </w:rPr>
        <w:t>The Lammy Review: An Independent Review into the Treatment of, and Outcomes for, Black, Asian and Minority Ethnic Individuals in the Criminal Justice System</w:t>
      </w:r>
      <w:r w:rsidRPr="00950A7B">
        <w:t>. London: Ministry of Justice. </w:t>
      </w:r>
    </w:p>
    <w:p w14:paraId="530B4F2D" w14:textId="54CB1D02" w:rsidR="00950A7B" w:rsidRPr="00950A7B" w:rsidRDefault="00950A7B" w:rsidP="00950A7B">
      <w:r w:rsidRPr="00950A7B">
        <w:t>Loftus, B. (2009) </w:t>
      </w:r>
      <w:r w:rsidRPr="00950A7B">
        <w:rPr>
          <w:i/>
          <w:iCs/>
        </w:rPr>
        <w:t>Police Culture in a Changing World</w:t>
      </w:r>
      <w:r w:rsidRPr="00950A7B">
        <w:t>. Oxford: Oxford University Press. </w:t>
      </w:r>
    </w:p>
    <w:p w14:paraId="3E84363A" w14:textId="77777777" w:rsidR="00950A7B" w:rsidRPr="00950A7B" w:rsidRDefault="00950A7B" w:rsidP="00950A7B">
      <w:r w:rsidRPr="00950A7B">
        <w:t xml:space="preserve">Pieter Snepvangers, and Lydia Spencer-Elliott. ““Who Do We Report to When the Rapists Are Police?”: Protestors Gather Outside David Carrick’s Sentencing.” </w:t>
      </w:r>
      <w:r w:rsidRPr="00950A7B">
        <w:rPr>
          <w:i/>
          <w:iCs/>
        </w:rPr>
        <w:t>The Tab</w:t>
      </w:r>
      <w:r w:rsidRPr="00950A7B">
        <w:t>, 6 Feb. 2023, thetab.com/2023/02/06/</w:t>
      </w:r>
      <w:proofErr w:type="spellStart"/>
      <w:r w:rsidRPr="00950A7B">
        <w:t>david</w:t>
      </w:r>
      <w:proofErr w:type="spellEnd"/>
      <w:r w:rsidRPr="00950A7B">
        <w:t>-</w:t>
      </w:r>
      <w:proofErr w:type="spellStart"/>
      <w:r w:rsidRPr="00950A7B">
        <w:t>carrick</w:t>
      </w:r>
      <w:proofErr w:type="spellEnd"/>
      <w:r w:rsidRPr="00950A7B">
        <w:t>-sentencing-protests? Accessed 7 Nov. 2025.</w:t>
      </w:r>
    </w:p>
    <w:p w14:paraId="71212F33" w14:textId="77777777" w:rsidR="00950A7B" w:rsidRPr="00950A7B" w:rsidRDefault="00950A7B" w:rsidP="00950A7B">
      <w:r w:rsidRPr="00950A7B">
        <w:t xml:space="preserve">Police, Metropolitan. “Commissioner Responds to Government’s Accountability Announcement.” </w:t>
      </w:r>
      <w:proofErr w:type="spellStart"/>
      <w:r w:rsidRPr="00950A7B">
        <w:rPr>
          <w:i/>
          <w:iCs/>
        </w:rPr>
        <w:t>Mynewsdesk</w:t>
      </w:r>
      <w:proofErr w:type="spellEnd"/>
      <w:r w:rsidRPr="00950A7B">
        <w:t>, Metropolitan Police, 23 Oct. 2024, news.met.police.uk/news/commissioner-responds-to-governments-accountability-announcement-489669.</w:t>
      </w:r>
    </w:p>
    <w:p w14:paraId="211CB975" w14:textId="2DD0D7F4" w:rsidR="00950A7B" w:rsidRDefault="00950A7B" w:rsidP="00950A7B">
      <w:r w:rsidRPr="00950A7B">
        <w:t xml:space="preserve">Tomorrow, Policing . “An Independent View: Rebuilding Trust and Confidence in Policing within Minority Communities.” </w:t>
      </w:r>
      <w:r w:rsidRPr="00950A7B">
        <w:rPr>
          <w:i/>
          <w:iCs/>
        </w:rPr>
        <w:t>Police.uk</w:t>
      </w:r>
      <w:r w:rsidRPr="00950A7B">
        <w:t>, 2025, magazine.science.police.uk/issue-2/an-independent-view-rebuilding-trust-and-confidence-in-policing-within-minority-communities/.</w:t>
      </w:r>
      <w:r w:rsidR="003C427B">
        <w:t xml:space="preserve"> </w:t>
      </w:r>
    </w:p>
    <w:p w14:paraId="4D1B2296" w14:textId="77777777" w:rsidR="00950A7B" w:rsidRPr="00950A7B" w:rsidRDefault="00950A7B" w:rsidP="00950A7B">
      <w:r w:rsidRPr="00950A7B">
        <w:t>YouGov (2023) </w:t>
      </w:r>
      <w:r w:rsidRPr="00950A7B">
        <w:rPr>
          <w:i/>
          <w:iCs/>
        </w:rPr>
        <w:t>Public Confidence in the Police Survey, March 2023</w:t>
      </w:r>
      <w:r w:rsidRPr="00950A7B">
        <w:t>. London: YouGov. </w:t>
      </w:r>
    </w:p>
    <w:p w14:paraId="69571706" w14:textId="77777777" w:rsidR="00950A7B" w:rsidRDefault="00950A7B" w:rsidP="00950A7B"/>
    <w:p w14:paraId="14C28512" w14:textId="77777777" w:rsidR="00950A7B" w:rsidRPr="00950A7B" w:rsidRDefault="00950A7B" w:rsidP="00950A7B"/>
    <w:p w14:paraId="3CABCBBC" w14:textId="77777777" w:rsidR="00950A7B" w:rsidRPr="00341421" w:rsidRDefault="00950A7B" w:rsidP="00341421"/>
    <w:p w14:paraId="027091F9" w14:textId="77777777" w:rsidR="00343BB7" w:rsidRDefault="00343BB7"/>
    <w:sectPr w:rsidR="00343BB7" w:rsidSect="0034142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1421"/>
    <w:rsid w:val="00341421"/>
    <w:rsid w:val="00343BB7"/>
    <w:rsid w:val="0039738A"/>
    <w:rsid w:val="003C427B"/>
    <w:rsid w:val="00887257"/>
    <w:rsid w:val="008B298D"/>
    <w:rsid w:val="00950A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E4498"/>
  <w15:chartTrackingRefBased/>
  <w15:docId w15:val="{56971232-187A-4CA0-AAA6-7047F91B17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4142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4142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142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142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142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142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142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142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142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142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4142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142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142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142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142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142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142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1421"/>
    <w:rPr>
      <w:rFonts w:eastAsiaTheme="majorEastAsia" w:cstheme="majorBidi"/>
      <w:color w:val="272727" w:themeColor="text1" w:themeTint="D8"/>
    </w:rPr>
  </w:style>
  <w:style w:type="paragraph" w:styleId="Title">
    <w:name w:val="Title"/>
    <w:basedOn w:val="Normal"/>
    <w:next w:val="Normal"/>
    <w:link w:val="TitleChar"/>
    <w:uiPriority w:val="10"/>
    <w:qFormat/>
    <w:rsid w:val="0034142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142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142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142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1421"/>
    <w:pPr>
      <w:spacing w:before="160"/>
      <w:jc w:val="center"/>
    </w:pPr>
    <w:rPr>
      <w:i/>
      <w:iCs/>
      <w:color w:val="404040" w:themeColor="text1" w:themeTint="BF"/>
    </w:rPr>
  </w:style>
  <w:style w:type="character" w:customStyle="1" w:styleId="QuoteChar">
    <w:name w:val="Quote Char"/>
    <w:basedOn w:val="DefaultParagraphFont"/>
    <w:link w:val="Quote"/>
    <w:uiPriority w:val="29"/>
    <w:rsid w:val="00341421"/>
    <w:rPr>
      <w:i/>
      <w:iCs/>
      <w:color w:val="404040" w:themeColor="text1" w:themeTint="BF"/>
    </w:rPr>
  </w:style>
  <w:style w:type="paragraph" w:styleId="ListParagraph">
    <w:name w:val="List Paragraph"/>
    <w:basedOn w:val="Normal"/>
    <w:uiPriority w:val="34"/>
    <w:qFormat/>
    <w:rsid w:val="00341421"/>
    <w:pPr>
      <w:ind w:left="720"/>
      <w:contextualSpacing/>
    </w:pPr>
  </w:style>
  <w:style w:type="character" w:styleId="IntenseEmphasis">
    <w:name w:val="Intense Emphasis"/>
    <w:basedOn w:val="DefaultParagraphFont"/>
    <w:uiPriority w:val="21"/>
    <w:qFormat/>
    <w:rsid w:val="00341421"/>
    <w:rPr>
      <w:i/>
      <w:iCs/>
      <w:color w:val="0F4761" w:themeColor="accent1" w:themeShade="BF"/>
    </w:rPr>
  </w:style>
  <w:style w:type="paragraph" w:styleId="IntenseQuote">
    <w:name w:val="Intense Quote"/>
    <w:basedOn w:val="Normal"/>
    <w:next w:val="Normal"/>
    <w:link w:val="IntenseQuoteChar"/>
    <w:uiPriority w:val="30"/>
    <w:qFormat/>
    <w:rsid w:val="0034142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1421"/>
    <w:rPr>
      <w:i/>
      <w:iCs/>
      <w:color w:val="0F4761" w:themeColor="accent1" w:themeShade="BF"/>
    </w:rPr>
  </w:style>
  <w:style w:type="character" w:styleId="IntenseReference">
    <w:name w:val="Intense Reference"/>
    <w:basedOn w:val="DefaultParagraphFont"/>
    <w:uiPriority w:val="32"/>
    <w:qFormat/>
    <w:rsid w:val="00341421"/>
    <w:rPr>
      <w:b/>
      <w:bCs/>
      <w:smallCaps/>
      <w:color w:val="0F4761" w:themeColor="accent1" w:themeShade="BF"/>
      <w:spacing w:val="5"/>
    </w:rPr>
  </w:style>
  <w:style w:type="paragraph" w:styleId="NoSpacing">
    <w:name w:val="No Spacing"/>
    <w:link w:val="NoSpacingChar"/>
    <w:uiPriority w:val="1"/>
    <w:qFormat/>
    <w:rsid w:val="0034142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341421"/>
    <w:rPr>
      <w:rFonts w:eastAsiaTheme="minorEastAsia"/>
      <w:kern w:val="0"/>
      <w:sz w:val="22"/>
      <w:szCs w:val="22"/>
      <w:lang w:eastAsia="en-GB"/>
      <w14:ligatures w14:val="none"/>
    </w:rPr>
  </w:style>
  <w:style w:type="character" w:styleId="Hyperlink">
    <w:name w:val="Hyperlink"/>
    <w:basedOn w:val="DefaultParagraphFont"/>
    <w:uiPriority w:val="99"/>
    <w:unhideWhenUsed/>
    <w:rsid w:val="00950A7B"/>
    <w:rPr>
      <w:color w:val="467886" w:themeColor="hyperlink"/>
      <w:u w:val="single"/>
    </w:rPr>
  </w:style>
  <w:style w:type="character" w:styleId="UnresolvedMention">
    <w:name w:val="Unresolved Mention"/>
    <w:basedOn w:val="DefaultParagraphFont"/>
    <w:uiPriority w:val="99"/>
    <w:semiHidden/>
    <w:unhideWhenUsed/>
    <w:rsid w:val="00950A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441954">
      <w:bodyDiv w:val="1"/>
      <w:marLeft w:val="0"/>
      <w:marRight w:val="0"/>
      <w:marTop w:val="0"/>
      <w:marBottom w:val="0"/>
      <w:divBdr>
        <w:top w:val="none" w:sz="0" w:space="0" w:color="auto"/>
        <w:left w:val="none" w:sz="0" w:space="0" w:color="auto"/>
        <w:bottom w:val="none" w:sz="0" w:space="0" w:color="auto"/>
        <w:right w:val="none" w:sz="0" w:space="0" w:color="auto"/>
      </w:divBdr>
      <w:divsChild>
        <w:div w:id="1638337477">
          <w:marLeft w:val="0"/>
          <w:marRight w:val="0"/>
          <w:marTop w:val="0"/>
          <w:marBottom w:val="0"/>
          <w:divBdr>
            <w:top w:val="none" w:sz="0" w:space="0" w:color="auto"/>
            <w:left w:val="none" w:sz="0" w:space="0" w:color="auto"/>
            <w:bottom w:val="none" w:sz="0" w:space="0" w:color="auto"/>
            <w:right w:val="none" w:sz="0" w:space="0" w:color="auto"/>
          </w:divBdr>
        </w:div>
        <w:div w:id="394553133">
          <w:marLeft w:val="0"/>
          <w:marRight w:val="0"/>
          <w:marTop w:val="0"/>
          <w:marBottom w:val="0"/>
          <w:divBdr>
            <w:top w:val="none" w:sz="0" w:space="0" w:color="auto"/>
            <w:left w:val="none" w:sz="0" w:space="0" w:color="auto"/>
            <w:bottom w:val="none" w:sz="0" w:space="0" w:color="auto"/>
            <w:right w:val="none" w:sz="0" w:space="0" w:color="auto"/>
          </w:divBdr>
        </w:div>
        <w:div w:id="1211726795">
          <w:marLeft w:val="0"/>
          <w:marRight w:val="0"/>
          <w:marTop w:val="0"/>
          <w:marBottom w:val="0"/>
          <w:divBdr>
            <w:top w:val="none" w:sz="0" w:space="0" w:color="auto"/>
            <w:left w:val="none" w:sz="0" w:space="0" w:color="auto"/>
            <w:bottom w:val="none" w:sz="0" w:space="0" w:color="auto"/>
            <w:right w:val="none" w:sz="0" w:space="0" w:color="auto"/>
          </w:divBdr>
        </w:div>
        <w:div w:id="1010181083">
          <w:marLeft w:val="0"/>
          <w:marRight w:val="0"/>
          <w:marTop w:val="0"/>
          <w:marBottom w:val="0"/>
          <w:divBdr>
            <w:top w:val="none" w:sz="0" w:space="0" w:color="auto"/>
            <w:left w:val="none" w:sz="0" w:space="0" w:color="auto"/>
            <w:bottom w:val="none" w:sz="0" w:space="0" w:color="auto"/>
            <w:right w:val="none" w:sz="0" w:space="0" w:color="auto"/>
          </w:divBdr>
        </w:div>
        <w:div w:id="585193902">
          <w:marLeft w:val="0"/>
          <w:marRight w:val="0"/>
          <w:marTop w:val="0"/>
          <w:marBottom w:val="0"/>
          <w:divBdr>
            <w:top w:val="none" w:sz="0" w:space="0" w:color="auto"/>
            <w:left w:val="none" w:sz="0" w:space="0" w:color="auto"/>
            <w:bottom w:val="none" w:sz="0" w:space="0" w:color="auto"/>
            <w:right w:val="none" w:sz="0" w:space="0" w:color="auto"/>
          </w:divBdr>
        </w:div>
      </w:divsChild>
    </w:div>
    <w:div w:id="77672689">
      <w:bodyDiv w:val="1"/>
      <w:marLeft w:val="0"/>
      <w:marRight w:val="0"/>
      <w:marTop w:val="0"/>
      <w:marBottom w:val="0"/>
      <w:divBdr>
        <w:top w:val="none" w:sz="0" w:space="0" w:color="auto"/>
        <w:left w:val="none" w:sz="0" w:space="0" w:color="auto"/>
        <w:bottom w:val="none" w:sz="0" w:space="0" w:color="auto"/>
        <w:right w:val="none" w:sz="0" w:space="0" w:color="auto"/>
      </w:divBdr>
    </w:div>
    <w:div w:id="491989005">
      <w:bodyDiv w:val="1"/>
      <w:marLeft w:val="0"/>
      <w:marRight w:val="0"/>
      <w:marTop w:val="0"/>
      <w:marBottom w:val="0"/>
      <w:divBdr>
        <w:top w:val="none" w:sz="0" w:space="0" w:color="auto"/>
        <w:left w:val="none" w:sz="0" w:space="0" w:color="auto"/>
        <w:bottom w:val="none" w:sz="0" w:space="0" w:color="auto"/>
        <w:right w:val="none" w:sz="0" w:space="0" w:color="auto"/>
      </w:divBdr>
      <w:divsChild>
        <w:div w:id="1190411920">
          <w:marLeft w:val="0"/>
          <w:marRight w:val="0"/>
          <w:marTop w:val="0"/>
          <w:marBottom w:val="0"/>
          <w:divBdr>
            <w:top w:val="none" w:sz="0" w:space="0" w:color="auto"/>
            <w:left w:val="none" w:sz="0" w:space="0" w:color="auto"/>
            <w:bottom w:val="none" w:sz="0" w:space="0" w:color="auto"/>
            <w:right w:val="none" w:sz="0" w:space="0" w:color="auto"/>
          </w:divBdr>
        </w:div>
        <w:div w:id="963267315">
          <w:marLeft w:val="0"/>
          <w:marRight w:val="0"/>
          <w:marTop w:val="0"/>
          <w:marBottom w:val="0"/>
          <w:divBdr>
            <w:top w:val="none" w:sz="0" w:space="0" w:color="auto"/>
            <w:left w:val="none" w:sz="0" w:space="0" w:color="auto"/>
            <w:bottom w:val="none" w:sz="0" w:space="0" w:color="auto"/>
            <w:right w:val="none" w:sz="0" w:space="0" w:color="auto"/>
          </w:divBdr>
        </w:div>
        <w:div w:id="1513714456">
          <w:marLeft w:val="0"/>
          <w:marRight w:val="0"/>
          <w:marTop w:val="0"/>
          <w:marBottom w:val="0"/>
          <w:divBdr>
            <w:top w:val="none" w:sz="0" w:space="0" w:color="auto"/>
            <w:left w:val="none" w:sz="0" w:space="0" w:color="auto"/>
            <w:bottom w:val="none" w:sz="0" w:space="0" w:color="auto"/>
            <w:right w:val="none" w:sz="0" w:space="0" w:color="auto"/>
          </w:divBdr>
        </w:div>
        <w:div w:id="457458053">
          <w:marLeft w:val="0"/>
          <w:marRight w:val="0"/>
          <w:marTop w:val="0"/>
          <w:marBottom w:val="0"/>
          <w:divBdr>
            <w:top w:val="none" w:sz="0" w:space="0" w:color="auto"/>
            <w:left w:val="none" w:sz="0" w:space="0" w:color="auto"/>
            <w:bottom w:val="none" w:sz="0" w:space="0" w:color="auto"/>
            <w:right w:val="none" w:sz="0" w:space="0" w:color="auto"/>
          </w:divBdr>
        </w:div>
        <w:div w:id="523985367">
          <w:marLeft w:val="0"/>
          <w:marRight w:val="0"/>
          <w:marTop w:val="0"/>
          <w:marBottom w:val="0"/>
          <w:divBdr>
            <w:top w:val="none" w:sz="0" w:space="0" w:color="auto"/>
            <w:left w:val="none" w:sz="0" w:space="0" w:color="auto"/>
            <w:bottom w:val="none" w:sz="0" w:space="0" w:color="auto"/>
            <w:right w:val="none" w:sz="0" w:space="0" w:color="auto"/>
          </w:divBdr>
        </w:div>
        <w:div w:id="680159175">
          <w:marLeft w:val="0"/>
          <w:marRight w:val="0"/>
          <w:marTop w:val="0"/>
          <w:marBottom w:val="0"/>
          <w:divBdr>
            <w:top w:val="none" w:sz="0" w:space="0" w:color="auto"/>
            <w:left w:val="none" w:sz="0" w:space="0" w:color="auto"/>
            <w:bottom w:val="none" w:sz="0" w:space="0" w:color="auto"/>
            <w:right w:val="none" w:sz="0" w:space="0" w:color="auto"/>
          </w:divBdr>
        </w:div>
        <w:div w:id="1680696321">
          <w:marLeft w:val="0"/>
          <w:marRight w:val="0"/>
          <w:marTop w:val="0"/>
          <w:marBottom w:val="0"/>
          <w:divBdr>
            <w:top w:val="none" w:sz="0" w:space="0" w:color="auto"/>
            <w:left w:val="none" w:sz="0" w:space="0" w:color="auto"/>
            <w:bottom w:val="none" w:sz="0" w:space="0" w:color="auto"/>
            <w:right w:val="none" w:sz="0" w:space="0" w:color="auto"/>
          </w:divBdr>
        </w:div>
        <w:div w:id="514539071">
          <w:marLeft w:val="0"/>
          <w:marRight w:val="0"/>
          <w:marTop w:val="0"/>
          <w:marBottom w:val="0"/>
          <w:divBdr>
            <w:top w:val="none" w:sz="0" w:space="0" w:color="auto"/>
            <w:left w:val="none" w:sz="0" w:space="0" w:color="auto"/>
            <w:bottom w:val="none" w:sz="0" w:space="0" w:color="auto"/>
            <w:right w:val="none" w:sz="0" w:space="0" w:color="auto"/>
          </w:divBdr>
        </w:div>
      </w:divsChild>
    </w:div>
    <w:div w:id="1543593848">
      <w:bodyDiv w:val="1"/>
      <w:marLeft w:val="0"/>
      <w:marRight w:val="0"/>
      <w:marTop w:val="0"/>
      <w:marBottom w:val="0"/>
      <w:divBdr>
        <w:top w:val="none" w:sz="0" w:space="0" w:color="auto"/>
        <w:left w:val="none" w:sz="0" w:space="0" w:color="auto"/>
        <w:bottom w:val="none" w:sz="0" w:space="0" w:color="auto"/>
        <w:right w:val="none" w:sz="0" w:space="0" w:color="auto"/>
      </w:divBdr>
      <w:divsChild>
        <w:div w:id="2029747785">
          <w:marLeft w:val="0"/>
          <w:marRight w:val="0"/>
          <w:marTop w:val="0"/>
          <w:marBottom w:val="0"/>
          <w:divBdr>
            <w:top w:val="none" w:sz="0" w:space="0" w:color="auto"/>
            <w:left w:val="none" w:sz="0" w:space="0" w:color="auto"/>
            <w:bottom w:val="none" w:sz="0" w:space="0" w:color="auto"/>
            <w:right w:val="none" w:sz="0" w:space="0" w:color="auto"/>
          </w:divBdr>
        </w:div>
        <w:div w:id="1833376338">
          <w:marLeft w:val="0"/>
          <w:marRight w:val="0"/>
          <w:marTop w:val="0"/>
          <w:marBottom w:val="0"/>
          <w:divBdr>
            <w:top w:val="none" w:sz="0" w:space="0" w:color="auto"/>
            <w:left w:val="none" w:sz="0" w:space="0" w:color="auto"/>
            <w:bottom w:val="none" w:sz="0" w:space="0" w:color="auto"/>
            <w:right w:val="none" w:sz="0" w:space="0" w:color="auto"/>
          </w:divBdr>
        </w:div>
        <w:div w:id="1545404834">
          <w:marLeft w:val="0"/>
          <w:marRight w:val="0"/>
          <w:marTop w:val="0"/>
          <w:marBottom w:val="0"/>
          <w:divBdr>
            <w:top w:val="none" w:sz="0" w:space="0" w:color="auto"/>
            <w:left w:val="none" w:sz="0" w:space="0" w:color="auto"/>
            <w:bottom w:val="none" w:sz="0" w:space="0" w:color="auto"/>
            <w:right w:val="none" w:sz="0" w:space="0" w:color="auto"/>
          </w:divBdr>
        </w:div>
        <w:div w:id="1047149698">
          <w:marLeft w:val="0"/>
          <w:marRight w:val="0"/>
          <w:marTop w:val="0"/>
          <w:marBottom w:val="0"/>
          <w:divBdr>
            <w:top w:val="none" w:sz="0" w:space="0" w:color="auto"/>
            <w:left w:val="none" w:sz="0" w:space="0" w:color="auto"/>
            <w:bottom w:val="none" w:sz="0" w:space="0" w:color="auto"/>
            <w:right w:val="none" w:sz="0" w:space="0" w:color="auto"/>
          </w:divBdr>
        </w:div>
        <w:div w:id="1359240177">
          <w:marLeft w:val="0"/>
          <w:marRight w:val="0"/>
          <w:marTop w:val="0"/>
          <w:marBottom w:val="0"/>
          <w:divBdr>
            <w:top w:val="none" w:sz="0" w:space="0" w:color="auto"/>
            <w:left w:val="none" w:sz="0" w:space="0" w:color="auto"/>
            <w:bottom w:val="none" w:sz="0" w:space="0" w:color="auto"/>
            <w:right w:val="none" w:sz="0" w:space="0" w:color="auto"/>
          </w:divBdr>
        </w:div>
      </w:divsChild>
    </w:div>
    <w:div w:id="1675763808">
      <w:bodyDiv w:val="1"/>
      <w:marLeft w:val="0"/>
      <w:marRight w:val="0"/>
      <w:marTop w:val="0"/>
      <w:marBottom w:val="0"/>
      <w:divBdr>
        <w:top w:val="none" w:sz="0" w:space="0" w:color="auto"/>
        <w:left w:val="none" w:sz="0" w:space="0" w:color="auto"/>
        <w:bottom w:val="none" w:sz="0" w:space="0" w:color="auto"/>
        <w:right w:val="none" w:sz="0" w:space="0" w:color="auto"/>
      </w:divBdr>
      <w:divsChild>
        <w:div w:id="1947232449">
          <w:marLeft w:val="-720"/>
          <w:marRight w:val="0"/>
          <w:marTop w:val="0"/>
          <w:marBottom w:val="0"/>
          <w:divBdr>
            <w:top w:val="none" w:sz="0" w:space="0" w:color="auto"/>
            <w:left w:val="none" w:sz="0" w:space="0" w:color="auto"/>
            <w:bottom w:val="none" w:sz="0" w:space="0" w:color="auto"/>
            <w:right w:val="none" w:sz="0" w:space="0" w:color="auto"/>
          </w:divBdr>
        </w:div>
      </w:divsChild>
    </w:div>
    <w:div w:id="1879857267">
      <w:bodyDiv w:val="1"/>
      <w:marLeft w:val="0"/>
      <w:marRight w:val="0"/>
      <w:marTop w:val="0"/>
      <w:marBottom w:val="0"/>
      <w:divBdr>
        <w:top w:val="none" w:sz="0" w:space="0" w:color="auto"/>
        <w:left w:val="none" w:sz="0" w:space="0" w:color="auto"/>
        <w:bottom w:val="none" w:sz="0" w:space="0" w:color="auto"/>
        <w:right w:val="none" w:sz="0" w:space="0" w:color="auto"/>
      </w:divBdr>
      <w:divsChild>
        <w:div w:id="1002390118">
          <w:marLeft w:val="-720"/>
          <w:marRight w:val="0"/>
          <w:marTop w:val="0"/>
          <w:marBottom w:val="0"/>
          <w:divBdr>
            <w:top w:val="none" w:sz="0" w:space="0" w:color="auto"/>
            <w:left w:val="none" w:sz="0" w:space="0" w:color="auto"/>
            <w:bottom w:val="none" w:sz="0" w:space="0" w:color="auto"/>
            <w:right w:val="none" w:sz="0" w:space="0" w:color="auto"/>
          </w:divBdr>
        </w:div>
      </w:divsChild>
    </w:div>
    <w:div w:id="2096171147">
      <w:bodyDiv w:val="1"/>
      <w:marLeft w:val="0"/>
      <w:marRight w:val="0"/>
      <w:marTop w:val="0"/>
      <w:marBottom w:val="0"/>
      <w:divBdr>
        <w:top w:val="none" w:sz="0" w:space="0" w:color="auto"/>
        <w:left w:val="none" w:sz="0" w:space="0" w:color="auto"/>
        <w:bottom w:val="none" w:sz="0" w:space="0" w:color="auto"/>
        <w:right w:val="none" w:sz="0" w:space="0" w:color="auto"/>
      </w:divBdr>
      <w:divsChild>
        <w:div w:id="2122720216">
          <w:marLeft w:val="0"/>
          <w:marRight w:val="0"/>
          <w:marTop w:val="0"/>
          <w:marBottom w:val="0"/>
          <w:divBdr>
            <w:top w:val="none" w:sz="0" w:space="0" w:color="auto"/>
            <w:left w:val="none" w:sz="0" w:space="0" w:color="auto"/>
            <w:bottom w:val="none" w:sz="0" w:space="0" w:color="auto"/>
            <w:right w:val="none" w:sz="0" w:space="0" w:color="auto"/>
          </w:divBdr>
        </w:div>
        <w:div w:id="892814909">
          <w:marLeft w:val="0"/>
          <w:marRight w:val="0"/>
          <w:marTop w:val="0"/>
          <w:marBottom w:val="0"/>
          <w:divBdr>
            <w:top w:val="none" w:sz="0" w:space="0" w:color="auto"/>
            <w:left w:val="none" w:sz="0" w:space="0" w:color="auto"/>
            <w:bottom w:val="none" w:sz="0" w:space="0" w:color="auto"/>
            <w:right w:val="none" w:sz="0" w:space="0" w:color="auto"/>
          </w:divBdr>
        </w:div>
        <w:div w:id="744037105">
          <w:marLeft w:val="0"/>
          <w:marRight w:val="0"/>
          <w:marTop w:val="0"/>
          <w:marBottom w:val="0"/>
          <w:divBdr>
            <w:top w:val="none" w:sz="0" w:space="0" w:color="auto"/>
            <w:left w:val="none" w:sz="0" w:space="0" w:color="auto"/>
            <w:bottom w:val="none" w:sz="0" w:space="0" w:color="auto"/>
            <w:right w:val="none" w:sz="0" w:space="0" w:color="auto"/>
          </w:divBdr>
        </w:div>
        <w:div w:id="559025378">
          <w:marLeft w:val="0"/>
          <w:marRight w:val="0"/>
          <w:marTop w:val="0"/>
          <w:marBottom w:val="0"/>
          <w:divBdr>
            <w:top w:val="none" w:sz="0" w:space="0" w:color="auto"/>
            <w:left w:val="none" w:sz="0" w:space="0" w:color="auto"/>
            <w:bottom w:val="none" w:sz="0" w:space="0" w:color="auto"/>
            <w:right w:val="none" w:sz="0" w:space="0" w:color="auto"/>
          </w:divBdr>
        </w:div>
        <w:div w:id="875964669">
          <w:marLeft w:val="0"/>
          <w:marRight w:val="0"/>
          <w:marTop w:val="0"/>
          <w:marBottom w:val="0"/>
          <w:divBdr>
            <w:top w:val="none" w:sz="0" w:space="0" w:color="auto"/>
            <w:left w:val="none" w:sz="0" w:space="0" w:color="auto"/>
            <w:bottom w:val="none" w:sz="0" w:space="0" w:color="auto"/>
            <w:right w:val="none" w:sz="0" w:space="0" w:color="auto"/>
          </w:divBdr>
        </w:div>
        <w:div w:id="1951163156">
          <w:marLeft w:val="0"/>
          <w:marRight w:val="0"/>
          <w:marTop w:val="0"/>
          <w:marBottom w:val="0"/>
          <w:divBdr>
            <w:top w:val="none" w:sz="0" w:space="0" w:color="auto"/>
            <w:left w:val="none" w:sz="0" w:space="0" w:color="auto"/>
            <w:bottom w:val="none" w:sz="0" w:space="0" w:color="auto"/>
            <w:right w:val="none" w:sz="0" w:space="0" w:color="auto"/>
          </w:divBdr>
        </w:div>
        <w:div w:id="708186280">
          <w:marLeft w:val="0"/>
          <w:marRight w:val="0"/>
          <w:marTop w:val="0"/>
          <w:marBottom w:val="0"/>
          <w:divBdr>
            <w:top w:val="none" w:sz="0" w:space="0" w:color="auto"/>
            <w:left w:val="none" w:sz="0" w:space="0" w:color="auto"/>
            <w:bottom w:val="none" w:sz="0" w:space="0" w:color="auto"/>
            <w:right w:val="none" w:sz="0" w:space="0" w:color="auto"/>
          </w:divBdr>
        </w:div>
        <w:div w:id="4590355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ollege.police.uk/guidance/improving-public-confidence-police/definitions"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bbc.co.uk/news/uk-64283783"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gov.uk/government/publications/public-perceptions-of-policing-a-review-of-research-and-literature/public-perceptions-of-policing-a-review-of-research-and-literature" TargetMode="External"/><Relationship Id="rId5" Type="http://schemas.openxmlformats.org/officeDocument/2006/relationships/styles" Target="styles.xml"/><Relationship Id="rId10" Type="http://schemas.openxmlformats.org/officeDocument/2006/relationships/hyperlink" Target="http://www.gov.uk/government/publications/the-report-of-the-commission-on-race-and-ethnic-disparities/crime-and-policing" TargetMode="External"/><Relationship Id="rId4" Type="http://schemas.openxmlformats.org/officeDocument/2006/relationships/customXml" Target="../customXml/item4.xml"/><Relationship Id="rId9" Type="http://schemas.openxmlformats.org/officeDocument/2006/relationships/hyperlink" Target="http://www.cps.gov.uk/stories/david-carric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
  <CompanyAddress>BMLC5009</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a826bb85e4ce27e71f036760d1864a8c">
  <xsd:schema xmlns:xsd="http://www.w3.org/2001/XMLSchema" xmlns:xs="http://www.w3.org/2001/XMLSchema" xmlns:p="http://schemas.microsoft.com/office/2006/metadata/properties" xmlns:ns3="bf244c3e-e0b4-4871-bb4e-fd032a14544d" targetNamespace="http://schemas.microsoft.com/office/2006/metadata/properties" ma:root="true" ma:fieldsID="5c675f94780280a5523cd82c9d882290"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684620B-B926-4DEC-9A8F-5670EEDA562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E567775-AA70-49ED-9529-05CD0FB56EA0}">
  <ds:schemaRefs>
    <ds:schemaRef ds:uri="http://schemas.microsoft.com/sharepoint/v3/contenttype/forms"/>
  </ds:schemaRefs>
</ds:datastoreItem>
</file>

<file path=customXml/itemProps4.xml><?xml version="1.0" encoding="utf-8"?>
<ds:datastoreItem xmlns:ds="http://schemas.openxmlformats.org/officeDocument/2006/customXml" ds:itemID="{DF0E66CE-1A7E-482C-B4AC-7349EC7ADD1F}">
  <ds:schemaRefs>
    <ds:schemaRef ds:uri="http://purl.org/dc/terms/"/>
    <ds:schemaRef ds:uri="http://www.w3.org/XML/1998/namespace"/>
    <ds:schemaRef ds:uri="bf244c3e-e0b4-4871-bb4e-fd032a14544d"/>
    <ds:schemaRef ds:uri="http://purl.org/dc/dcmitype/"/>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2370</Words>
  <Characters>13515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explore contemporary barriers to policing by consent.</dc:title>
  <dc:subject/>
  <dc:creator>Serena Storton (2405566)</dc:creator>
  <cp:keywords/>
  <dc:description/>
  <cp:lastModifiedBy>Serena Storton (2405566)</cp:lastModifiedBy>
  <cp:revision>1</cp:revision>
  <dcterms:created xsi:type="dcterms:W3CDTF">2025-11-07T20:07:00Z</dcterms:created>
  <dcterms:modified xsi:type="dcterms:W3CDTF">2025-11-07T20:29:00Z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