
<file path=[Content_Types].xml><?xml version="1.0" encoding="utf-8"?>
<Types xmlns="http://schemas.openxmlformats.org/package/2006/content-types">
  <Default Extension="xml" ContentType="application/xml"/>
  <Default Extension="xlsx" ContentType="application/vnd.openxmlformats-officedocument.spreadsheetml.sheet"/>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Arial" w:hAnsi="Arial" w:cs="Arial"/>
        </w:rPr>
        <w:id w:val="1609007492"/>
        <w:docPartObj>
          <w:docPartGallery w:val="AutoText"/>
        </w:docPartObj>
      </w:sdtPr>
      <w:sdtEndPr>
        <w:rPr>
          <w:rFonts w:ascii="Arial" w:hAnsi="Arial" w:cs="Arial"/>
        </w:rPr>
      </w:sdtEndPr>
      <w:sdtContent>
        <w:p>
          <w:pPr>
            <w:spacing w:before="120" w:beforeLines="50" w:after="360" w:afterLines="150" w:line="480" w:lineRule="auto"/>
            <w:jc w:val="both"/>
            <w:rPr>
              <w:rFonts w:ascii="Arial" w:hAnsi="Arial" w:cs="Arial"/>
            </w:rPr>
          </w:pPr>
          <w:r>
            <w:rPr>
              <w:rFonts w:ascii="Arial" w:hAnsi="Arial" w:cs="Arial"/>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0"/>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151" name="Rectangle 151"/>
                            <wps:cNvSpPr/>
                            <wps:spPr>
                              <a:xfrm>
                                <a:off x="0" y="0"/>
                                <a:ext cx="7315200" cy="1216152"/>
                              </a:xfrm>
                              <a:prstGeom prst="rect">
                                <a:avLst/>
                              </a:prstGeom>
                              <a:blipFill>
                                <a:blip r:embed="rId13"/>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wpg:wgp>
                      </a:graphicData>
                    </a:graphic>
                    <wp14:sizeRelH relativeFrom="page">
                      <wp14:pctWidth>94100</wp14:pctWidth>
                    </wp14:sizeRelH>
                    <wp14:sizeRelV relativeFrom="page">
                      <wp14:pctHeight>12100</wp14:pctHeight>
                    </wp14:sizeRelV>
                  </wp:anchor>
                </w:drawing>
              </mc:Choice>
              <mc:Fallback>
                <w:pict>
                  <v:group id="Group 149" o:spid="_x0000_s1026" o:spt="203" style="position:absolute;left:0pt;margin-left:17.55pt;margin-top:19.35pt;height:95.7pt;width:576pt;mso-position-horizontal-relative:page;mso-position-vertical-relative:page;z-index:251662336;mso-width-relative:page;mso-height-relative:page;mso-width-percent:941;mso-height-percent:121;" coordorigin="0,-1" coordsize="7315200,1216153" o:gfxdata="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k+A&#10;AQBN+fkQdcXCoQAAAABJRU5ErkJgg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">
                    <o:lock v:ext="edit" aspectratio="f"/>
                    <v:shape id="Rectangle 51" o:spid="_x0000_s1026" o:spt="100" style="position:absolute;left:0;top:-1;height:1130373;width:7315200;v-text-anchor:middle;" fillcolor="#4472C4 [3204]" filled="t" stroked="f" coordsize="7312660,1129665" o:gfxdata="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E9cGr4A&#10;AADcAAAADwAAAAAAAAABACAAAAAiAAAAZHJzL2Rvd25yZXYueG1sUEsBAhQAFAAAAAgAh07iQDMv&#10;BZ47AAAAOQAAABAAAAAAAAAAAQAgAAAADQEAAGRycy9zaGFwZXhtbC54bWxQSwUGAAAAAAYABgBb&#10;AQAAtwMAAAAA&#10;" path="m0,0l7312660,0,7312660,1129665,3619500,733425,0,1091565,0,0xe">
                      <v:path o:connectlocs="0,0;7315200,0;7315200,1130373;3620757,733884;0,1092249;0,0" o:connectangles="0,0,0,0,0,0"/>
                      <v:fill on="t" focussize="0,0"/>
                      <v:stroke on="f" weight="1pt" miterlimit="8" joinstyle="miter"/>
                      <v:imagedata o:title=""/>
                      <o:lock v:ext="edit" aspectratio="f"/>
                    </v:shape>
                    <v:rect id="Rectangle 151" o:spid="_x0000_s1026" o:spt="1" style="position:absolute;left:0;top:0;height:1216152;width:7315200;v-text-anchor:middle;" filled="t" stroked="f" coordsize="21600,21600" o:gfxdata="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s/U7G8AAAA&#10;3AAAAA8AAAAAAAAAAQAgAAAAIgAAAGRycy9kb3ducmV2LnhtbFBLAQIUABQAAAAIAIdO4kAzLwWe&#10;OwAAADkAAAAQAAAAAAAAAAEAIAAAAAsBAABkcnMvc2hhcGV4bWwueG1sUEsFBgAAAAAGAAYAWwEA&#10;ALUDAAAAAA==&#10;">
                      <v:fill type="frame" on="t" focussize="0,0" recolor="t" rotate="t" r:id="rId13"/>
                      <v:stroke on="f" weight="1pt" miterlimit="8" joinstyle="miter"/>
                      <v:imagedata o:title=""/>
                      <o:lock v:ext="edit" aspectratio="f"/>
                    </v:rect>
                  </v:group>
                </w:pict>
              </mc:Fallback>
            </mc:AlternateContent>
          </w:r>
          <w:bookmarkStart w:id="12" w:name="_GoBack"/>
          <w:bookmarkEnd w:id="12"/>
          <w:r>
            <w:rPr>
              <w:rFonts w:ascii="Arial" w:hAnsi="Arial" w:cs="Arial"/>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14:textFill>
                                      <w14:solidFill>
                                        <w14:schemeClr w14:val="tx1">
                                          <w14:lumMod w14:val="65000"/>
                                          <w14:lumOff w14:val="35000"/>
                                        </w14:schemeClr>
                                      </w14:solidFill>
                                    </w14:textFill>
                                  </w:rPr>
                                  <w:alias w:val="Author"/>
                                  <w:id w:val="789243997"/>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color w:val="595959" w:themeColor="text1" w:themeTint="A6"/>
                                    <w:sz w:val="28"/>
                                    <w:szCs w:val="28"/>
                                    <w14:textFill>
                                      <w14:solidFill>
                                        <w14:schemeClr w14:val="tx1">
                                          <w14:lumMod w14:val="65000"/>
                                          <w14:lumOff w14:val="35000"/>
                                        </w14:schemeClr>
                                      </w14:solidFill>
                                    </w14:textFill>
                                  </w:rPr>
                                </w:sdtEndPr>
                                <w:sdtContent>
                                  <w:p>
                                    <w:pPr>
                                      <w:pStyle w:val="24"/>
                                      <w:jc w:val="right"/>
                                      <w:rPr>
                                        <w:rFonts w:ascii="Arial" w:hAnsi="Arial" w:cs="Arial"/>
                                        <w:color w:val="595959" w:themeColor="text1" w:themeTint="A6"/>
                                        <w:sz w:val="28"/>
                                        <w:szCs w:val="28"/>
                                        <w14:textFill>
                                          <w14:solidFill>
                                            <w14:schemeClr w14:val="tx1">
                                              <w14:lumMod w14:val="65000"/>
                                              <w14:lumOff w14:val="35000"/>
                                            </w14:schemeClr>
                                          </w14:solidFill>
                                        </w14:textFill>
                                      </w:rPr>
                                    </w:pPr>
                                    <w:r>
                                      <w:rPr>
                                        <w:rFonts w:hint="eastAsia" w:ascii="Arial" w:hAnsi="Arial" w:cs="Arial"/>
                                        <w:color w:val="595959" w:themeColor="text1" w:themeTint="A6"/>
                                        <w:sz w:val="28"/>
                                        <w:szCs w:val="28"/>
                                        <w:lang w:val="en-US" w:eastAsia="zh-CN"/>
                                        <w14:textFill>
                                          <w14:solidFill>
                                            <w14:schemeClr w14:val="tx1">
                                              <w14:lumMod w14:val="65000"/>
                                              <w14:lumOff w14:val="35000"/>
                                            </w14:schemeClr>
                                          </w14:solidFill>
                                        </w14:textFill>
                                      </w:rPr>
                                      <w:t>Qi Huiwen 2200154</w:t>
                                    </w:r>
                                  </w:p>
                                </w:sdtContent>
                              </w:sdt>
                              <w:p>
                                <w:pPr>
                                  <w:pStyle w:val="24"/>
                                  <w:wordWrap w:val="0"/>
                                  <w:jc w:val="right"/>
                                  <w:rPr>
                                    <w:rFonts w:hint="default" w:ascii="Arial" w:hAnsi="Arial" w:cs="Arial"/>
                                    <w:color w:val="595959" w:themeColor="text1" w:themeTint="A6"/>
                                    <w:sz w:val="24"/>
                                    <w:szCs w:val="24"/>
                                    <w:lang w:val="en-US" w:eastAsia="zh-CN"/>
                                    <w14:textFill>
                                      <w14:solidFill>
                                        <w14:schemeClr w14:val="tx1">
                                          <w14:lumMod w14:val="65000"/>
                                          <w14:lumOff w14:val="35000"/>
                                        </w14:schemeClr>
                                      </w14:solidFill>
                                    </w14:textFill>
                                  </w:rPr>
                                </w:pPr>
                                <w:r>
                                  <w:rPr>
                                    <w:rFonts w:hint="eastAsia" w:ascii="Arial" w:hAnsi="Arial" w:cs="Arial"/>
                                    <w:color w:val="595959" w:themeColor="text1" w:themeTint="A6"/>
                                    <w:sz w:val="24"/>
                                    <w:szCs w:val="24"/>
                                    <w:lang w:val="en-US" w:eastAsia="zh-CN"/>
                                    <w14:textFill>
                                      <w14:solidFill>
                                        <w14:schemeClr w14:val="tx1">
                                          <w14:lumMod w14:val="65000"/>
                                          <w14:lumOff w14:val="35000"/>
                                        </w14:schemeClr>
                                      </w14:solidFill>
                                    </w14:textFill>
                                  </w:rPr>
                                  <w:t>BMBM601</w:t>
                                </w:r>
                                <w:r>
                                  <w:rPr>
                                    <w:rFonts w:hint="eastAsia" w:ascii="Arial" w:hAnsi="Arial" w:cs="Arial"/>
                                    <w:color w:val="595959" w:themeColor="text1" w:themeTint="A6"/>
                                    <w:sz w:val="24"/>
                                    <w:szCs w:val="24"/>
                                    <w:lang w:val="en-US" w:eastAsia="zh-CN"/>
                                    <w14:textFill>
                                      <w14:solidFill>
                                        <w14:schemeClr w14:val="tx1">
                                          <w14:lumMod w14:val="65000"/>
                                          <w14:lumOff w14:val="35000"/>
                                        </w14:schemeClr>
                                      </w14:solidFill>
                                    </w14:textFill>
                                  </w:rPr>
                                  <w:t xml:space="preserve">5  Strategic Management and Sustainability </w:t>
                                </w: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id="Text Box 152" o:spid="_x0000_s1026" o:spt="202" type="#_x0000_t202" style="position:absolute;left:0pt;margin-left:17.55pt;margin-top:688.65pt;height:72pt;width:576pt;mso-position-horizontal-relative:page;mso-position-vertical-relative:page;mso-wrap-distance-bottom:0pt;mso-wrap-distance-left:9pt;mso-wrap-distance-right:9pt;mso-wrap-distance-top:0pt;z-index:251660288;v-text-anchor:bottom;mso-width-relative:page;mso-height-relative:page;mso-width-percent:941;mso-height-percent:92;" filled="f" stroked="f" coordsize="21600,21600" o:gfxdata="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8Xkn61gAAAAYBAAAPAAAAAAAAAAEAIAAAACIAAABkcnMvZG93bnJldi54bWxQ&#10;SwECFAAUAAAACACHTuJA3mT+xzICAAByBAAADgAAAAAAAAABACAAAAAlAQAAZHJzL2Uyb0RvYy54&#10;bWxQSwUGAAAAAAYABgBZAQAAyQUAAAAA&#10;">
                    <v:fill on="f" focussize="0,0"/>
                    <v:stroke on="f" weight="0.5pt"/>
                    <v:imagedata o:title=""/>
                    <o:lock v:ext="edit" aspectratio="f"/>
                    <v:textbox inset="44.45mm,0mm,19.05mm,0mm">
                      <w:txbxContent>
                        <w:sdt>
                          <w:sdtPr>
                            <w:rPr>
                              <w:rFonts w:ascii="Arial" w:hAnsi="Arial" w:cs="Arial"/>
                              <w:color w:val="595959" w:themeColor="text1" w:themeTint="A6"/>
                              <w:sz w:val="28"/>
                              <w:szCs w:val="28"/>
                              <w14:textFill>
                                <w14:solidFill>
                                  <w14:schemeClr w14:val="tx1">
                                    <w14:lumMod w14:val="65000"/>
                                    <w14:lumOff w14:val="35000"/>
                                  </w14:schemeClr>
                                </w14:solidFill>
                              </w14:textFill>
                            </w:rPr>
                            <w:alias w:val="Author"/>
                            <w:id w:val="789243997"/>
                            <w:dataBinding w:prefixMappings="xmlns:ns0='http://purl.org/dc/elements/1.1/' xmlns:ns1='http://schemas.openxmlformats.org/package/2006/metadata/core-properties' " w:xpath="/ns1:coreProperties[1]/ns0:creator[1]" w:storeItemID="{6C3C8BC8-F283-45AE-878A-BAB7291924A1}"/>
                            <w:text/>
                          </w:sdtPr>
                          <w:sdtEndPr>
                            <w:rPr>
                              <w:rFonts w:ascii="Arial" w:hAnsi="Arial" w:cs="Arial"/>
                              <w:color w:val="595959" w:themeColor="text1" w:themeTint="A6"/>
                              <w:sz w:val="28"/>
                              <w:szCs w:val="28"/>
                              <w14:textFill>
                                <w14:solidFill>
                                  <w14:schemeClr w14:val="tx1">
                                    <w14:lumMod w14:val="65000"/>
                                    <w14:lumOff w14:val="35000"/>
                                  </w14:schemeClr>
                                </w14:solidFill>
                              </w14:textFill>
                            </w:rPr>
                          </w:sdtEndPr>
                          <w:sdtContent>
                            <w:p>
                              <w:pPr>
                                <w:pStyle w:val="24"/>
                                <w:jc w:val="right"/>
                                <w:rPr>
                                  <w:rFonts w:ascii="Arial" w:hAnsi="Arial" w:cs="Arial"/>
                                  <w:color w:val="595959" w:themeColor="text1" w:themeTint="A6"/>
                                  <w:sz w:val="28"/>
                                  <w:szCs w:val="28"/>
                                  <w14:textFill>
                                    <w14:solidFill>
                                      <w14:schemeClr w14:val="tx1">
                                        <w14:lumMod w14:val="65000"/>
                                        <w14:lumOff w14:val="35000"/>
                                      </w14:schemeClr>
                                    </w14:solidFill>
                                  </w14:textFill>
                                </w:rPr>
                              </w:pPr>
                              <w:r>
                                <w:rPr>
                                  <w:rFonts w:hint="eastAsia" w:ascii="Arial" w:hAnsi="Arial" w:cs="Arial"/>
                                  <w:color w:val="595959" w:themeColor="text1" w:themeTint="A6"/>
                                  <w:sz w:val="28"/>
                                  <w:szCs w:val="28"/>
                                  <w:lang w:val="en-US" w:eastAsia="zh-CN"/>
                                  <w14:textFill>
                                    <w14:solidFill>
                                      <w14:schemeClr w14:val="tx1">
                                        <w14:lumMod w14:val="65000"/>
                                        <w14:lumOff w14:val="35000"/>
                                      </w14:schemeClr>
                                    </w14:solidFill>
                                  </w14:textFill>
                                </w:rPr>
                                <w:t>Qi Huiwen 2200154</w:t>
                              </w:r>
                            </w:p>
                          </w:sdtContent>
                        </w:sdt>
                        <w:p>
                          <w:pPr>
                            <w:pStyle w:val="24"/>
                            <w:wordWrap w:val="0"/>
                            <w:jc w:val="right"/>
                            <w:rPr>
                              <w:rFonts w:hint="default" w:ascii="Arial" w:hAnsi="Arial" w:cs="Arial"/>
                              <w:color w:val="595959" w:themeColor="text1" w:themeTint="A6"/>
                              <w:sz w:val="24"/>
                              <w:szCs w:val="24"/>
                              <w:lang w:val="en-US" w:eastAsia="zh-CN"/>
                              <w14:textFill>
                                <w14:solidFill>
                                  <w14:schemeClr w14:val="tx1">
                                    <w14:lumMod w14:val="65000"/>
                                    <w14:lumOff w14:val="35000"/>
                                  </w14:schemeClr>
                                </w14:solidFill>
                              </w14:textFill>
                            </w:rPr>
                          </w:pPr>
                          <w:r>
                            <w:rPr>
                              <w:rFonts w:hint="eastAsia" w:ascii="Arial" w:hAnsi="Arial" w:cs="Arial"/>
                              <w:color w:val="595959" w:themeColor="text1" w:themeTint="A6"/>
                              <w:sz w:val="24"/>
                              <w:szCs w:val="24"/>
                              <w:lang w:val="en-US" w:eastAsia="zh-CN"/>
                              <w14:textFill>
                                <w14:solidFill>
                                  <w14:schemeClr w14:val="tx1">
                                    <w14:lumMod w14:val="65000"/>
                                    <w14:lumOff w14:val="35000"/>
                                  </w14:schemeClr>
                                </w14:solidFill>
                              </w14:textFill>
                            </w:rPr>
                            <w:t>BMBM601</w:t>
                          </w:r>
                          <w:r>
                            <w:rPr>
                              <w:rFonts w:hint="eastAsia" w:ascii="Arial" w:hAnsi="Arial" w:cs="Arial"/>
                              <w:color w:val="595959" w:themeColor="text1" w:themeTint="A6"/>
                              <w:sz w:val="24"/>
                              <w:szCs w:val="24"/>
                              <w:lang w:val="en-US" w:eastAsia="zh-CN"/>
                              <w14:textFill>
                                <w14:solidFill>
                                  <w14:schemeClr w14:val="tx1">
                                    <w14:lumMod w14:val="65000"/>
                                    <w14:lumOff w14:val="35000"/>
                                  </w14:schemeClr>
                                </w14:solidFill>
                              </w14:textFill>
                            </w:rPr>
                            <w:t xml:space="preserve">5  Strategic Management and Sustainability </w:t>
                          </w:r>
                        </w:p>
                      </w:txbxContent>
                    </v:textbox>
                    <w10:wrap type="square"/>
                  </v:shape>
                </w:pict>
              </mc:Fallback>
            </mc:AlternateContent>
          </w:r>
          <w:r>
            <w:rPr>
              <w:rFonts w:ascii="Arial" w:hAnsi="Arial" w:cs="Arial"/>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right"/>
                                  <w:rPr>
                                    <w:color w:val="4472C4" w:themeColor="accent1"/>
                                    <w:sz w:val="64"/>
                                    <w:szCs w:val="64"/>
                                    <w14:textFill>
                                      <w14:solidFill>
                                        <w14:schemeClr w14:val="accent1"/>
                                      </w14:solidFill>
                                    </w14:textFill>
                                  </w:rPr>
                                </w:pPr>
                                <w:sdt>
                                  <w:sdtPr>
                                    <w:rPr>
                                      <w:caps/>
                                      <w:color w:val="4472C4"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472C4" w:themeColor="accent1"/>
                                      <w:sz w:val="64"/>
                                      <w:szCs w:val="64"/>
                                      <w14:textFill>
                                        <w14:solidFill>
                                          <w14:schemeClr w14:val="accent1"/>
                                        </w14:solidFill>
                                      </w14:textFill>
                                    </w:rPr>
                                  </w:sdtEndPr>
                                  <w:sdtContent>
                                    <w:r>
                                      <w:rPr>
                                        <w:caps/>
                                        <w:color w:val="4472C4" w:themeColor="accent1"/>
                                        <w:sz w:val="64"/>
                                        <w:szCs w:val="64"/>
                                        <w14:textFill>
                                          <w14:solidFill>
                                            <w14:schemeClr w14:val="accent1"/>
                                          </w14:solidFill>
                                        </w14:textFill>
                                      </w:rPr>
                                      <w:t>The competitive Strategy of BYD in the Chinese market</w:t>
                                    </w:r>
                                  </w:sdtContent>
                                </w:sdt>
                              </w:p>
                              <w:p>
                                <w:pPr>
                                  <w:jc w:val="right"/>
                                  <w:rPr>
                                    <w:smallCaps/>
                                    <w:color w:val="404040" w:themeColor="text1" w:themeTint="BF"/>
                                    <w:sz w:val="36"/>
                                    <w:szCs w:val="36"/>
                                    <w14:textFill>
                                      <w14:solidFill>
                                        <w14:schemeClr w14:val="tx1">
                                          <w14:lumMod w14:val="75000"/>
                                          <w14:lumOff w14:val="25000"/>
                                        </w14:schemeClr>
                                      </w14:solidFill>
                                    </w14:textFill>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6" o:spt="202" type="#_x0000_t202" style="position:absolute;left:0pt;margin-left:17.55pt;margin-top:252.55pt;height:286.5pt;width:576pt;mso-position-horizontal-relative:page;mso-position-vertical-relative:page;mso-wrap-distance-bottom:0pt;mso-wrap-distance-left:9pt;mso-wrap-distance-right:9pt;mso-wrap-distance-top:0pt;z-index:251659264;v-text-anchor:bottom;mso-width-relative:page;mso-height-relative:page;mso-width-percent:941;mso-height-percent:363;" filled="f" stroked="f" coordsize="21600,21600" o:gfxdata="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BA92KB1wAAAAYBAAAPAAAAAAAAAAEAIAAAACIAAABkcnMvZG93bnJldi54&#10;bWxQSwECFAAUAAAACACHTuJAvFmcRDQCAABzBAAADgAAAAAAAAABACAAAAAmAQAAZHJzL2Uyb0Rv&#10;Yy54bWxQSwUGAAAAAAYABgBZAQAAzAUAAAAA&#10;">
                    <v:fill on="f" focussize="0,0"/>
                    <v:stroke on="f" weight="0.5pt"/>
                    <v:imagedata o:title=""/>
                    <o:lock v:ext="edit" aspectratio="f"/>
                    <v:textbox inset="44.45mm,0mm,19.05mm,0mm">
                      <w:txbxContent>
                        <w:p>
                          <w:pPr>
                            <w:jc w:val="right"/>
                            <w:rPr>
                              <w:color w:val="4472C4" w:themeColor="accent1"/>
                              <w:sz w:val="64"/>
                              <w:szCs w:val="64"/>
                              <w14:textFill>
                                <w14:solidFill>
                                  <w14:schemeClr w14:val="accent1"/>
                                </w14:solidFill>
                              </w14:textFill>
                            </w:rPr>
                          </w:pPr>
                          <w:sdt>
                            <w:sdtPr>
                              <w:rPr>
                                <w:caps/>
                                <w:color w:val="4472C4" w:themeColor="accent1"/>
                                <w:sz w:val="64"/>
                                <w:szCs w:val="64"/>
                                <w14:textFill>
                                  <w14:solidFill>
                                    <w14:schemeClr w14:val="accent1"/>
                                  </w14:solidFill>
                                </w14:textFill>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color w:val="4472C4" w:themeColor="accent1"/>
                                <w:sz w:val="64"/>
                                <w:szCs w:val="64"/>
                                <w14:textFill>
                                  <w14:solidFill>
                                    <w14:schemeClr w14:val="accent1"/>
                                  </w14:solidFill>
                                </w14:textFill>
                              </w:rPr>
                            </w:sdtEndPr>
                            <w:sdtContent>
                              <w:r>
                                <w:rPr>
                                  <w:caps/>
                                  <w:color w:val="4472C4" w:themeColor="accent1"/>
                                  <w:sz w:val="64"/>
                                  <w:szCs w:val="64"/>
                                  <w14:textFill>
                                    <w14:solidFill>
                                      <w14:schemeClr w14:val="accent1"/>
                                    </w14:solidFill>
                                  </w14:textFill>
                                </w:rPr>
                                <w:t>The competitive Strategy of BYD in the Chinese market</w:t>
                              </w:r>
                            </w:sdtContent>
                          </w:sdt>
                        </w:p>
                        <w:p>
                          <w:pPr>
                            <w:jc w:val="right"/>
                            <w:rPr>
                              <w:smallCaps/>
                              <w:color w:val="404040" w:themeColor="text1" w:themeTint="BF"/>
                              <w:sz w:val="36"/>
                              <w:szCs w:val="36"/>
                              <w14:textFill>
                                <w14:solidFill>
                                  <w14:schemeClr w14:val="tx1">
                                    <w14:lumMod w14:val="75000"/>
                                    <w14:lumOff w14:val="25000"/>
                                  </w14:schemeClr>
                                </w14:solidFill>
                              </w14:textFill>
                            </w:rPr>
                          </w:pPr>
                        </w:p>
                      </w:txbxContent>
                    </v:textbox>
                    <w10:wrap type="square"/>
                  </v:shape>
                </w:pict>
              </mc:Fallback>
            </mc:AlternateContent>
          </w:r>
        </w:p>
        <w:p>
          <w:pPr>
            <w:spacing w:before="120" w:beforeLines="50" w:after="360" w:afterLines="150" w:line="480" w:lineRule="auto"/>
            <w:jc w:val="both"/>
            <w:rPr>
              <w:rFonts w:ascii="Arial" w:hAnsi="Arial" w:cs="Arial"/>
            </w:rPr>
          </w:pPr>
          <w:r>
            <w:rPr>
              <w:rFonts w:ascii="Arial" w:hAnsi="Arial" w:cs="Arial"/>
            </w:rPr>
            <mc:AlternateContent>
              <mc:Choice Requires="wps">
                <w:drawing>
                  <wp:anchor distT="0" distB="0" distL="114300" distR="114300" simplePos="0" relativeHeight="251661312" behindDoc="0" locked="0" layoutInCell="1" allowOverlap="1">
                    <wp:simplePos x="0" y="0"/>
                    <wp:positionH relativeFrom="page">
                      <wp:posOffset>222250</wp:posOffset>
                    </wp:positionH>
                    <wp:positionV relativeFrom="page">
                      <wp:posOffset>6941185</wp:posOffset>
                    </wp:positionV>
                    <wp:extent cx="7315200" cy="2143760"/>
                    <wp:effectExtent l="0" t="0" r="0" b="889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21440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4"/>
                                  <w:jc w:val="right"/>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Abstract</w:t>
                                </w:r>
                              </w:p>
                              <w:p>
                                <w:pPr>
                                  <w:pStyle w:val="24"/>
                                  <w:jc w:val="right"/>
                                  <w:rPr>
                                    <w:rFonts w:ascii="Arial" w:hAnsi="Arial" w:cs="Arial"/>
                                    <w:color w:val="595959" w:themeColor="text1" w:themeTint="A6"/>
                                    <w14:textFill>
                                      <w14:solidFill>
                                        <w14:schemeClr w14:val="tx1">
                                          <w14:lumMod w14:val="65000"/>
                                          <w14:lumOff w14:val="35000"/>
                                        </w14:schemeClr>
                                      </w14:solidFill>
                                    </w14:textFill>
                                  </w:rPr>
                                </w:pPr>
                                <w:sdt>
                                  <w:sdtPr>
                                    <w:rPr>
                                      <w:rFonts w:ascii="Arial" w:hAnsi="Arial" w:cs="Arial"/>
                                      <w:color w:val="000000" w:themeColor="text1"/>
                                      <w14:textFill>
                                        <w14:solidFill>
                                          <w14:schemeClr w14:val="tx1"/>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rFonts w:ascii="Arial" w:hAnsi="Arial" w:cs="Arial"/>
                                      <w:color w:val="000000" w:themeColor="text1"/>
                                      <w14:textFill>
                                        <w14:solidFill>
                                          <w14:schemeClr w14:val="tx1"/>
                                        </w14:solidFill>
                                      </w14:textFill>
                                    </w:rPr>
                                  </w:sdtEndPr>
                                  <w:sdtContent>
                                    <w:r>
                                      <w:rPr>
                                        <w:rFonts w:ascii="Arial" w:hAnsi="Arial" w:cs="Arial"/>
                                        <w:color w:val="000000" w:themeColor="text1"/>
                                        <w14:textFill>
                                          <w14:solidFill>
                                            <w14:schemeClr w14:val="tx1"/>
                                          </w14:solidFill>
                                        </w14:textFill>
                                      </w:rPr>
                                      <w:t>Given the tremendous potential of the Chinese new energy vehicle market, BYD, the domestic leading player in the sector, needs to reflect on its current competitive strategic choices and effectiveness. The report argues that BYD has been adopted the cost leadership strategy, which is enabled through technological advancements, value chain integration and economies of scale. The cost leadership also leads to the problem of low differentiation in the hyper competitive market, and the slow market responsiveness. The report recommends BYD to differentiate itself through product diversification and restructure its supply chain to adjust the level of integration</w:t>
                                    </w:r>
                                  </w:sdtContent>
                                </w:sdt>
                                <w:r>
                                  <w:rPr>
                                    <w:rFonts w:ascii="Arial" w:hAnsi="Arial" w:cs="Arial"/>
                                    <w:color w:val="595959" w:themeColor="text1" w:themeTint="A6"/>
                                    <w14:textFill>
                                      <w14:solidFill>
                                        <w14:schemeClr w14:val="tx1">
                                          <w14:lumMod w14:val="65000"/>
                                          <w14:lumOff w14:val="35000"/>
                                        </w14:schemeClr>
                                      </w14:solidFill>
                                    </w14:textFill>
                                  </w:rPr>
                                  <w:t>…</w:t>
                                </w:r>
                              </w:p>
                            </w:txbxContent>
                          </wps:txbx>
                          <wps:bodyPr rot="0" spcFirstLastPara="0" vertOverflow="overflow" horzOverflow="overflow" vert="horz" wrap="square" lIns="1600200" tIns="0" rIns="685800" bIns="0" numCol="1" spcCol="0" rtlCol="0" fromWordArt="0" anchor="t" anchorCtr="0" forceAA="0" compatLnSpc="1">
                            <a:noAutofit/>
                          </wps:bodyPr>
                        </wps:wsp>
                      </a:graphicData>
                    </a:graphic>
                    <wp14:sizeRelH relativeFrom="page">
                      <wp14:pctWidth>94100</wp14:pctWidth>
                    </wp14:sizeRelH>
                    <wp14:sizeRelV relativeFrom="page">
                      <wp14:pctHeight>0</wp14:pctHeight>
                    </wp14:sizeRelV>
                  </wp:anchor>
                </w:drawing>
              </mc:Choice>
              <mc:Fallback>
                <w:pict>
                  <v:shape id="Text Box 153" o:spid="_x0000_s1026" o:spt="202" type="#_x0000_t202" style="position:absolute;left:0pt;margin-left:17.5pt;margin-top:546.55pt;height:168.8pt;width:576pt;mso-position-horizontal-relative:page;mso-position-vertical-relative:page;mso-wrap-distance-bottom:0pt;mso-wrap-distance-left:9pt;mso-wrap-distance-right:9pt;mso-wrap-distance-top:0pt;z-index:251661312;mso-width-relative:page;mso-height-relative:page;mso-width-percent:941;" filled="f" stroked="f" coordsize="21600,21600" o:gfxdata="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P53OSzbAAAADQEAAA8AAAAAAAAAAQAgAAAAIgAAAGRycy9kb3du&#10;cmV2LnhtbFBLAQIUABQAAAAIAIdO4kAm3Mn2NQIAAHMEAAAOAAAAAAAAAAEAIAAAACoBAABkcnMv&#10;ZTJvRG9jLnhtbFBLBQYAAAAABgAGAFkBAADRBQAAAAA=&#10;">
                    <v:fill on="f" focussize="0,0"/>
                    <v:stroke on="f" weight="0.5pt"/>
                    <v:imagedata o:title=""/>
                    <o:lock v:ext="edit" aspectratio="f"/>
                    <v:textbox inset="44.45mm,0mm,19.05mm,0mm">
                      <w:txbxContent>
                        <w:p>
                          <w:pPr>
                            <w:pStyle w:val="24"/>
                            <w:jc w:val="right"/>
                            <w:rPr>
                              <w:color w:val="4472C4" w:themeColor="accent1"/>
                              <w:sz w:val="28"/>
                              <w:szCs w:val="28"/>
                              <w14:textFill>
                                <w14:solidFill>
                                  <w14:schemeClr w14:val="accent1"/>
                                </w14:solidFill>
                              </w14:textFill>
                            </w:rPr>
                          </w:pPr>
                          <w:r>
                            <w:rPr>
                              <w:color w:val="4472C4" w:themeColor="accent1"/>
                              <w:sz w:val="28"/>
                              <w:szCs w:val="28"/>
                              <w14:textFill>
                                <w14:solidFill>
                                  <w14:schemeClr w14:val="accent1"/>
                                </w14:solidFill>
                              </w14:textFill>
                            </w:rPr>
                            <w:t>Abstract</w:t>
                          </w:r>
                        </w:p>
                        <w:p>
                          <w:pPr>
                            <w:pStyle w:val="24"/>
                            <w:jc w:val="right"/>
                            <w:rPr>
                              <w:rFonts w:ascii="Arial" w:hAnsi="Arial" w:cs="Arial"/>
                              <w:color w:val="595959" w:themeColor="text1" w:themeTint="A6"/>
                              <w14:textFill>
                                <w14:solidFill>
                                  <w14:schemeClr w14:val="tx1">
                                    <w14:lumMod w14:val="65000"/>
                                    <w14:lumOff w14:val="35000"/>
                                  </w14:schemeClr>
                                </w14:solidFill>
                              </w14:textFill>
                            </w:rPr>
                          </w:pPr>
                          <w:sdt>
                            <w:sdtPr>
                              <w:rPr>
                                <w:rFonts w:ascii="Arial" w:hAnsi="Arial" w:cs="Arial"/>
                                <w:color w:val="000000" w:themeColor="text1"/>
                                <w14:textFill>
                                  <w14:solidFill>
                                    <w14:schemeClr w14:val="tx1"/>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rFonts w:ascii="Arial" w:hAnsi="Arial" w:cs="Arial"/>
                                <w:color w:val="000000" w:themeColor="text1"/>
                                <w14:textFill>
                                  <w14:solidFill>
                                    <w14:schemeClr w14:val="tx1"/>
                                  </w14:solidFill>
                                </w14:textFill>
                              </w:rPr>
                            </w:sdtEndPr>
                            <w:sdtContent>
                              <w:r>
                                <w:rPr>
                                  <w:rFonts w:ascii="Arial" w:hAnsi="Arial" w:cs="Arial"/>
                                  <w:color w:val="000000" w:themeColor="text1"/>
                                  <w14:textFill>
                                    <w14:solidFill>
                                      <w14:schemeClr w14:val="tx1"/>
                                    </w14:solidFill>
                                  </w14:textFill>
                                </w:rPr>
                                <w:t>Given the tremendous potential of the Chinese new energy vehicle market, BYD, the domestic leading player in the sector, needs to reflect on its current competitive strategic choices and effectiveness. The report argues that BYD has been adopted the cost leadership strategy, which is enabled through technological advancements, value chain integration and economies of scale. The cost leadership also leads to the problem of low differentiation in the hyper competitive market, and the slow market responsiveness. The report recommends BYD to differentiate itself through product diversification and restructure its supply chain to adjust the level of integration</w:t>
                              </w:r>
                            </w:sdtContent>
                          </w:sdt>
                          <w:r>
                            <w:rPr>
                              <w:rFonts w:ascii="Arial" w:hAnsi="Arial" w:cs="Arial"/>
                              <w:color w:val="595959" w:themeColor="text1" w:themeTint="A6"/>
                              <w14:textFill>
                                <w14:solidFill>
                                  <w14:schemeClr w14:val="tx1">
                                    <w14:lumMod w14:val="65000"/>
                                    <w14:lumOff w14:val="35000"/>
                                  </w14:schemeClr>
                                </w14:solidFill>
                              </w14:textFill>
                            </w:rPr>
                            <w:t>…</w:t>
                          </w:r>
                        </w:p>
                      </w:txbxContent>
                    </v:textbox>
                    <w10:wrap type="square"/>
                  </v:shape>
                </w:pict>
              </mc:Fallback>
            </mc:AlternateContent>
          </w:r>
          <w:r>
            <w:rPr>
              <w:rFonts w:ascii="Arial" w:hAnsi="Arial" w:cs="Arial"/>
            </w:rPr>
            <w:br w:type="page"/>
          </w:r>
        </w:p>
      </w:sdtContent>
    </w:sdt>
    <w:sdt>
      <w:sdtPr>
        <w:rPr>
          <w:rFonts w:ascii="Arial" w:hAnsi="Arial" w:cs="Arial" w:eastAsiaTheme="minorHAnsi"/>
          <w:color w:val="auto"/>
          <w:sz w:val="24"/>
          <w:szCs w:val="22"/>
        </w:rPr>
        <w:id w:val="2140689287"/>
        <w:docPartObj>
          <w:docPartGallery w:val="Table of Contents"/>
          <w:docPartUnique/>
        </w:docPartObj>
      </w:sdtPr>
      <w:sdtEndPr>
        <w:rPr>
          <w:rFonts w:ascii="Arial" w:hAnsi="Arial" w:cs="Arial" w:eastAsiaTheme="minorEastAsia"/>
          <w:b/>
          <w:bCs/>
          <w:color w:val="auto"/>
          <w:sz w:val="21"/>
          <w:szCs w:val="21"/>
        </w:rPr>
      </w:sdtEndPr>
      <w:sdtContent>
        <w:p>
          <w:pPr>
            <w:pStyle w:val="30"/>
            <w:spacing w:before="120" w:beforeLines="50" w:after="360" w:afterLines="150" w:line="480" w:lineRule="auto"/>
            <w:jc w:val="both"/>
            <w:rPr>
              <w:rFonts w:ascii="Arial" w:hAnsi="Arial" w:cs="Arial"/>
            </w:rPr>
          </w:pPr>
          <w:r>
            <w:rPr>
              <w:rFonts w:ascii="Arial" w:hAnsi="Arial" w:cs="Arial"/>
            </w:rPr>
            <w:t>Contents</w:t>
          </w:r>
        </w:p>
        <w:p>
          <w:pPr>
            <w:pStyle w:val="15"/>
            <w:tabs>
              <w:tab w:val="left" w:pos="420"/>
              <w:tab w:val="right" w:leader="dot" w:pos="9736"/>
            </w:tabs>
            <w:spacing w:before="120" w:beforeLines="50" w:after="360" w:afterLines="150" w:line="480" w:lineRule="auto"/>
            <w:rPr>
              <w:rFonts w:ascii="Arial" w:hAnsi="Arial" w:cs="Arial"/>
              <w:kern w:val="2"/>
              <w:sz w:val="24"/>
              <w:szCs w:val="28"/>
              <w:lang w:val="en-US" w:eastAsia="zh-CN"/>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r>
            <w:fldChar w:fldCharType="begin"/>
          </w:r>
          <w:r>
            <w:instrText xml:space="preserve"> HYPERLINK \l "_Toc129157839" </w:instrText>
          </w:r>
          <w:r>
            <w:fldChar w:fldCharType="separate"/>
          </w:r>
          <w:r>
            <w:rPr>
              <w:rStyle w:val="23"/>
              <w:rFonts w:ascii="Arial" w:hAnsi="Arial" w:cs="Arial"/>
              <w:sz w:val="24"/>
              <w:szCs w:val="24"/>
            </w:rPr>
            <w:t>1.</w:t>
          </w:r>
          <w:r>
            <w:rPr>
              <w:rFonts w:ascii="Arial" w:hAnsi="Arial" w:cs="Arial"/>
              <w:kern w:val="2"/>
              <w:sz w:val="24"/>
              <w:szCs w:val="28"/>
              <w:lang w:val="en-US" w:eastAsia="zh-CN"/>
            </w:rPr>
            <w:tab/>
          </w:r>
          <w:r>
            <w:rPr>
              <w:rStyle w:val="23"/>
              <w:rFonts w:ascii="Arial" w:hAnsi="Arial" w:cs="Arial"/>
              <w:sz w:val="24"/>
              <w:szCs w:val="24"/>
            </w:rPr>
            <w:t>Introduction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_Toc129157839 \h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fldChar w:fldCharType="end"/>
          </w:r>
        </w:p>
        <w:p>
          <w:pPr>
            <w:pStyle w:val="17"/>
            <w:tabs>
              <w:tab w:val="right" w:leader="dot" w:pos="9736"/>
            </w:tabs>
            <w:spacing w:before="120" w:beforeLines="50" w:after="360" w:afterLines="150" w:line="480" w:lineRule="auto"/>
            <w:rPr>
              <w:rFonts w:ascii="Arial" w:hAnsi="Arial" w:cs="Arial"/>
              <w:kern w:val="2"/>
              <w:sz w:val="24"/>
              <w:szCs w:val="28"/>
              <w:lang w:val="en-US" w:eastAsia="zh-CN"/>
            </w:rPr>
          </w:pPr>
          <w:r>
            <w:fldChar w:fldCharType="begin"/>
          </w:r>
          <w:r>
            <w:instrText xml:space="preserve"> HYPERLINK \l "_Toc129157840" </w:instrText>
          </w:r>
          <w:r>
            <w:fldChar w:fldCharType="separate"/>
          </w:r>
          <w:r>
            <w:rPr>
              <w:rStyle w:val="23"/>
              <w:rFonts w:ascii="Arial" w:hAnsi="Arial" w:cs="Arial"/>
              <w:sz w:val="24"/>
              <w:szCs w:val="24"/>
              <w:lang w:eastAsia="zh-CN"/>
            </w:rPr>
            <w:t>1.1 New energy vehicle market in China</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_Toc129157840 \h </w:instrText>
          </w:r>
          <w:r>
            <w:rPr>
              <w:rFonts w:ascii="Arial" w:hAnsi="Arial" w:cs="Arial"/>
              <w:sz w:val="24"/>
              <w:szCs w:val="24"/>
            </w:rPr>
            <w:fldChar w:fldCharType="separate"/>
          </w:r>
          <w:r>
            <w:rPr>
              <w:rFonts w:ascii="Arial" w:hAnsi="Arial" w:cs="Arial"/>
              <w:sz w:val="24"/>
              <w:szCs w:val="24"/>
            </w:rPr>
            <w:t>1</w:t>
          </w:r>
          <w:r>
            <w:rPr>
              <w:rFonts w:ascii="Arial" w:hAnsi="Arial" w:cs="Arial"/>
              <w:sz w:val="24"/>
              <w:szCs w:val="24"/>
            </w:rPr>
            <w:fldChar w:fldCharType="end"/>
          </w:r>
          <w:r>
            <w:rPr>
              <w:rFonts w:ascii="Arial" w:hAnsi="Arial" w:cs="Arial"/>
              <w:sz w:val="24"/>
              <w:szCs w:val="24"/>
            </w:rPr>
            <w:fldChar w:fldCharType="end"/>
          </w:r>
        </w:p>
        <w:p>
          <w:pPr>
            <w:pStyle w:val="17"/>
            <w:tabs>
              <w:tab w:val="right" w:leader="dot" w:pos="9736"/>
            </w:tabs>
            <w:spacing w:before="120" w:beforeLines="50" w:after="360" w:afterLines="150" w:line="480" w:lineRule="auto"/>
            <w:rPr>
              <w:rFonts w:ascii="Arial" w:hAnsi="Arial" w:cs="Arial"/>
              <w:kern w:val="2"/>
              <w:sz w:val="24"/>
              <w:szCs w:val="28"/>
              <w:lang w:val="en-US" w:eastAsia="zh-CN"/>
            </w:rPr>
          </w:pPr>
          <w:r>
            <w:fldChar w:fldCharType="begin"/>
          </w:r>
          <w:r>
            <w:instrText xml:space="preserve"> HYPERLINK \l "_Toc129157841" </w:instrText>
          </w:r>
          <w:r>
            <w:fldChar w:fldCharType="separate"/>
          </w:r>
          <w:r>
            <w:rPr>
              <w:rStyle w:val="23"/>
              <w:rFonts w:ascii="Arial" w:hAnsi="Arial" w:cs="Arial"/>
              <w:sz w:val="24"/>
              <w:szCs w:val="24"/>
            </w:rPr>
            <w:t>1.2 Objectives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_Toc129157841 \h </w:instrText>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fldChar w:fldCharType="end"/>
          </w:r>
        </w:p>
        <w:p>
          <w:pPr>
            <w:pStyle w:val="17"/>
            <w:tabs>
              <w:tab w:val="right" w:leader="dot" w:pos="9736"/>
            </w:tabs>
            <w:spacing w:before="120" w:beforeLines="50" w:after="360" w:afterLines="150" w:line="480" w:lineRule="auto"/>
            <w:rPr>
              <w:rFonts w:ascii="Arial" w:hAnsi="Arial" w:cs="Arial"/>
              <w:kern w:val="2"/>
              <w:sz w:val="24"/>
              <w:szCs w:val="28"/>
              <w:lang w:val="en-US" w:eastAsia="zh-CN"/>
            </w:rPr>
          </w:pPr>
          <w:r>
            <w:fldChar w:fldCharType="begin"/>
          </w:r>
          <w:r>
            <w:instrText xml:space="preserve"> HYPERLINK \l "_Toc129157842" </w:instrText>
          </w:r>
          <w:r>
            <w:fldChar w:fldCharType="separate"/>
          </w:r>
          <w:r>
            <w:rPr>
              <w:rStyle w:val="23"/>
              <w:rFonts w:ascii="Arial" w:hAnsi="Arial" w:cs="Arial"/>
              <w:sz w:val="24"/>
              <w:szCs w:val="24"/>
            </w:rPr>
            <w:t>1.3 Scope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_Toc129157842 \h </w:instrText>
          </w:r>
          <w:r>
            <w:rPr>
              <w:rFonts w:ascii="Arial" w:hAnsi="Arial" w:cs="Arial"/>
              <w:sz w:val="24"/>
              <w:szCs w:val="24"/>
            </w:rPr>
            <w:fldChar w:fldCharType="separate"/>
          </w:r>
          <w:r>
            <w:rPr>
              <w:rFonts w:ascii="Arial" w:hAnsi="Arial" w:cs="Arial"/>
              <w:sz w:val="24"/>
              <w:szCs w:val="24"/>
            </w:rPr>
            <w:t>3</w:t>
          </w:r>
          <w:r>
            <w:rPr>
              <w:rFonts w:ascii="Arial" w:hAnsi="Arial" w:cs="Arial"/>
              <w:sz w:val="24"/>
              <w:szCs w:val="24"/>
            </w:rPr>
            <w:fldChar w:fldCharType="end"/>
          </w:r>
          <w:r>
            <w:rPr>
              <w:rFonts w:ascii="Arial" w:hAnsi="Arial" w:cs="Arial"/>
              <w:sz w:val="24"/>
              <w:szCs w:val="24"/>
            </w:rPr>
            <w:fldChar w:fldCharType="end"/>
          </w:r>
        </w:p>
        <w:p>
          <w:pPr>
            <w:pStyle w:val="15"/>
            <w:tabs>
              <w:tab w:val="left" w:pos="420"/>
              <w:tab w:val="right" w:leader="dot" w:pos="9736"/>
            </w:tabs>
            <w:spacing w:before="120" w:beforeLines="50" w:after="360" w:afterLines="150" w:line="480" w:lineRule="auto"/>
            <w:rPr>
              <w:rFonts w:ascii="Arial" w:hAnsi="Arial" w:cs="Arial"/>
              <w:kern w:val="2"/>
              <w:sz w:val="24"/>
              <w:szCs w:val="28"/>
              <w:lang w:val="en-US" w:eastAsia="zh-CN"/>
            </w:rPr>
          </w:pPr>
          <w:r>
            <w:fldChar w:fldCharType="begin"/>
          </w:r>
          <w:r>
            <w:instrText xml:space="preserve"> HYPERLINK \l "_Toc129157843" </w:instrText>
          </w:r>
          <w:r>
            <w:fldChar w:fldCharType="separate"/>
          </w:r>
          <w:r>
            <w:rPr>
              <w:rStyle w:val="23"/>
              <w:rFonts w:ascii="Arial" w:hAnsi="Arial" w:cs="Arial"/>
              <w:sz w:val="24"/>
              <w:szCs w:val="24"/>
            </w:rPr>
            <w:t>2.</w:t>
          </w:r>
          <w:r>
            <w:rPr>
              <w:rFonts w:ascii="Arial" w:hAnsi="Arial" w:cs="Arial"/>
              <w:kern w:val="2"/>
              <w:sz w:val="24"/>
              <w:szCs w:val="28"/>
              <w:lang w:val="en-US" w:eastAsia="zh-CN"/>
            </w:rPr>
            <w:tab/>
          </w:r>
          <w:r>
            <w:rPr>
              <w:rStyle w:val="23"/>
              <w:rFonts w:ascii="Arial" w:hAnsi="Arial" w:cs="Arial"/>
              <w:sz w:val="24"/>
              <w:szCs w:val="24"/>
            </w:rPr>
            <w:t>Main Body</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_Toc129157843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pPr>
            <w:pStyle w:val="17"/>
            <w:tabs>
              <w:tab w:val="left" w:pos="840"/>
              <w:tab w:val="right" w:leader="dot" w:pos="9736"/>
            </w:tabs>
            <w:spacing w:before="120" w:beforeLines="50" w:after="360" w:afterLines="150" w:line="480" w:lineRule="auto"/>
            <w:rPr>
              <w:rFonts w:ascii="Arial" w:hAnsi="Arial" w:cs="Arial"/>
              <w:kern w:val="2"/>
              <w:sz w:val="24"/>
              <w:szCs w:val="28"/>
              <w:lang w:val="en-US" w:eastAsia="zh-CN"/>
            </w:rPr>
          </w:pPr>
          <w:r>
            <w:fldChar w:fldCharType="begin"/>
          </w:r>
          <w:r>
            <w:instrText xml:space="preserve"> HYPERLINK \l "_Toc129157844" </w:instrText>
          </w:r>
          <w:r>
            <w:fldChar w:fldCharType="separate"/>
          </w:r>
          <w:r>
            <w:rPr>
              <w:rStyle w:val="23"/>
              <w:rFonts w:ascii="Arial" w:hAnsi="Arial" w:cs="Arial"/>
              <w:sz w:val="24"/>
              <w:szCs w:val="24"/>
              <w:lang w:eastAsia="zh-CN"/>
            </w:rPr>
            <w:t>2.1</w:t>
          </w:r>
          <w:r>
            <w:rPr>
              <w:rFonts w:ascii="Arial" w:hAnsi="Arial" w:cs="Arial"/>
              <w:kern w:val="2"/>
              <w:sz w:val="24"/>
              <w:szCs w:val="28"/>
              <w:lang w:val="en-US" w:eastAsia="zh-CN"/>
            </w:rPr>
            <w:tab/>
          </w:r>
          <w:r>
            <w:rPr>
              <w:rStyle w:val="23"/>
              <w:rFonts w:ascii="Arial" w:hAnsi="Arial" w:cs="Arial"/>
              <w:sz w:val="24"/>
              <w:szCs w:val="24"/>
              <w:lang w:eastAsia="zh-CN"/>
            </w:rPr>
            <w:t>The competitive strategy of BYD</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_Toc129157844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pPr>
            <w:pStyle w:val="12"/>
            <w:tabs>
              <w:tab w:val="right" w:leader="dot" w:pos="9736"/>
            </w:tabs>
            <w:spacing w:before="120" w:beforeLines="50" w:after="360" w:afterLines="150" w:line="480" w:lineRule="auto"/>
            <w:rPr>
              <w:rFonts w:ascii="Arial" w:hAnsi="Arial" w:cs="Arial"/>
              <w:sz w:val="24"/>
              <w:szCs w:val="24"/>
            </w:rPr>
          </w:pPr>
          <w:r>
            <w:fldChar w:fldCharType="begin"/>
          </w:r>
          <w:r>
            <w:instrText xml:space="preserve"> HYPERLINK \l "_Toc129157845" </w:instrText>
          </w:r>
          <w:r>
            <w:fldChar w:fldCharType="separate"/>
          </w:r>
          <w:r>
            <w:rPr>
              <w:rStyle w:val="23"/>
              <w:rFonts w:ascii="Arial" w:hAnsi="Arial" w:cs="Arial"/>
              <w:sz w:val="24"/>
              <w:szCs w:val="24"/>
            </w:rPr>
            <w:t>2.1.1 Cost leadership enabled by technological advancements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_Toc129157845 \h </w:instrText>
          </w:r>
          <w:r>
            <w:rPr>
              <w:rFonts w:ascii="Arial" w:hAnsi="Arial" w:cs="Arial"/>
              <w:sz w:val="24"/>
              <w:szCs w:val="24"/>
            </w:rPr>
            <w:fldChar w:fldCharType="separate"/>
          </w:r>
          <w:r>
            <w:rPr>
              <w:rFonts w:ascii="Arial" w:hAnsi="Arial" w:cs="Arial"/>
              <w:sz w:val="24"/>
              <w:szCs w:val="24"/>
            </w:rPr>
            <w:t>5</w:t>
          </w:r>
          <w:r>
            <w:rPr>
              <w:rFonts w:ascii="Arial" w:hAnsi="Arial" w:cs="Arial"/>
              <w:sz w:val="24"/>
              <w:szCs w:val="24"/>
            </w:rPr>
            <w:fldChar w:fldCharType="end"/>
          </w:r>
          <w:r>
            <w:rPr>
              <w:rFonts w:ascii="Arial" w:hAnsi="Arial" w:cs="Arial"/>
              <w:sz w:val="24"/>
              <w:szCs w:val="24"/>
            </w:rPr>
            <w:fldChar w:fldCharType="end"/>
          </w:r>
        </w:p>
        <w:p>
          <w:pPr>
            <w:pStyle w:val="12"/>
            <w:tabs>
              <w:tab w:val="right" w:leader="dot" w:pos="9736"/>
            </w:tabs>
            <w:spacing w:before="120" w:beforeLines="50" w:after="360" w:afterLines="150" w:line="480" w:lineRule="auto"/>
            <w:rPr>
              <w:rFonts w:ascii="Arial" w:hAnsi="Arial" w:cs="Arial"/>
              <w:sz w:val="24"/>
              <w:szCs w:val="24"/>
            </w:rPr>
          </w:pPr>
          <w:r>
            <w:fldChar w:fldCharType="begin"/>
          </w:r>
          <w:r>
            <w:instrText xml:space="preserve"> HYPERLINK \l "_Toc129157846" </w:instrText>
          </w:r>
          <w:r>
            <w:fldChar w:fldCharType="separate"/>
          </w:r>
          <w:r>
            <w:rPr>
              <w:rStyle w:val="23"/>
              <w:rFonts w:ascii="Arial" w:hAnsi="Arial" w:cs="Arial"/>
              <w:sz w:val="24"/>
              <w:szCs w:val="24"/>
              <w:lang w:eastAsia="zh-CN"/>
            </w:rPr>
            <w:t>2.1.2 Cost leadership enabled by economies of scale</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_Toc129157846 \h </w:instrText>
          </w:r>
          <w:r>
            <w:rPr>
              <w:rFonts w:ascii="Arial" w:hAnsi="Arial" w:cs="Arial"/>
              <w:sz w:val="24"/>
              <w:szCs w:val="24"/>
            </w:rPr>
            <w:fldChar w:fldCharType="separate"/>
          </w:r>
          <w:r>
            <w:rPr>
              <w:rFonts w:ascii="Arial" w:hAnsi="Arial" w:cs="Arial"/>
              <w:sz w:val="24"/>
              <w:szCs w:val="24"/>
            </w:rPr>
            <w:t>6</w:t>
          </w:r>
          <w:r>
            <w:rPr>
              <w:rFonts w:ascii="Arial" w:hAnsi="Arial" w:cs="Arial"/>
              <w:sz w:val="24"/>
              <w:szCs w:val="24"/>
            </w:rPr>
            <w:fldChar w:fldCharType="end"/>
          </w:r>
          <w:r>
            <w:rPr>
              <w:rFonts w:ascii="Arial" w:hAnsi="Arial" w:cs="Arial"/>
              <w:sz w:val="24"/>
              <w:szCs w:val="24"/>
            </w:rPr>
            <w:fldChar w:fldCharType="end"/>
          </w:r>
        </w:p>
        <w:p>
          <w:pPr>
            <w:pStyle w:val="12"/>
            <w:tabs>
              <w:tab w:val="right" w:leader="dot" w:pos="9736"/>
            </w:tabs>
            <w:spacing w:before="120" w:beforeLines="50" w:after="360" w:afterLines="150" w:line="480" w:lineRule="auto"/>
            <w:rPr>
              <w:rFonts w:ascii="Arial" w:hAnsi="Arial" w:cs="Arial"/>
              <w:sz w:val="24"/>
              <w:szCs w:val="24"/>
            </w:rPr>
          </w:pPr>
          <w:r>
            <w:fldChar w:fldCharType="begin"/>
          </w:r>
          <w:r>
            <w:instrText xml:space="preserve"> HYPERLINK \l "_Toc129157847" </w:instrText>
          </w:r>
          <w:r>
            <w:fldChar w:fldCharType="separate"/>
          </w:r>
          <w:r>
            <w:rPr>
              <w:rStyle w:val="23"/>
              <w:rFonts w:ascii="Arial" w:hAnsi="Arial" w:cs="Arial"/>
              <w:sz w:val="24"/>
              <w:szCs w:val="24"/>
              <w:lang w:eastAsia="zh-CN"/>
            </w:rPr>
            <w:t>2.1.3 Cost leadership enabled by supply chain integration</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_Toc129157847 \h </w:instrText>
          </w:r>
          <w:r>
            <w:rPr>
              <w:rFonts w:ascii="Arial" w:hAnsi="Arial" w:cs="Arial"/>
              <w:sz w:val="24"/>
              <w:szCs w:val="24"/>
            </w:rPr>
            <w:fldChar w:fldCharType="separate"/>
          </w:r>
          <w:r>
            <w:rPr>
              <w:rFonts w:ascii="Arial" w:hAnsi="Arial" w:cs="Arial"/>
              <w:sz w:val="24"/>
              <w:szCs w:val="24"/>
            </w:rPr>
            <w:t>7</w:t>
          </w:r>
          <w:r>
            <w:rPr>
              <w:rFonts w:ascii="Arial" w:hAnsi="Arial" w:cs="Arial"/>
              <w:sz w:val="24"/>
              <w:szCs w:val="24"/>
            </w:rPr>
            <w:fldChar w:fldCharType="end"/>
          </w:r>
          <w:r>
            <w:rPr>
              <w:rFonts w:ascii="Arial" w:hAnsi="Arial" w:cs="Arial"/>
              <w:sz w:val="24"/>
              <w:szCs w:val="24"/>
            </w:rPr>
            <w:fldChar w:fldCharType="end"/>
          </w:r>
        </w:p>
        <w:p>
          <w:pPr>
            <w:pStyle w:val="17"/>
            <w:tabs>
              <w:tab w:val="left" w:pos="840"/>
              <w:tab w:val="right" w:leader="dot" w:pos="9736"/>
            </w:tabs>
            <w:spacing w:before="120" w:beforeLines="50" w:after="360" w:afterLines="150" w:line="480" w:lineRule="auto"/>
            <w:rPr>
              <w:rFonts w:ascii="Arial" w:hAnsi="Arial" w:cs="Arial"/>
              <w:kern w:val="2"/>
              <w:sz w:val="24"/>
              <w:szCs w:val="28"/>
              <w:lang w:val="en-US" w:eastAsia="zh-CN"/>
            </w:rPr>
          </w:pPr>
          <w:r>
            <w:fldChar w:fldCharType="begin"/>
          </w:r>
          <w:r>
            <w:instrText xml:space="preserve"> HYPERLINK \l "_Toc129157848" </w:instrText>
          </w:r>
          <w:r>
            <w:fldChar w:fldCharType="separate"/>
          </w:r>
          <w:r>
            <w:rPr>
              <w:rStyle w:val="23"/>
              <w:rFonts w:ascii="Arial" w:hAnsi="Arial" w:cs="Arial"/>
              <w:sz w:val="24"/>
              <w:szCs w:val="24"/>
            </w:rPr>
            <w:t>2.2</w:t>
          </w:r>
          <w:r>
            <w:rPr>
              <w:rFonts w:ascii="Arial" w:hAnsi="Arial" w:cs="Arial"/>
              <w:kern w:val="2"/>
              <w:sz w:val="24"/>
              <w:szCs w:val="28"/>
              <w:lang w:val="en-US" w:eastAsia="zh-CN"/>
            </w:rPr>
            <w:tab/>
          </w:r>
          <w:r>
            <w:rPr>
              <w:rStyle w:val="23"/>
              <w:rFonts w:ascii="Arial" w:hAnsi="Arial" w:cs="Arial"/>
              <w:sz w:val="24"/>
              <w:szCs w:val="24"/>
            </w:rPr>
            <w:t>The evaluation of strategy effectiveness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_Toc129157848 \h </w:instrText>
          </w:r>
          <w:r>
            <w:rPr>
              <w:rFonts w:ascii="Arial" w:hAnsi="Arial" w:cs="Arial"/>
              <w:sz w:val="24"/>
              <w:szCs w:val="24"/>
            </w:rPr>
            <w:fldChar w:fldCharType="separate"/>
          </w:r>
          <w:r>
            <w:rPr>
              <w:rFonts w:ascii="Arial" w:hAnsi="Arial" w:cs="Arial"/>
              <w:sz w:val="24"/>
              <w:szCs w:val="24"/>
            </w:rPr>
            <w:t>8</w:t>
          </w:r>
          <w:r>
            <w:rPr>
              <w:rFonts w:ascii="Arial" w:hAnsi="Arial" w:cs="Arial"/>
              <w:sz w:val="24"/>
              <w:szCs w:val="24"/>
            </w:rPr>
            <w:fldChar w:fldCharType="end"/>
          </w:r>
          <w:r>
            <w:rPr>
              <w:rFonts w:ascii="Arial" w:hAnsi="Arial" w:cs="Arial"/>
              <w:sz w:val="24"/>
              <w:szCs w:val="24"/>
            </w:rPr>
            <w:fldChar w:fldCharType="end"/>
          </w:r>
        </w:p>
        <w:p>
          <w:pPr>
            <w:pStyle w:val="15"/>
            <w:tabs>
              <w:tab w:val="right" w:leader="dot" w:pos="9736"/>
            </w:tabs>
            <w:spacing w:before="120" w:beforeLines="50" w:after="360" w:afterLines="150" w:line="480" w:lineRule="auto"/>
            <w:rPr>
              <w:rFonts w:ascii="Arial" w:hAnsi="Arial" w:cs="Arial"/>
              <w:kern w:val="2"/>
              <w:sz w:val="24"/>
              <w:szCs w:val="28"/>
              <w:lang w:val="en-US" w:eastAsia="zh-CN"/>
            </w:rPr>
          </w:pPr>
          <w:r>
            <w:rPr>
              <w:sz w:val="24"/>
              <w:szCs w:val="24"/>
            </w:rPr>
            <w:t xml:space="preserve">3. </w:t>
          </w:r>
          <w:r>
            <w:fldChar w:fldCharType="begin"/>
          </w:r>
          <w:r>
            <w:instrText xml:space="preserve"> HYPERLINK \l "_Toc129157849" </w:instrText>
          </w:r>
          <w:r>
            <w:fldChar w:fldCharType="separate"/>
          </w:r>
          <w:r>
            <w:rPr>
              <w:rStyle w:val="23"/>
              <w:rFonts w:ascii="Arial" w:hAnsi="Arial" w:cs="Arial"/>
              <w:sz w:val="24"/>
              <w:szCs w:val="24"/>
            </w:rPr>
            <w:t xml:space="preserve">Conclusion </w:t>
          </w:r>
          <w:r>
            <w:rPr>
              <w:rStyle w:val="23"/>
              <w:rFonts w:ascii="Arial" w:hAnsi="Arial" w:cs="Arial"/>
              <w:sz w:val="24"/>
              <w:szCs w:val="24"/>
              <w:lang w:eastAsia="zh-CN"/>
            </w:rPr>
            <w:t>and recommendations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_Toc129157849 \h </w:instrText>
          </w:r>
          <w:r>
            <w:rPr>
              <w:rFonts w:ascii="Arial" w:hAnsi="Arial" w:cs="Arial"/>
              <w:sz w:val="24"/>
              <w:szCs w:val="24"/>
            </w:rPr>
            <w:fldChar w:fldCharType="separate"/>
          </w:r>
          <w:r>
            <w:rPr>
              <w:rFonts w:ascii="Arial" w:hAnsi="Arial" w:cs="Arial"/>
              <w:sz w:val="24"/>
              <w:szCs w:val="24"/>
            </w:rPr>
            <w:t>10</w:t>
          </w:r>
          <w:r>
            <w:rPr>
              <w:rFonts w:ascii="Arial" w:hAnsi="Arial" w:cs="Arial"/>
              <w:sz w:val="24"/>
              <w:szCs w:val="24"/>
            </w:rPr>
            <w:fldChar w:fldCharType="end"/>
          </w:r>
          <w:r>
            <w:rPr>
              <w:rFonts w:ascii="Arial" w:hAnsi="Arial" w:cs="Arial"/>
              <w:sz w:val="24"/>
              <w:szCs w:val="24"/>
            </w:rPr>
            <w:fldChar w:fldCharType="end"/>
          </w:r>
        </w:p>
        <w:p>
          <w:pPr>
            <w:pStyle w:val="15"/>
            <w:tabs>
              <w:tab w:val="right" w:leader="dot" w:pos="9736"/>
            </w:tabs>
            <w:spacing w:before="120" w:beforeLines="50" w:after="360" w:afterLines="150" w:line="480" w:lineRule="auto"/>
            <w:rPr>
              <w:rFonts w:ascii="Arial" w:hAnsi="Arial" w:cs="Arial"/>
              <w:kern w:val="2"/>
              <w:sz w:val="24"/>
              <w:szCs w:val="28"/>
              <w:lang w:val="en-US" w:eastAsia="zh-CN"/>
            </w:rPr>
          </w:pPr>
          <w:r>
            <w:fldChar w:fldCharType="begin"/>
          </w:r>
          <w:r>
            <w:instrText xml:space="preserve"> HYPERLINK \l "_Toc129157850" </w:instrText>
          </w:r>
          <w:r>
            <w:fldChar w:fldCharType="separate"/>
          </w:r>
          <w:r>
            <w:rPr>
              <w:rStyle w:val="23"/>
              <w:rFonts w:ascii="Arial" w:hAnsi="Arial" w:cs="Arial"/>
              <w:sz w:val="24"/>
              <w:szCs w:val="24"/>
            </w:rPr>
            <w:t>References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_Toc129157850 \h </w:instrText>
          </w:r>
          <w:r>
            <w:rPr>
              <w:rFonts w:ascii="Arial" w:hAnsi="Arial" w:cs="Arial"/>
              <w:sz w:val="24"/>
              <w:szCs w:val="24"/>
            </w:rPr>
            <w:fldChar w:fldCharType="separate"/>
          </w:r>
          <w:r>
            <w:rPr>
              <w:rFonts w:ascii="Arial" w:hAnsi="Arial" w:cs="Arial"/>
              <w:sz w:val="24"/>
              <w:szCs w:val="24"/>
            </w:rPr>
            <w:t>12</w:t>
          </w:r>
          <w:r>
            <w:rPr>
              <w:rFonts w:ascii="Arial" w:hAnsi="Arial" w:cs="Arial"/>
              <w:sz w:val="24"/>
              <w:szCs w:val="24"/>
            </w:rPr>
            <w:fldChar w:fldCharType="end"/>
          </w:r>
          <w:r>
            <w:rPr>
              <w:rFonts w:ascii="Arial" w:hAnsi="Arial" w:cs="Arial"/>
              <w:sz w:val="24"/>
              <w:szCs w:val="24"/>
            </w:rPr>
            <w:fldChar w:fldCharType="end"/>
          </w:r>
        </w:p>
        <w:p>
          <w:pPr>
            <w:spacing w:before="120" w:beforeLines="50" w:after="360" w:afterLines="150" w:line="480" w:lineRule="auto"/>
            <w:jc w:val="both"/>
            <w:rPr>
              <w:rFonts w:ascii="Arial" w:hAnsi="Arial" w:cs="Arial"/>
            </w:rPr>
          </w:pPr>
          <w:r>
            <w:rPr>
              <w:rFonts w:ascii="Arial" w:hAnsi="Arial" w:cs="Arial"/>
              <w:b/>
              <w:bCs/>
              <w:sz w:val="24"/>
              <w:szCs w:val="24"/>
            </w:rPr>
            <w:fldChar w:fldCharType="end"/>
          </w:r>
        </w:p>
      </w:sdtContent>
    </w:sdt>
    <w:p>
      <w:pPr>
        <w:spacing w:before="120" w:beforeLines="50" w:after="360" w:afterLines="150" w:line="480" w:lineRule="auto"/>
        <w:jc w:val="both"/>
        <w:rPr>
          <w:rFonts w:ascii="Arial" w:hAnsi="Arial" w:cs="Arial"/>
        </w:rPr>
      </w:pPr>
      <w:r>
        <w:rPr>
          <w:rFonts w:ascii="Arial" w:hAnsi="Arial" w:cs="Arial"/>
        </w:rPr>
        <w:br w:type="page"/>
      </w:r>
    </w:p>
    <w:p>
      <w:pPr>
        <w:pStyle w:val="2"/>
        <w:numPr>
          <w:ilvl w:val="0"/>
          <w:numId w:val="1"/>
        </w:numPr>
        <w:spacing w:before="120" w:beforeLines="50" w:after="360" w:afterLines="150" w:line="480" w:lineRule="auto"/>
        <w:jc w:val="both"/>
        <w:rPr>
          <w:rFonts w:ascii="Arial" w:hAnsi="Arial" w:cs="Arial"/>
        </w:rPr>
        <w:sectPr>
          <w:headerReference r:id="rId7" w:type="first"/>
          <w:footerReference r:id="rId10" w:type="first"/>
          <w:headerReference r:id="rId5" w:type="default"/>
          <w:footerReference r:id="rId8" w:type="default"/>
          <w:headerReference r:id="rId6" w:type="even"/>
          <w:footerReference r:id="rId9" w:type="even"/>
          <w:pgSz w:w="11906" w:h="16838"/>
          <w:pgMar w:top="1440" w:right="1080" w:bottom="1440" w:left="1080" w:header="708" w:footer="708" w:gutter="0"/>
          <w:pgNumType w:start="0"/>
          <w:cols w:space="708" w:num="1"/>
          <w:titlePg/>
          <w:docGrid w:linePitch="360" w:charSpace="0"/>
        </w:sectPr>
      </w:pPr>
      <w:bookmarkStart w:id="0" w:name="_Toc129157839"/>
    </w:p>
    <w:p>
      <w:pPr>
        <w:pStyle w:val="2"/>
        <w:numPr>
          <w:ilvl w:val="0"/>
          <w:numId w:val="1"/>
        </w:numPr>
        <w:spacing w:before="120" w:beforeLines="50" w:after="360" w:afterLines="150" w:line="480" w:lineRule="auto"/>
        <w:jc w:val="both"/>
        <w:rPr>
          <w:rFonts w:ascii="Arial" w:hAnsi="Arial" w:cs="Arial"/>
        </w:rPr>
      </w:pPr>
      <w:r>
        <w:rPr>
          <w:rFonts w:ascii="Arial" w:hAnsi="Arial" w:cs="Arial"/>
        </w:rPr>
        <w:t>Introduction</w:t>
      </w:r>
      <w:bookmarkEnd w:id="0"/>
    </w:p>
    <w:p>
      <w:pPr>
        <w:pStyle w:val="3"/>
        <w:spacing w:beforeLines="50" w:after="360" w:afterLines="150" w:line="480" w:lineRule="auto"/>
        <w:jc w:val="both"/>
        <w:rPr>
          <w:rFonts w:ascii="Arial" w:hAnsi="Arial" w:cs="Arial"/>
          <w:lang w:eastAsia="zh-CN"/>
        </w:rPr>
      </w:pPr>
      <w:bookmarkStart w:id="1" w:name="_Toc129157840"/>
      <w:r>
        <w:rPr>
          <w:rFonts w:ascii="Arial" w:hAnsi="Arial" w:cs="Arial"/>
          <w:lang w:eastAsia="zh-CN"/>
        </w:rPr>
        <w:t>1.1 New energy vehicle market in China</w:t>
      </w:r>
      <w:bookmarkEnd w:id="1"/>
      <w:r>
        <w:rPr>
          <w:rFonts w:ascii="Arial" w:hAnsi="Arial" w:cs="Arial"/>
          <w:lang w:eastAsia="zh-CN"/>
        </w:rPr>
        <w:t xml:space="preserve"> </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Looking back to 2018, China's new energy vehicle (NEV) market was still in its policy-led start-up phase. Influenced by factors such as the immaturity of the industry chain and supporting facilities and </w:t>
      </w:r>
      <w:r>
        <w:rPr>
          <w:rFonts w:hint="eastAsia" w:ascii="Arial" w:hAnsi="Arial" w:cs="Arial"/>
          <w:sz w:val="24"/>
          <w:szCs w:val="24"/>
          <w:lang w:eastAsia="zh-CN"/>
        </w:rPr>
        <w:t>unc</w:t>
      </w:r>
      <w:r>
        <w:rPr>
          <w:rFonts w:ascii="Arial" w:hAnsi="Arial" w:cs="Arial"/>
          <w:sz w:val="24"/>
          <w:szCs w:val="24"/>
          <w:lang w:eastAsia="zh-CN"/>
        </w:rPr>
        <w:t xml:space="preserve">ultivated consumer awareness, policies and regulations became the core drivers of growth in the domestic NEV market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{"citationID":"GTaYGD1K","properties":{"formattedCitation":"(Dong and Liu, 2020)","plainCitation":"(Dong and Liu, 2020)","noteIndex":0},"citationItems":[{"id":687,"uris":["http://zotero.org/users/10703570/items/9L2XJRHI"],"itemData":{"id":687,"type":"article-journal","container-title":"Resources Policy","ISSN":"0301-4207","journalAbbreviation":"Resources Policy","note":"publisher: Elsevier","page":"101655","title":"Policy evolution and effect evaluation of new-energy vehicle industry in China","volume":"67","author":[{"family":"Dong","given":"Feng"},{"family":"Liu","given":"Yajie"}],"issued":{"date-parts":[["2020"]]}}}],"schema":"https://github.com/citation-style-language/schema/raw/master/csl-citation.json"}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(Dong and Liu, 2020)</w:t>
      </w:r>
      <w:r>
        <w:rPr>
          <w:rFonts w:ascii="Arial" w:hAnsi="Arial" w:cs="Arial"/>
          <w:sz w:val="24"/>
          <w:szCs w:val="24"/>
          <w:lang w:eastAsia="zh-CN"/>
        </w:rPr>
        <w:fldChar w:fldCharType="end"/>
      </w:r>
      <w:r>
        <w:rPr>
          <w:rFonts w:ascii="Arial" w:hAnsi="Arial" w:cs="Arial"/>
          <w:sz w:val="24"/>
          <w:szCs w:val="24"/>
          <w:lang w:eastAsia="zh-CN"/>
        </w:rPr>
        <w:t xml:space="preserve">. With the spurt in NEV sales in 2018, the domestic NEV market has entered a multi-factor-driven transition phase. On the one hand, the focus of new energy policies has gradually shifted from end-product subsidies to various aspects of the product life cycle; On the other hand, with the influx of different types of automotive players and their active layout, the supply of NEV products has gradually become abundant, accelerating the development of the domestic NEV market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{"citationID":"6Rkbbm5N","properties":{"formattedCitation":"(Li {\\i{}et al.}, 2020; Zhou, Wu and Hu, 2020)","plainCitation":"(Li et al., 2020; Zhou, Wu and Hu, 2020)","noteIndex":0},"citationItems":[{"id":689,"uris":["http://zotero.org/users/10703570/items/QMQSVXRQ"],"itemData":{"id":689,"type":"article-journal","container-title":"Journal of Cleaner Production","ISSN":"0959-6526","journalAbbreviation":"Journal of Cleaner Production","note":"publisher: Elsevier","page":"118456","title":"Dual credit policy: promoting new energy vehicles with battery recycling in a competitive environment?","volume":"243","author":[{"family":"Li","given":"Jizi"},{"family":"Ku","given":"Yaoyao"},{"family":"Liu","given":"Chunling"},{"family":"Zhou","given":"Yuping"}],"issued":{"date-parts":[["2020"]]}}},{"id":688,"uris":["http://zotero.org/users/10703570/items/UZSVMBSL"],"itemData":{"id":688,"type":"article-journal","container-title":"Sustainability","ISSN":"2071-1050","issue":"9","journalAbbreviation":"Sustainability","note":"publisher: MDPI","page":"3629","title":"Research on the policy evolution of China’s new energy vehicles industry","volume":"12","author":[{"family":"Zhou","given":"Na"},{"family":"Wu","given":"Qiaosheng"},{"family":"Hu","given":"Xiangping"}],"issued":{"date-parts":[["2020"]]}}}],"schema":"https://github.com/citation-style-language/schema/raw/master/csl-citation.json"}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32"/>
        </w:rPr>
        <w:t xml:space="preserve">(Li </w:t>
      </w:r>
      <w:r>
        <w:rPr>
          <w:rFonts w:ascii="Arial" w:hAnsi="Arial" w:cs="Arial"/>
          <w:i/>
          <w:iCs/>
          <w:sz w:val="24"/>
          <w:szCs w:val="32"/>
        </w:rPr>
        <w:t>et al.</w:t>
      </w:r>
      <w:r>
        <w:rPr>
          <w:rFonts w:ascii="Arial" w:hAnsi="Arial" w:cs="Arial"/>
          <w:sz w:val="24"/>
          <w:szCs w:val="32"/>
        </w:rPr>
        <w:t>, 2020; Zhou, Wu and Hu, 2020)</w:t>
      </w:r>
      <w:r>
        <w:rPr>
          <w:rFonts w:ascii="Arial" w:hAnsi="Arial" w:cs="Arial"/>
          <w:sz w:val="24"/>
          <w:szCs w:val="24"/>
          <w:lang w:eastAsia="zh-CN"/>
        </w:rPr>
        <w:fldChar w:fldCharType="end"/>
      </w:r>
      <w:r>
        <w:rPr>
          <w:rFonts w:ascii="Arial" w:hAnsi="Arial" w:cs="Arial"/>
          <w:sz w:val="24"/>
          <w:szCs w:val="24"/>
          <w:lang w:eastAsia="zh-CN"/>
        </w:rPr>
        <w:t>.</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According to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{"citationID":"PIjODu9P","properties":{"formattedCitation":"(Nikkei Asia, 2022)","plainCitation":"(Nikkei Asia, 2022)","noteIndex":0},"citationItems":[{"id":690,"uris":["http://zotero.org/users/10703570/items/I8AP5Y87"],"itemData":{"id":690,"type":"webpage","title":"China NEV sales jump in 2022, with some makers far out in front","URL":"https://asia.nikkei.com/Spotlight/Caixin/China-NEV-sales-jump-in-2022-with-some-makers-far-out-in-front","author":[{"family":"Nikkei Asia","given":""}],"accessed":{"date-parts":[["2023",3,8]]},"issued":{"date-parts":[["2022"]]}}}],"schema":"https://github.com/citation-style-language/schema/raw/master/csl-citation.json"}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Nikkei Asia (2022)</w:t>
      </w:r>
      <w:r>
        <w:rPr>
          <w:rFonts w:ascii="Arial" w:hAnsi="Arial" w:cs="Arial"/>
          <w:sz w:val="24"/>
          <w:szCs w:val="24"/>
          <w:lang w:eastAsia="zh-CN"/>
        </w:rPr>
        <w:fldChar w:fldCharType="end"/>
      </w:r>
      <w:r>
        <w:rPr>
          <w:rFonts w:ascii="Arial" w:hAnsi="Arial" w:cs="Arial"/>
          <w:sz w:val="24"/>
          <w:szCs w:val="24"/>
          <w:lang w:eastAsia="zh-CN"/>
        </w:rPr>
        <w:t xml:space="preserve">, cumulative sales of new energy passenger vehicles exceeded 3.33 million units by 2021, an increase of 1.6 times year-on-year, and the penetration rate has reached 15.5%, becoming the world's largest NEV consumer market. As consumer recognition and willingness to consume NEVs continues to grow, the future release of C-side (customer-side) demand is expected to drive the domestic NEV market to continue to grow beyond expectations and eventually achieve fuel vehicle replacement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{"citationID":"hU2SuWye","properties":{"formattedCitation":"(He {\\i{}et al.}, 2022)","plainCitation":"(He et al., 2022)","noteIndex":0},"citationItems":[{"id":692,"uris":["http://zotero.org/users/10703570/items/DGBYFICA"],"itemData":{"id":692,"type":"article-journal","container-title":"Renewable and Sustainable Energy Reviews","ISSN":"1364-0321","journalAbbreviation":"Renewable and Sustainable Energy Reviews","note":"publisher: Elsevier","page":"111964","title":"Does oil price affect corporate innovation? Evidence from new energy vehicle enterprises in China","volume":"156","author":[{"family":"He","given":"Jiaxin"},{"family":"Li","given":"Jingyi"},{"family":"Zhao","given":"Daiqing"},{"family":"Chen","given":"Xing"}],"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32"/>
        </w:rPr>
        <w:t xml:space="preserve">(He </w:t>
      </w:r>
      <w:r>
        <w:rPr>
          <w:rFonts w:ascii="Arial" w:hAnsi="Arial" w:cs="Arial"/>
          <w:i/>
          <w:iCs/>
          <w:sz w:val="24"/>
          <w:szCs w:val="32"/>
        </w:rPr>
        <w:t>et al.</w:t>
      </w:r>
      <w:r>
        <w:rPr>
          <w:rFonts w:ascii="Arial" w:hAnsi="Arial" w:cs="Arial"/>
          <w:sz w:val="24"/>
          <w:szCs w:val="32"/>
        </w:rPr>
        <w:t>, 2022)</w:t>
      </w:r>
      <w:r>
        <w:rPr>
          <w:rFonts w:ascii="Arial" w:hAnsi="Arial" w:cs="Arial"/>
          <w:sz w:val="24"/>
          <w:szCs w:val="24"/>
          <w:lang w:eastAsia="zh-CN"/>
        </w:rPr>
        <w:fldChar w:fldCharType="end"/>
      </w:r>
      <w:r>
        <w:rPr>
          <w:rFonts w:ascii="Arial" w:hAnsi="Arial" w:cs="Arial"/>
          <w:sz w:val="24"/>
          <w:szCs w:val="24"/>
          <w:lang w:eastAsia="zh-CN"/>
        </w:rPr>
        <w:t xml:space="preserve">. With 68% of Chinese consumers already considering purchasing a NEV for their next vehicle, Chinese consumers' acceptance of NEVs is well above average compared to consumers in other countries and continues to grow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{"citationID":"QJcnY5Ti","properties":{"formattedCitation":"(Li {\\i{}et al.}, 2020)","plainCitation":"(Li et al., 2020)","noteIndex":0},"citationItems":[{"id":689,"uris":["http://zotero.org/users/10703570/items/QMQSVXRQ"],"itemData":{"id":689,"type":"article-journal","container-title":"Journal of Cleaner Production","ISSN":"0959-6526","journalAbbreviation":"Journal of Cleaner Production","note":"publisher: Elsevier","page":"118456","title":"Dual credit policy: promoting new energy vehicles with battery recycling in a competitive environment?","volume":"243","author":[{"family":"Li","given":"Jizi"},{"family":"Ku","given":"Yaoyao"},{"family":"Liu","given":"Chunling"},{"family":"Zhou","given":"Yuping"}],"issued":{"date-parts":[["2020"]]}}}],"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32"/>
        </w:rPr>
        <w:t xml:space="preserve">(Li </w:t>
      </w:r>
      <w:r>
        <w:rPr>
          <w:rFonts w:ascii="Arial" w:hAnsi="Arial" w:cs="Arial"/>
          <w:i/>
          <w:iCs/>
          <w:sz w:val="24"/>
          <w:szCs w:val="32"/>
        </w:rPr>
        <w:t>et al.</w:t>
      </w:r>
      <w:r>
        <w:rPr>
          <w:rFonts w:ascii="Arial" w:hAnsi="Arial" w:cs="Arial"/>
          <w:sz w:val="24"/>
          <w:szCs w:val="32"/>
        </w:rPr>
        <w:t>, 2020)</w:t>
      </w:r>
      <w:r>
        <w:rPr>
          <w:rFonts w:ascii="Arial" w:hAnsi="Arial" w:cs="Arial"/>
          <w:sz w:val="24"/>
          <w:szCs w:val="24"/>
          <w:lang w:eastAsia="zh-CN"/>
        </w:rPr>
        <w:fldChar w:fldCharType="end"/>
      </w:r>
      <w:r>
        <w:rPr>
          <w:rFonts w:ascii="Arial" w:hAnsi="Arial" w:cs="Arial"/>
          <w:sz w:val="24"/>
          <w:szCs w:val="24"/>
          <w:lang w:eastAsia="zh-CN"/>
        </w:rPr>
        <w:t>.</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Under the wave of electrification and intelligent transformation, the competition between new car makers and traditional car manufacturers has become increasingly fierce. To date, the top new brands have continued to sell well due to their differentiated product positioning and the comparative advantage formed by intelligent technology. In contrast, traditional car companies have a heavier historical burden in the transformation process, as they need to take into account business related to the fuel car industry, and building a new eco-system for new energy poses a higher challenge to various aspects such as organisational structure, production R&amp;D and channel marketing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{"citationID":"QXqzhSgV","properties":{"formattedCitation":"(Wang {\\i{}et al.}, 2022)","plainCitation":"(Wang et al., 2022)","noteIndex":0},"citationItems":[{"id":695,"uris":["http://zotero.org/users/10703570/items/H3696CLH"],"itemData":{"id":695,"type":"article-journal","container-title":"Renewable Energy","ISSN":"0960-1481","journalAbbreviation":"Renewable Energy","note":"publisher: Elsevier","page":"11-21","title":"More government subsidies, more green innovation? The evidence from Chinese new energy vehicle enterprises","volume":"197","author":[{"family":"Wang","given":"Zhongcheng"},{"family":"Li","given":"Xinyue"},{"family":"Xue","given":"Xinhong"},{"family":"Liu","given":"Yahuan"}],"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32"/>
        </w:rPr>
        <w:t xml:space="preserve">(Wang </w:t>
      </w:r>
      <w:r>
        <w:rPr>
          <w:rFonts w:ascii="Arial" w:hAnsi="Arial" w:cs="Arial"/>
          <w:i/>
          <w:iCs/>
          <w:sz w:val="24"/>
          <w:szCs w:val="32"/>
        </w:rPr>
        <w:t>et al.</w:t>
      </w:r>
      <w:r>
        <w:rPr>
          <w:rFonts w:ascii="Arial" w:hAnsi="Arial" w:cs="Arial"/>
          <w:sz w:val="24"/>
          <w:szCs w:val="32"/>
        </w:rPr>
        <w:t>, 2022)</w:t>
      </w:r>
      <w:r>
        <w:rPr>
          <w:rFonts w:ascii="Arial" w:hAnsi="Arial" w:cs="Arial"/>
          <w:sz w:val="24"/>
          <w:szCs w:val="24"/>
          <w:lang w:eastAsia="zh-CN"/>
        </w:rPr>
        <w:fldChar w:fldCharType="end"/>
      </w:r>
      <w:r>
        <w:rPr>
          <w:rFonts w:ascii="Arial" w:hAnsi="Arial" w:cs="Arial"/>
          <w:sz w:val="24"/>
          <w:szCs w:val="24"/>
          <w:lang w:eastAsia="zh-CN"/>
        </w:rPr>
        <w:t>. However, with the birth of high-end electric vehicles and a new generation of hybrid models from traditional car companies, it is still unknown how the market landscape will change.</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There are three main types of automotive companies in China's NEV market: new auto manufacturing forces, foreign brands, and traditional independent brands. Among them, BYD is perceived as the domestic leader of the NEV industry in China. in 2021, BYD's market share in the global market reached nearly 8.8%, ranking first, with global sales second only to Tesla and Volkswagen, and is involved in more than 50 countries around the world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{"citationID":"jfYfamuC","properties":{"formattedCitation":"(Statista, 2023)","plainCitation":"(Statista, 2023)","noteIndex":0},"citationItems":[{"id":686,"uris":["http://zotero.org/users/10703570/items/X3NTA5JK"],"itemData":{"id":686,"type":"webpage","title":"BYD Auto - statistics &amp; facts","URL":"https://www-statista-com.abc.cardiff.ac.uk/topics/9590/byd-auto/","author":[{"family":"Statista","given":""}],"accessed":{"date-parts":[["2023",3,8]]},"issued":{"date-parts":[["2023"]]}}}],"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(Statista, 2023)</w:t>
      </w:r>
      <w:r>
        <w:rPr>
          <w:rFonts w:ascii="Arial" w:hAnsi="Arial" w:cs="Arial"/>
          <w:sz w:val="24"/>
          <w:szCs w:val="24"/>
          <w:lang w:eastAsia="zh-CN"/>
        </w:rPr>
        <w:fldChar w:fldCharType="end"/>
      </w:r>
      <w:r>
        <w:rPr>
          <w:rFonts w:ascii="Arial" w:hAnsi="Arial" w:cs="Arial"/>
          <w:sz w:val="24"/>
          <w:szCs w:val="24"/>
          <w:lang w:eastAsia="zh-CN"/>
        </w:rPr>
        <w:t xml:space="preserve"> (see Figure 1). However, facing an uncertain but hyper-competitive landscape, BYD needs to re-evaluate its current corporate strategy and seek to stay competitive in the coming future. </w:t>
      </w:r>
    </w:p>
    <w:p>
      <w:pPr>
        <w:spacing w:before="120" w:beforeLines="50" w:after="360" w:afterLines="150" w:line="480" w:lineRule="auto"/>
        <w:jc w:val="both"/>
        <w:rPr>
          <w:rFonts w:ascii="Arial" w:hAnsi="Arial" w:cs="Arial"/>
          <w:sz w:val="24"/>
          <w:szCs w:val="24"/>
          <w:lang w:eastAsia="zh-CN"/>
        </w:rPr>
      </w:pP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rPr>
        <w:drawing>
          <wp:inline distT="0" distB="0" distL="0" distR="0">
            <wp:extent cx="6188710" cy="2209165"/>
            <wp:effectExtent l="0" t="0" r="2540" b="635"/>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pPr>
        <w:spacing w:before="120" w:beforeLines="50" w:after="360" w:afterLines="150" w:line="480" w:lineRule="auto"/>
        <w:jc w:val="center"/>
        <w:rPr>
          <w:rFonts w:ascii="Arial" w:hAnsi="Arial" w:cs="Arial"/>
          <w:sz w:val="20"/>
          <w:szCs w:val="20"/>
        </w:rPr>
      </w:pPr>
      <w:r>
        <w:rPr>
          <w:rFonts w:ascii="Arial" w:hAnsi="Arial" w:cs="Arial"/>
          <w:sz w:val="20"/>
          <w:szCs w:val="20"/>
        </w:rPr>
        <w:t xml:space="preserve">Figure 1: </w:t>
      </w:r>
      <w:r>
        <w:rPr>
          <w:rFonts w:ascii="Arial" w:hAnsi="Arial" w:cs="Arial"/>
          <w:sz w:val="20"/>
          <w:szCs w:val="20"/>
          <w:lang w:eastAsia="zh-CN"/>
        </w:rPr>
        <w:t>Mark</w:t>
      </w:r>
      <w:r>
        <w:rPr>
          <w:rFonts w:ascii="Arial" w:hAnsi="Arial" w:cs="Arial"/>
          <w:sz w:val="20"/>
          <w:szCs w:val="20"/>
        </w:rPr>
        <w:t>et share by NEV producers</w:t>
      </w:r>
    </w:p>
    <w:p>
      <w:pPr>
        <w:spacing w:before="120" w:beforeLines="50" w:after="360" w:afterLines="150" w:line="480" w:lineRule="auto"/>
        <w:jc w:val="center"/>
        <w:rPr>
          <w:rFonts w:ascii="Arial" w:hAnsi="Arial" w:cs="Arial"/>
          <w:sz w:val="20"/>
          <w:szCs w:val="20"/>
          <w:lang w:eastAsia="zh-CN"/>
        </w:rPr>
      </w:pPr>
      <w:r>
        <w:rPr>
          <w:rFonts w:ascii="Arial" w:hAnsi="Arial" w:cs="Arial"/>
          <w:sz w:val="20"/>
          <w:szCs w:val="20"/>
          <w:lang w:eastAsia="zh-CN"/>
        </w:rPr>
        <w:t xml:space="preserve">Source: </w:t>
      </w:r>
      <w:r>
        <w:rPr>
          <w:rFonts w:ascii="Arial" w:hAnsi="Arial" w:cs="Arial"/>
          <w:sz w:val="20"/>
          <w:szCs w:val="20"/>
          <w:lang w:eastAsia="zh-CN"/>
        </w:rPr>
        <w:fldChar w:fldCharType="begin"/>
      </w:r>
      <w:r>
        <w:rPr>
          <w:rFonts w:ascii="Arial" w:hAnsi="Arial" w:cs="Arial"/>
          <w:sz w:val="20"/>
          <w:szCs w:val="20"/>
          <w:lang w:eastAsia="zh-CN"/>
        </w:rPr>
        <w:instrText xml:space="preserve"> ADDIN ZOTERO_ITEM CSL_CITATION {"citationID":"HiNIyYVr","properties":{"formattedCitation":"(Statista, 2023)","plainCitation":"(Statista, 2023)","noteIndex":0},"citationItems":[{"id":686,"uris":["http://zotero.org/users/10703570/items/X3NTA5JK"],"itemData":{"id":686,"type":"webpage","title":"BYD Auto - statistics &amp; facts","URL":"https://www-statista-com.abc.cardiff.ac.uk/topics/9590/byd-auto/","author":[{"family":"Statista","given":""}],"accessed":{"date-parts":[["2023",3,8]]},"issued":{"date-parts":[["2023"]]}}}],"schema":"https://github.com/citation-style-language/schema/raw/master/csl-citation.json"} </w:instrText>
      </w:r>
      <w:r>
        <w:rPr>
          <w:rFonts w:ascii="Arial" w:hAnsi="Arial" w:cs="Arial"/>
          <w:sz w:val="20"/>
          <w:szCs w:val="20"/>
          <w:lang w:eastAsia="zh-CN"/>
        </w:rPr>
        <w:fldChar w:fldCharType="separate"/>
      </w:r>
      <w:r>
        <w:rPr>
          <w:rFonts w:ascii="Arial" w:hAnsi="Arial" w:cs="Arial"/>
          <w:sz w:val="20"/>
          <w:szCs w:val="20"/>
        </w:rPr>
        <w:t>(Statista, 2023)</w:t>
      </w:r>
      <w:r>
        <w:rPr>
          <w:rFonts w:ascii="Arial" w:hAnsi="Arial" w:cs="Arial"/>
          <w:sz w:val="20"/>
          <w:szCs w:val="20"/>
          <w:lang w:eastAsia="zh-CN"/>
        </w:rPr>
        <w:fldChar w:fldCharType="end"/>
      </w:r>
    </w:p>
    <w:p>
      <w:pPr>
        <w:pStyle w:val="3"/>
        <w:spacing w:beforeLines="50" w:after="360" w:afterLines="150" w:line="480" w:lineRule="auto"/>
        <w:jc w:val="both"/>
        <w:rPr>
          <w:rFonts w:ascii="Arial" w:hAnsi="Arial" w:cs="Arial"/>
        </w:rPr>
      </w:pPr>
      <w:bookmarkStart w:id="2" w:name="_Toc129157841"/>
      <w:r>
        <w:rPr>
          <w:rFonts w:ascii="Arial" w:hAnsi="Arial" w:cs="Arial"/>
        </w:rPr>
        <w:t>1.2 Objectives</w:t>
      </w:r>
      <w:bookmarkEnd w:id="2"/>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The overate aim of the report is to generate effective recommendations for BYD to set its future competitive strategy. To achieve the aim, the following objectives have to be completed:</w:t>
      </w:r>
    </w:p>
    <w:p>
      <w:pPr>
        <w:pStyle w:val="31"/>
        <w:numPr>
          <w:ilvl w:val="0"/>
          <w:numId w:val="2"/>
        </w:numPr>
        <w:spacing w:before="120" w:beforeLines="50" w:after="360" w:afterLines="150" w:line="480" w:lineRule="auto"/>
        <w:ind w:firstLineChars="0"/>
        <w:jc w:val="both"/>
        <w:rPr>
          <w:rFonts w:ascii="Arial" w:hAnsi="Arial" w:cs="Arial"/>
          <w:sz w:val="24"/>
          <w:szCs w:val="24"/>
          <w:lang w:eastAsia="zh-CN"/>
        </w:rPr>
      </w:pPr>
      <w:r>
        <w:rPr>
          <w:rFonts w:ascii="Arial" w:hAnsi="Arial" w:cs="Arial"/>
          <w:sz w:val="24"/>
          <w:szCs w:val="24"/>
          <w:lang w:eastAsia="zh-CN"/>
        </w:rPr>
        <w:t xml:space="preserve">To comprehensively understand the current competitive strategy used by BYD now </w:t>
      </w:r>
    </w:p>
    <w:p>
      <w:pPr>
        <w:pStyle w:val="31"/>
        <w:numPr>
          <w:ilvl w:val="0"/>
          <w:numId w:val="2"/>
        </w:numPr>
        <w:spacing w:before="120" w:beforeLines="50" w:after="360" w:afterLines="150" w:line="480" w:lineRule="auto"/>
        <w:ind w:firstLineChars="0"/>
        <w:jc w:val="both"/>
        <w:rPr>
          <w:rFonts w:ascii="Arial" w:hAnsi="Arial" w:cs="Arial"/>
          <w:sz w:val="24"/>
          <w:szCs w:val="24"/>
          <w:lang w:eastAsia="zh-CN"/>
        </w:rPr>
      </w:pPr>
      <w:r>
        <w:rPr>
          <w:rFonts w:ascii="Arial" w:hAnsi="Arial" w:cs="Arial"/>
          <w:sz w:val="24"/>
          <w:szCs w:val="24"/>
          <w:lang w:eastAsia="zh-CN"/>
        </w:rPr>
        <w:t xml:space="preserve">To critically evaluate the competitive strategy used by BYD now </w:t>
      </w:r>
    </w:p>
    <w:p>
      <w:pPr>
        <w:pStyle w:val="31"/>
        <w:numPr>
          <w:ilvl w:val="0"/>
          <w:numId w:val="2"/>
        </w:numPr>
        <w:spacing w:before="120" w:beforeLines="50" w:after="360" w:afterLines="150" w:line="480" w:lineRule="auto"/>
        <w:ind w:firstLineChars="0"/>
        <w:jc w:val="both"/>
        <w:rPr>
          <w:rFonts w:ascii="Arial" w:hAnsi="Arial" w:cs="Arial"/>
          <w:sz w:val="24"/>
          <w:szCs w:val="24"/>
          <w:lang w:eastAsia="zh-CN"/>
        </w:rPr>
      </w:pPr>
      <w:r>
        <w:rPr>
          <w:rFonts w:ascii="Arial" w:hAnsi="Arial" w:cs="Arial"/>
          <w:sz w:val="24"/>
          <w:szCs w:val="24"/>
          <w:lang w:eastAsia="zh-CN"/>
        </w:rPr>
        <w:t xml:space="preserve">To provide recommendations for BYD to improve its competitive strategy effectiveness </w:t>
      </w:r>
    </w:p>
    <w:p>
      <w:pPr>
        <w:pStyle w:val="3"/>
        <w:spacing w:beforeLines="50" w:after="360" w:afterLines="150" w:line="480" w:lineRule="auto"/>
        <w:jc w:val="both"/>
        <w:rPr>
          <w:rFonts w:ascii="Arial" w:hAnsi="Arial" w:cs="Arial"/>
        </w:rPr>
      </w:pPr>
      <w:bookmarkStart w:id="3" w:name="_Toc129157842"/>
      <w:r>
        <w:rPr>
          <w:rFonts w:ascii="Arial" w:hAnsi="Arial" w:cs="Arial"/>
        </w:rPr>
        <w:t>1.3 Scope</w:t>
      </w:r>
      <w:bookmarkEnd w:id="3"/>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On the one hand, the report will focus on the competitive strategy of BYD, rather than other NEV companies. On the other hand, given the specificity of each operational market, companies usually adopt different competitive strategies correspondingly. The report thus sheds light on the competitive strategy used by BYD currently in the Chinese domestic market, which is also the single largest market of BYD (see Figure 2). The focus on the latest competitive strategy allows us to evaluate the strategic fit between the operational environment and BYD’s strategic alignment, thus affording time-relevant insights for the strategic orientation in the foreseeable future.</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rPr>
        <w:drawing>
          <wp:inline distT="0" distB="0" distL="0" distR="0">
            <wp:extent cx="6188710" cy="2330450"/>
            <wp:effectExtent l="0" t="0" r="2540" b="1270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spacing w:before="120" w:beforeLines="50" w:after="360" w:afterLines="150" w:line="480" w:lineRule="auto"/>
        <w:jc w:val="center"/>
        <w:rPr>
          <w:rFonts w:ascii="Arial" w:hAnsi="Arial" w:cs="Arial"/>
          <w:sz w:val="20"/>
          <w:szCs w:val="20"/>
        </w:rPr>
      </w:pPr>
      <w:r>
        <w:rPr>
          <w:rFonts w:ascii="Arial" w:hAnsi="Arial" w:cs="Arial"/>
          <w:sz w:val="20"/>
          <w:szCs w:val="20"/>
        </w:rPr>
        <w:t xml:space="preserve">Figure 2: BYD’s revenue structure </w:t>
      </w:r>
    </w:p>
    <w:p>
      <w:pPr>
        <w:spacing w:before="120" w:beforeLines="50" w:after="360" w:afterLines="150" w:line="480" w:lineRule="auto"/>
        <w:jc w:val="center"/>
        <w:rPr>
          <w:rFonts w:ascii="Arial" w:hAnsi="Arial" w:cs="Arial"/>
          <w:sz w:val="20"/>
          <w:szCs w:val="20"/>
        </w:rPr>
      </w:pPr>
      <w:r>
        <w:rPr>
          <w:rFonts w:ascii="Arial" w:hAnsi="Arial" w:cs="Arial"/>
          <w:sz w:val="20"/>
          <w:szCs w:val="20"/>
        </w:rPr>
        <w:fldChar w:fldCharType="begin"/>
      </w:r>
      <w:r>
        <w:rPr>
          <w:rFonts w:ascii="Arial" w:hAnsi="Arial" w:cs="Arial"/>
          <w:sz w:val="20"/>
          <w:szCs w:val="20"/>
        </w:rPr>
        <w:instrText xml:space="preserve"> ADDIN ZOTERO_ITEM CSL_CITATION {"citationID":"cIOjaz0f","properties":{"formattedCitation":"(Statista, 2023)","plainCitation":"(Statista, 2023)","noteIndex":0},"citationItems":[{"id":686,"uris":["http://zotero.org/users/10703570/items/X3NTA5JK"],"itemData":{"id":686,"type":"webpage","title":"BYD Auto - statistics &amp; facts","URL":"https://www-statista-com.abc.cardiff.ac.uk/topics/9590/byd-auto/","author":[{"family":"Statista","given":""}],"accessed":{"date-parts":[["2023",3,8]]},"issued":{"date-parts":[["2023"]]}}}],"schema":"https://github.com/citation-style-language/schema/raw/master/csl-citation.json"} </w:instrText>
      </w:r>
      <w:r>
        <w:rPr>
          <w:rFonts w:ascii="Arial" w:hAnsi="Arial" w:cs="Arial"/>
          <w:sz w:val="20"/>
          <w:szCs w:val="20"/>
        </w:rPr>
        <w:fldChar w:fldCharType="separate"/>
      </w:r>
      <w:r>
        <w:rPr>
          <w:rFonts w:ascii="Arial" w:hAnsi="Arial" w:cs="Arial"/>
          <w:sz w:val="20"/>
          <w:szCs w:val="20"/>
        </w:rPr>
        <w:t>(Statista, 2023)</w:t>
      </w:r>
      <w:r>
        <w:rPr>
          <w:rFonts w:ascii="Arial" w:hAnsi="Arial" w:cs="Arial"/>
          <w:sz w:val="20"/>
          <w:szCs w:val="20"/>
        </w:rPr>
        <w:fldChar w:fldCharType="end"/>
      </w:r>
    </w:p>
    <w:p>
      <w:pPr>
        <w:spacing w:before="120" w:beforeLines="50" w:after="360" w:afterLines="150" w:line="480" w:lineRule="auto"/>
        <w:jc w:val="both"/>
        <w:rPr>
          <w:rFonts w:ascii="Arial" w:hAnsi="Arial" w:cs="Arial"/>
          <w:sz w:val="24"/>
          <w:szCs w:val="24"/>
        </w:rPr>
      </w:pPr>
    </w:p>
    <w:p>
      <w:pPr>
        <w:spacing w:before="120" w:beforeLines="50" w:after="360" w:afterLines="150" w:line="480" w:lineRule="auto"/>
        <w:jc w:val="both"/>
        <w:rPr>
          <w:rFonts w:ascii="Arial" w:hAnsi="Arial" w:cs="Arial"/>
        </w:rPr>
      </w:pPr>
      <w:r>
        <w:rPr>
          <w:rFonts w:ascii="Arial" w:hAnsi="Arial" w:cs="Arial"/>
        </w:rPr>
        <w:br w:type="page"/>
      </w:r>
    </w:p>
    <w:p>
      <w:pPr>
        <w:pStyle w:val="2"/>
        <w:numPr>
          <w:ilvl w:val="0"/>
          <w:numId w:val="1"/>
        </w:numPr>
        <w:spacing w:before="120" w:beforeLines="50" w:after="360" w:afterLines="150" w:line="480" w:lineRule="auto"/>
        <w:jc w:val="both"/>
        <w:rPr>
          <w:rFonts w:ascii="Arial" w:hAnsi="Arial" w:cs="Arial"/>
        </w:rPr>
      </w:pPr>
      <w:bookmarkStart w:id="4" w:name="_Toc129157843"/>
      <w:r>
        <w:rPr>
          <w:rFonts w:ascii="Arial" w:hAnsi="Arial" w:cs="Arial"/>
        </w:rPr>
        <w:t>Main Body</w:t>
      </w:r>
      <w:bookmarkEnd w:id="4"/>
    </w:p>
    <w:p>
      <w:pPr>
        <w:pStyle w:val="3"/>
        <w:numPr>
          <w:ilvl w:val="1"/>
          <w:numId w:val="1"/>
        </w:numPr>
        <w:spacing w:beforeLines="50" w:after="360" w:afterLines="150" w:line="480" w:lineRule="auto"/>
        <w:jc w:val="both"/>
        <w:rPr>
          <w:rFonts w:ascii="Arial" w:hAnsi="Arial" w:cs="Arial"/>
          <w:lang w:eastAsia="zh-CN"/>
        </w:rPr>
      </w:pPr>
      <w:bookmarkStart w:id="5" w:name="_Toc129157844"/>
      <w:r>
        <w:rPr>
          <w:rFonts w:ascii="Arial" w:hAnsi="Arial" w:cs="Arial"/>
          <w:lang w:eastAsia="zh-CN"/>
        </w:rPr>
        <w:t>The competitive strategy of BYD</w:t>
      </w:r>
      <w:bookmarkEnd w:id="5"/>
      <w:r>
        <w:rPr>
          <w:rFonts w:ascii="Arial" w:hAnsi="Arial" w:cs="Arial"/>
          <w:lang w:eastAsia="zh-CN"/>
        </w:rPr>
        <w:t xml:space="preserve"> </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Based on the Five Forces of Competition model and combined with the practice of enterprises,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{"citationID":"ibnKkNWP","properties":{"formattedCitation":"(Porter, 1989)","plainCitation":"(Porter, 1989)","noteIndex":0},"citationItems":[{"id":696,"uris":["http://zotero.org/users/10703570/items/H95XQFRG"],"itemData":{"id":696,"type":"book","ISBN":"0-333-51809-8","publisher":"Springer","title":"From competitive advantage to corporate strategy","author":[{"family":"Porter","given":"Michael E"}],"issued":{"date-parts":[["1989"]]}}}],"schema":"https://github.com/citation-style-language/schema/raw/master/csl-citation.json"}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Porter (1989)</w:t>
      </w:r>
      <w:r>
        <w:rPr>
          <w:rFonts w:ascii="Arial" w:hAnsi="Arial" w:cs="Arial"/>
          <w:sz w:val="24"/>
          <w:szCs w:val="24"/>
          <w:lang w:eastAsia="zh-CN"/>
        </w:rPr>
        <w:fldChar w:fldCharType="end"/>
      </w:r>
      <w:r>
        <w:rPr>
          <w:rFonts w:ascii="Arial" w:hAnsi="Arial" w:cs="Arial"/>
          <w:sz w:val="24"/>
          <w:szCs w:val="24"/>
          <w:lang w:eastAsia="zh-CN"/>
        </w:rPr>
        <w:t xml:space="preserve"> has given three general competitive strategical trajectories, namely cost leadership strategy and differentiation strategy, as well as the focus strategy. Cost leadership strategy aims mainly through strict control of each link in the production and operation activities, especially all links involving cost, to maximize the cost of each link to the lowest, so as to reduce the overall cost of products, and ultimately form a competitive advantage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{"citationID":"aZSnM22L","properties":{"formattedCitation":"(Porter, 1989)","plainCitation":"(Porter, 1989)","noteIndex":0},"citationItems":[{"id":696,"uris":["http://zotero.org/users/10703570/items/H95XQFRG"],"itemData":{"id":696,"type":"book","ISBN":"0-333-51809-8","publisher":"Springer","title":"From competitive advantage to corporate strategy","author":[{"family":"Porter","given":"Michael E"}],"issued":{"date-parts":[["1989"]]}}}],"schema":"https://github.com/citation-style-language/schema/raw/master/csl-citation.json"}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(Porter, 1989)</w:t>
      </w:r>
      <w:r>
        <w:rPr>
          <w:rFonts w:ascii="Arial" w:hAnsi="Arial" w:cs="Arial"/>
          <w:sz w:val="24"/>
          <w:szCs w:val="24"/>
          <w:lang w:eastAsia="zh-CN"/>
        </w:rPr>
        <w:fldChar w:fldCharType="end"/>
      </w:r>
      <w:r>
        <w:rPr>
          <w:rFonts w:ascii="Arial" w:hAnsi="Arial" w:cs="Arial"/>
          <w:sz w:val="24"/>
          <w:szCs w:val="24"/>
          <w:lang w:eastAsia="zh-CN"/>
        </w:rPr>
        <w:t xml:space="preserve">.  While differentiation strategy aims to create customerperceived value of its products or services that are different from that of its competitors. The key to maintaining the uniqueness of a product or service is to create customer perceived value in a way that competitors cannot imitate or compete with, otherwise, the advantage will not be achieved in the long term but only for a short period of time. </w:t>
      </w:r>
      <w:r>
        <w:rPr>
          <w:rFonts w:hint="eastAsia" w:ascii="Arial" w:hAnsi="Arial" w:cs="Arial"/>
          <w:sz w:val="24"/>
          <w:szCs w:val="24"/>
          <w:lang w:eastAsia="zh-CN"/>
        </w:rPr>
        <w:t>The</w:t>
      </w:r>
      <w:r>
        <w:rPr>
          <w:rFonts w:ascii="Arial" w:hAnsi="Arial" w:cs="Arial"/>
          <w:sz w:val="24"/>
          <w:szCs w:val="24"/>
          <w:lang w:eastAsia="zh-CN"/>
        </w:rPr>
        <w:t xml:space="preserve"> focus strategy refers to the attention on a niche group of customer segments. Based on the above definition, it is clear that BYD has adopted a cost leadership strategy so far. </w:t>
      </w:r>
    </w:p>
    <w:p>
      <w:pPr>
        <w:pStyle w:val="4"/>
        <w:spacing w:before="120" w:beforeLines="50" w:after="360" w:afterLines="150" w:line="480" w:lineRule="auto"/>
        <w:jc w:val="both"/>
        <w:rPr>
          <w:rStyle w:val="22"/>
          <w:rFonts w:ascii="Arial" w:hAnsi="Arial" w:cs="Arial"/>
          <w:i w:val="0"/>
          <w:iCs w:val="0"/>
          <w:color w:val="C55A11" w:themeColor="accent2" w:themeShade="BF"/>
        </w:rPr>
      </w:pPr>
      <w:bookmarkStart w:id="6" w:name="_Toc129157845"/>
      <w:r>
        <w:rPr>
          <w:rStyle w:val="22"/>
          <w:rFonts w:ascii="Arial" w:hAnsi="Arial" w:cs="Arial"/>
          <w:i w:val="0"/>
          <w:iCs w:val="0"/>
          <w:color w:val="C55A11" w:themeColor="accent2" w:themeShade="BF"/>
        </w:rPr>
        <w:t>2.1.1 Cost leadership enabled by technological advancements</w:t>
      </w:r>
      <w:bookmarkEnd w:id="6"/>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BYD, which started out in the battery industry, has an inherent advantage in technology, and after years of continuous research in core automotive technology, it has now become the only car company in China to master the core technologies of the NEV industry chain, such as triboelectricity and IGBT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{"citationID":"RAR3tu3o","properties":{"formattedCitation":"(Masiero {\\i{}et al.}, 2016)","plainCitation":"(Masiero et al., 2016)","noteIndex":0},"citationItems":[{"id":697,"uris":["http://zotero.org/users/10703570/items/UL3TCGLJ"],"itemData":{"id":697,"type":"article-journal","container-title":"RAI Revista de Administração e Inovação","ISSN":"1809-2039","issue":"1","journalAbbreviation":"RAI Revista de Administração e Inovação","note":"publisher: Elsevier","page":"3-11","title":"Electric vehicles in China: BYD strategies and government subsidies","volume":"13","author":[{"family":"Masiero","given":"Gilmar"},{"family":"Ogasavara","given":"Mario Henrique"},{"family":"Jussani","given":"Ailton Conde"},{"family":"Risso","given":"Marcelo Luiz"}],"issued":{"date-parts":[["2016"]]}}}],"schema":"https://github.com/citation-style-language/schema/raw/master/csl-citation.json"}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 xml:space="preserve">(Masiero </w:t>
      </w:r>
      <w:r>
        <w:rPr>
          <w:rFonts w:ascii="Arial" w:hAnsi="Arial" w:cs="Arial"/>
          <w:i/>
          <w:iCs/>
          <w:sz w:val="24"/>
          <w:szCs w:val="24"/>
        </w:rPr>
        <w:t>et al.</w:t>
      </w:r>
      <w:r>
        <w:rPr>
          <w:rFonts w:ascii="Arial" w:hAnsi="Arial" w:cs="Arial"/>
          <w:sz w:val="24"/>
          <w:szCs w:val="24"/>
        </w:rPr>
        <w:t>, 2016)</w:t>
      </w:r>
      <w:r>
        <w:rPr>
          <w:rFonts w:ascii="Arial" w:hAnsi="Arial" w:cs="Arial"/>
          <w:sz w:val="24"/>
          <w:szCs w:val="24"/>
          <w:lang w:eastAsia="zh-CN"/>
        </w:rPr>
        <w:fldChar w:fldCharType="end"/>
      </w:r>
      <w:r>
        <w:rPr>
          <w:rFonts w:ascii="Arial" w:hAnsi="Arial" w:cs="Arial"/>
          <w:sz w:val="24"/>
          <w:szCs w:val="24"/>
          <w:lang w:eastAsia="zh-CN"/>
        </w:rPr>
        <w:t>. With a perfect battery, motor, and electric control three electric core technology can not only bring BYD's products a certain cost advantage but also make its product quality can be guaranteed. In the context of the industry's subsidies retreat, market competition is more dependent on products and technology, BYD's established industry chain core technology advantage will enable enterprises to ensure the stability of profitability and can reduce the impact of adverse policy factors.</w:t>
      </w:r>
    </w:p>
    <w:p>
      <w:pPr>
        <w:spacing w:before="120" w:beforeLines="50" w:after="360" w:afterLines="150" w:line="480" w:lineRule="auto"/>
        <w:jc w:val="both"/>
        <w:rPr>
          <w:rFonts w:ascii="Arial" w:hAnsi="Arial" w:cs="Arial"/>
          <w:sz w:val="24"/>
          <w:szCs w:val="24"/>
          <w:lang w:eastAsia="zh-CN"/>
        </w:rPr>
      </w:pPr>
      <w:r>
        <w:rPr>
          <w:rFonts w:hint="eastAsia" w:ascii="Arial" w:hAnsi="Arial" w:cs="Arial"/>
          <w:sz w:val="24"/>
          <w:szCs w:val="24"/>
          <w:lang w:eastAsia="zh-CN"/>
        </w:rPr>
        <w:t>U</w:t>
      </w:r>
      <w:r>
        <w:rPr>
          <w:rFonts w:ascii="Arial" w:hAnsi="Arial" w:cs="Arial"/>
          <w:sz w:val="24"/>
          <w:szCs w:val="24"/>
          <w:lang w:eastAsia="zh-CN"/>
        </w:rPr>
        <w:t xml:space="preserve">sing NEV battery as an example, the automotive power battery industry has the existence of lithium phosphate batteries and ternary batteries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{"citationID":"8yBIUmXa","properties":{"formattedCitation":"(Wang {\\i{}et al.}, 2022)","plainCitation":"(Wang et al., 2022)","noteIndex":0},"citationItems":[{"id":695,"uris":["http://zotero.org/users/10703570/items/H3696CLH"],"itemData":{"id":695,"type":"article-journal","container-title":"Renewable Energy","ISSN":"0960-1481","journalAbbreviation":"Renewable Energy","note":"publisher: Elsevier","page":"11-21","title":"More government subsidies, more green innovation? The evidence from Chinese new energy vehicle enterprises","volume":"197","author":[{"family":"Wang","given":"Zhongcheng"},{"family":"Li","given":"Xinyue"},{"family":"Xue","given":"Xinhong"},{"family":"Liu","given":"Yahuan"}],"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 xml:space="preserve">(Wang </w:t>
      </w:r>
      <w:r>
        <w:rPr>
          <w:rFonts w:ascii="Arial" w:hAnsi="Arial" w:cs="Arial"/>
          <w:i/>
          <w:iCs/>
          <w:sz w:val="24"/>
          <w:szCs w:val="24"/>
        </w:rPr>
        <w:t>et al.</w:t>
      </w:r>
      <w:r>
        <w:rPr>
          <w:rFonts w:ascii="Arial" w:hAnsi="Arial" w:cs="Arial"/>
          <w:sz w:val="24"/>
          <w:szCs w:val="24"/>
        </w:rPr>
        <w:t>, 2022)</w:t>
      </w:r>
      <w:r>
        <w:rPr>
          <w:rFonts w:ascii="Arial" w:hAnsi="Arial" w:cs="Arial"/>
          <w:sz w:val="24"/>
          <w:szCs w:val="24"/>
          <w:lang w:eastAsia="zh-CN"/>
        </w:rPr>
        <w:fldChar w:fldCharType="end"/>
      </w:r>
      <w:r>
        <w:rPr>
          <w:rFonts w:ascii="Arial" w:hAnsi="Arial" w:cs="Arial"/>
          <w:sz w:val="24"/>
          <w:szCs w:val="24"/>
          <w:lang w:eastAsia="zh-CN"/>
        </w:rPr>
        <w:t xml:space="preserve">. The lithium phosphate battery has lost its competitive edge to the ternary battery because of its lower specific energy, but most brands have a hard time finding an alternative and cannot get rid of their reliance on lithium phosphate batteries. BYD launched a "blade" battery in 2020, which increases the range of Li-ion phosphate batteries to the same level as ternary batteries and passes the industry's most difficult "pinpoint test", making it safer and more cost-efficient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{"citationID":"TlUzD1qA","properties":{"formattedCitation":"(Yu, 2022)","plainCitation":"(Yu, 2022)","noteIndex":0},"citationItems":[{"id":700,"uris":["http://zotero.org/users/10703570/items/9CBYHW48"],"itemData":{"id":700,"type":"paper-conference","event-title":"SHS Web of Conferences","ISBN":"2261-2424","page":"02003","publisher":"EDP Sciences","title":"The Analysis on the Principle and Advantages of Blade Battery of BYD--A Domestic New Energy Manufacturer","volume":"144","author":[{"family":"Yu","given":"Gongzheng"}],"issued":{"date-parts":[["2022"]]}}}],"schema":"https://github.com/citation-style-language/schema/raw/master/csl-citation.json"}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rPr>
        <w:t>(Yu, 2022)</w:t>
      </w:r>
      <w:r>
        <w:rPr>
          <w:rFonts w:ascii="Arial" w:hAnsi="Arial" w:cs="Arial"/>
          <w:sz w:val="24"/>
          <w:szCs w:val="24"/>
          <w:lang w:eastAsia="zh-CN"/>
        </w:rPr>
        <w:fldChar w:fldCharType="end"/>
      </w:r>
      <w:r>
        <w:rPr>
          <w:rFonts w:ascii="Arial" w:hAnsi="Arial" w:cs="Arial"/>
          <w:sz w:val="24"/>
          <w:szCs w:val="24"/>
          <w:lang w:eastAsia="zh-CN"/>
        </w:rPr>
        <w:t xml:space="preserve">. At the same time, the blade battery assembly skips the battery module link, increasing the volume utilization rate of the battery pack by 50%, so the manufacturing cost is significantly reduced by 20% to 30%, taking advantage of the price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{"citationID":"5YuU1kfV","properties":{"formattedCitation":"(Yu, 2022)","plainCitation":"(Yu, 2022)","noteIndex":0},"citationItems":[{"id":700,"uris":["http://zotero.org/users/10703570/items/9CBYHW48"],"itemData":{"id":700,"type":"paper-conference","event-title":"SHS Web of Conferences","ISBN":"2261-2424","page":"02003","publisher":"EDP Sciences","title":"The Analysis on the Principle and Advantages of Blade Battery of BYD--A Domestic New Energy Manufacturer","volume":"144","author":[{"family":"Yu","given":"Gongzheng"}],"issued":{"date-parts":[["2022"]]}}}],"schema":"https://github.com/citation-style-language/schema/raw/master/csl-citation.json"}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rPr>
        <w:t>(Yu, 2022)</w:t>
      </w:r>
      <w:r>
        <w:rPr>
          <w:rFonts w:ascii="Arial" w:hAnsi="Arial" w:cs="Arial"/>
          <w:sz w:val="24"/>
          <w:szCs w:val="24"/>
          <w:lang w:eastAsia="zh-CN"/>
        </w:rPr>
        <w:fldChar w:fldCharType="end"/>
      </w:r>
      <w:r>
        <w:rPr>
          <w:rFonts w:ascii="Arial" w:hAnsi="Arial" w:cs="Arial"/>
          <w:sz w:val="24"/>
          <w:szCs w:val="24"/>
          <w:lang w:eastAsia="zh-CN"/>
        </w:rPr>
        <w:t>. These advantages give BYD not only a technological advantage but also a cost advantage, creating very favorable conditions for future market competition.</w:t>
      </w:r>
    </w:p>
    <w:p>
      <w:pPr>
        <w:pStyle w:val="4"/>
        <w:spacing w:before="120" w:beforeLines="50" w:after="360" w:afterLines="150" w:line="480" w:lineRule="auto"/>
        <w:jc w:val="both"/>
        <w:rPr>
          <w:rFonts w:ascii="Arial" w:hAnsi="Arial" w:cs="Arial"/>
          <w:lang w:eastAsia="zh-CN"/>
        </w:rPr>
      </w:pPr>
      <w:bookmarkStart w:id="7" w:name="_Toc129157846"/>
      <w:r>
        <w:rPr>
          <w:rFonts w:ascii="Arial" w:hAnsi="Arial" w:cs="Arial"/>
          <w:lang w:eastAsia="zh-CN"/>
        </w:rPr>
        <w:t>2.1.2 Cost leadership enabled by economies of scale</w:t>
      </w:r>
      <w:bookmarkEnd w:id="7"/>
      <w:r>
        <w:rPr>
          <w:rFonts w:ascii="Arial" w:hAnsi="Arial" w:cs="Arial"/>
          <w:lang w:eastAsia="zh-CN"/>
        </w:rPr>
        <w:t xml:space="preserve"> </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When BYD first entered the automotive industry, it used a cost leadership strategy to rapidly capture the market through price wars, thereby achieving economies of scale to reduce average fixed costs and gain profits. BYD has already accumulated a lot of experience in economies of scale throughout the major value chain activities, such as logistics, production, procurement, and distribution. In terms of BYD's NEV sales, from 100,200 units in 2016 to 154,600 units in the first half of 2021, total sales have grown explosively, doubling sales in just five years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{"citationID":"ApxkktKG","properties":{"formattedCitation":"(BYD, 2021)","plainCitation":"(BYD, 2021)","noteIndex":0},"citationItems":[{"id":701,"uris":["http://zotero.org/users/10703570/items/S3IDXB4M"],"itemData":{"id":701,"type":"report","title":"Annual Report 2021","author":[{"family":"BYD","given":""}],"issued":{"date-parts":[["2021"]]}}}],"schema":"https://github.com/citation-style-language/schema/raw/master/csl-citation.json"} </w:instrText>
      </w:r>
      <w:r>
        <w:rPr>
          <w:rFonts w:ascii="Arial" w:hAnsi="Arial" w:cs="Arial"/>
          <w:sz w:val="24"/>
          <w:szCs w:val="24"/>
          <w:lang w:eastAsia="zh-CN"/>
        </w:rPr>
        <w:fldChar w:fldCharType="separate"/>
      </w:r>
      <w:r>
        <w:rPr>
          <w:rFonts w:ascii="Arial" w:hAnsi="Arial" w:cs="Arial"/>
          <w:sz w:val="24"/>
        </w:rPr>
        <w:t>(BYD, 2021)</w:t>
      </w:r>
      <w:r>
        <w:rPr>
          <w:rFonts w:ascii="Arial" w:hAnsi="Arial" w:cs="Arial"/>
          <w:sz w:val="24"/>
          <w:szCs w:val="24"/>
          <w:lang w:eastAsia="zh-CN"/>
        </w:rPr>
        <w:fldChar w:fldCharType="end"/>
      </w:r>
      <w:r>
        <w:rPr>
          <w:rFonts w:ascii="Arial" w:hAnsi="Arial" w:cs="Arial"/>
          <w:sz w:val="24"/>
          <w:szCs w:val="24"/>
          <w:lang w:eastAsia="zh-CN"/>
        </w:rPr>
        <w:t xml:space="preserve">.  Along with the doubled sales, is the improvement of production capacities and efficiency, reflecting on the decreased costs for every vehicle it has produced. Specifically, through the professional integration of automotive production systems, the strengthened the R&amp;D of components, and stringent cost control through technological innovation, BYD's cost leadership strategy began with the creation of a semi-manual, semi-automated production line and the e-Platform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{"citationID":"EZIvghRF","properties":{"formattedCitation":"(Lin {\\i{}et al.}, 2018; Wang, 2022)","plainCitation":"(Lin et al., 2018; Wang, 2022)","noteIndex":0},"citationItems":[{"id":702,"uris":["http://zotero.org/users/10703570/items/73Z6S242"],"itemData":{"id":702,"type":"paper-conference","event-title":"Advances in Green Energy Systems and Smart Grid: First International Conference on Intelligent Manufacturing and Internet of Things and 5th International Conference on Computing for Sustainable Energy and Environment, IMIOT and ICSEE 2018, Chongqing, China, September 21-23, 2018, Proceedings, Part III 5","ISBN":"9811323801","page":"70-80","publisher":"Springer","title":"Exploring a sustainable business routing for China’s new energy vehicles: BYD as an example","author":[{"family":"Lin","given":"Yun"},{"family":"Li","given":"Jie"},{"family":"Huang","given":"Xingjun"},{"family":"Guo","given":"Zhen"},{"family":"Sun","given":"Yi"},{"family":"Zhang","given":"Runzhi"}],"issued":{"date-parts":[["2018"]]}}},{"id":703,"uris":["http://zotero.org/users/10703570/items/R52D5DAI"],"itemData":{"id":703,"type":"paper-conference","event-title":"2022 2nd International Conference on Economic Development and Business Culture (ICEDBC 2022)","ISBN":"94-6463-036-1","page":"1581-1585","publisher":"Atlantis Press","title":"Cost Management of New Energy Automobile Enterprises","author":[{"family":"Wang","given":"Lu"}],"issued":{"date-parts":[["2022"]]}}}],"schema":"https://github.com/citation-style-language/schema/raw/master/csl-citation.json"}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 xml:space="preserve">(Lin </w:t>
      </w:r>
      <w:r>
        <w:rPr>
          <w:rFonts w:ascii="Arial" w:hAnsi="Arial" w:cs="Arial"/>
          <w:i/>
          <w:iCs/>
          <w:sz w:val="24"/>
          <w:szCs w:val="24"/>
        </w:rPr>
        <w:t>et al.</w:t>
      </w:r>
      <w:r>
        <w:rPr>
          <w:rFonts w:ascii="Arial" w:hAnsi="Arial" w:cs="Arial"/>
          <w:sz w:val="24"/>
          <w:szCs w:val="24"/>
        </w:rPr>
        <w:t>, 2018; Wang, 2022)</w:t>
      </w:r>
      <w:r>
        <w:rPr>
          <w:rFonts w:ascii="Arial" w:hAnsi="Arial" w:cs="Arial"/>
          <w:sz w:val="24"/>
          <w:szCs w:val="24"/>
          <w:lang w:eastAsia="zh-CN"/>
        </w:rPr>
        <w:fldChar w:fldCharType="end"/>
      </w:r>
      <w:r>
        <w:rPr>
          <w:rFonts w:ascii="Arial" w:hAnsi="Arial" w:cs="Arial"/>
          <w:sz w:val="24"/>
          <w:szCs w:val="24"/>
          <w:lang w:eastAsia="zh-CN"/>
        </w:rPr>
        <w:t xml:space="preserve">. This has greatly reduced the investment in fixed assets and turned the capital-intensive industry into a labor-intensive one, thus achieving a competitive cost advantage. </w:t>
      </w:r>
    </w:p>
    <w:p>
      <w:pPr>
        <w:pStyle w:val="4"/>
        <w:spacing w:before="120" w:beforeLines="50" w:after="360" w:afterLines="150" w:line="480" w:lineRule="auto"/>
        <w:jc w:val="both"/>
        <w:rPr>
          <w:rFonts w:ascii="Arial" w:hAnsi="Arial" w:cs="Arial"/>
          <w:lang w:eastAsia="zh-CN"/>
        </w:rPr>
      </w:pPr>
      <w:bookmarkStart w:id="8" w:name="_Toc129157847"/>
      <w:r>
        <w:rPr>
          <w:rFonts w:ascii="Arial" w:hAnsi="Arial" w:cs="Arial"/>
          <w:lang w:eastAsia="zh-CN"/>
        </w:rPr>
        <w:t>2.1.3 Cost leadership enabled by supply chain integration</w:t>
      </w:r>
      <w:bookmarkEnd w:id="8"/>
      <w:r>
        <w:rPr>
          <w:rFonts w:ascii="Arial" w:hAnsi="Arial" w:cs="Arial"/>
          <w:lang w:eastAsia="zh-CN"/>
        </w:rPr>
        <w:t xml:space="preserve"> </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In 2011, BYD set up a joint venture with Daimler with the intention of jointly developing and producing the 'Danza' series of NEVs to improve its automotive R&amp;D and production capabilities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{"citationID":"xzPI2kwi","properties":{"formattedCitation":"(Financial Times, 2014)","plainCitation":"(Financial Times, 2014)","noteIndex":0},"citationItems":[{"id":704,"uris":["http://zotero.org/users/10703570/items/R8SABSG9"],"itemData":{"id":704,"type":"webpage","title":"China’s BYD develops new electric car with Daimler","URL":"https://www.ft.com/content/1a457b6c-2d2d-11e4-911b-00144feabdc0","author":[{"family":"Financial Times","given":""}],"accessed":{"date-parts":[["2023",3,8]]},"issued":{"date-parts":[["2014"]]}}}],"schema":"https://github.com/citation-style-language/schema/raw/master/csl-citation.json"}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(Financial Times, 2014)</w:t>
      </w:r>
      <w:r>
        <w:rPr>
          <w:rFonts w:ascii="Arial" w:hAnsi="Arial" w:cs="Arial"/>
          <w:sz w:val="24"/>
          <w:szCs w:val="24"/>
          <w:lang w:eastAsia="zh-CN"/>
        </w:rPr>
        <w:fldChar w:fldCharType="end"/>
      </w:r>
      <w:r>
        <w:rPr>
          <w:rFonts w:ascii="Arial" w:hAnsi="Arial" w:cs="Arial"/>
          <w:sz w:val="24"/>
          <w:szCs w:val="24"/>
          <w:lang w:eastAsia="zh-CN"/>
        </w:rPr>
        <w:t xml:space="preserve">. 2016, BYD set up a joint venture with Qinghai Salt Lake Industry, aiming to engage in the development, processing, and sale of Salt Lake lithium resources in Qinghai, realizing its strategic layout in the upstream core resources of NEVs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{"citationID":"hsBk9u3L","properties":{"formattedCitation":"(BYD, 2017)","plainCitation":"(BYD, 2017)","noteIndex":0},"citationItems":[{"id":706,"uris":["http://zotero.org/users/10703570/items/6963NPU5"],"itemData":{"id":706,"type":"report","title":"Annual Report 2017","author":[{"family":"BYD","given":""}],"issued":{"date-parts":[["2017"]]}}}],"schema":"https://github.com/citation-style-language/schema/raw/master/csl-citation.json"}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(BYD, 2017)</w:t>
      </w:r>
      <w:r>
        <w:rPr>
          <w:rFonts w:ascii="Arial" w:hAnsi="Arial" w:cs="Arial"/>
          <w:sz w:val="24"/>
          <w:szCs w:val="24"/>
          <w:lang w:eastAsia="zh-CN"/>
        </w:rPr>
        <w:fldChar w:fldCharType="end"/>
      </w:r>
      <w:r>
        <w:rPr>
          <w:rFonts w:ascii="Arial" w:hAnsi="Arial" w:cs="Arial"/>
          <w:sz w:val="24"/>
          <w:szCs w:val="24"/>
          <w:lang w:eastAsia="zh-CN"/>
        </w:rPr>
        <w:t xml:space="preserve">. In 2018, the company set up a joint venture with Changan Automobile to establish a battery plant with an annual production capacity of 10 GWH to supply power batteries to Changan Automobile and accelerate the downstream power battery supply business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{"citationID":"o24l7eLf","properties":{"formattedCitation":"(Automotive News, 2018)","plainCitation":"(Automotive News, 2018)","noteIndex":0},"citationItems":[{"id":707,"uris":["http://zotero.org/users/10703570/items/R8HMBQPV"],"itemData":{"id":707,"type":"webpage","title":"BYD to make EV batteries for Changan","URL":"https://www.autonews.com/china/byd-make-ev-batteries-changan","author":[{"family":"Automotive News","given":""}],"accessed":{"date-parts":[["2023",3,8]]},"issued":{"date-parts":[["2018"]]}}}],"schema":"https://github.com/citation-style-language/schema/raw/master/csl-citation.json"}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(Automotive News, 2018)</w:t>
      </w:r>
      <w:r>
        <w:rPr>
          <w:rFonts w:ascii="Arial" w:hAnsi="Arial" w:cs="Arial"/>
          <w:sz w:val="24"/>
          <w:szCs w:val="24"/>
          <w:lang w:eastAsia="zh-CN"/>
        </w:rPr>
        <w:fldChar w:fldCharType="end"/>
      </w:r>
      <w:r>
        <w:rPr>
          <w:rFonts w:ascii="Arial" w:hAnsi="Arial" w:cs="Arial"/>
          <w:sz w:val="24"/>
          <w:szCs w:val="24"/>
          <w:lang w:eastAsia="zh-CN"/>
        </w:rPr>
        <w:t xml:space="preserve">. </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Through this series of initiatives, we can see that BYD is adept at using joint ventures to enter into strategic cooperation with companies with competitive advantages in the upstream and downstream of the industry chain to expand the coverage of the industry chain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{"citationID":"c7UEEPGO","properties":{"formattedCitation":"(Wu and Liu, 2016; An, 2021; Sun, Zhang and Su, 2022)","plainCitation":"(Wu and Liu, 2016; An, 2021; Sun, Zhang and Su, 2022)","noteIndex":0},"citationItems":[{"id":710,"uris":["http://zotero.org/users/10703570/items/JZB7GE7F"],"itemData":{"id":710,"type":"article-journal","container-title":"Science &amp; Technology Progress and Policy","issue":"3","journalAbbreviation":"Science &amp; Technology Progress and Policy","page":"72-77","title":"Risks and coping tactics during evolution of new energy vehicle innovation ecosystem: case of BYD new energy vehicles","volume":"33","author":[{"family":"Wu","given":"J"},{"family":"Liu","given":"J"}],"issued":{"date-parts":[["2016"]]}}},{"id":709,"uris":["http://zotero.org/users/10703570/items/Z4B4KGV3"],"itemData":{"id":709,"type":"paper-conference","event-title":"6th Annual International Conference on Social Science and Contemporary Humanity Development (SSCHD 2020)","ISBN":"94-6239-320-6","page":"735-740","publisher":"Atlantis Press","title":"The Strategic Group Analysis of BYD New Energy Vehicles From the Perspective of Value Chain","author":[{"family":"An","given":"Tong"}],"issued":{"date-parts":[["2021"]]}}},{"id":712,"uris":["http://zotero.org/users/10703570/items/R58YURKR"],"itemData":{"id":712,"type":"article-journal","container-title":"Energy Policy","ISSN":"0301-4215","journalAbbreviation":"Energy Policy","note":"publisher: Elsevier","page":"112885","title":"Impact of government subsidy on the optimal R&amp;D and advertising investment in the cooperative supply chain of new energy vehicles","volume":"164","author":[{"family":"Sun","given":"Ya-Fang"},{"family":"Zhang","given":"Yue-Jun"},{"family":"Su","given":"Bin"}],"issued":{"date-parts":[["2022"]]}}}],"schema":"https://github.com/citation-style-language/schema/raw/master/csl-citation.json"}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(Wu and Liu, 2016; An, 2021; Sun, Zhang and Su, 2022)</w:t>
      </w:r>
      <w:r>
        <w:rPr>
          <w:rFonts w:ascii="Arial" w:hAnsi="Arial" w:cs="Arial"/>
          <w:sz w:val="24"/>
          <w:szCs w:val="24"/>
          <w:lang w:eastAsia="zh-CN"/>
        </w:rPr>
        <w:fldChar w:fldCharType="end"/>
      </w:r>
      <w:r>
        <w:rPr>
          <w:rFonts w:ascii="Arial" w:hAnsi="Arial" w:cs="Arial"/>
          <w:sz w:val="24"/>
          <w:szCs w:val="24"/>
          <w:lang w:eastAsia="zh-CN"/>
        </w:rPr>
        <w:t xml:space="preserve">. The establishment of joint ventures ensures that the interests of upstream and downstream companies are integrated and reduces the risk of internal competition between the parties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{"citationID":"7cw4Jkmo","properties":{"formattedCitation":"(Qudrat-Ullah, 2022)","plainCitation":"(Qudrat-Ullah, 2022)","noteIndex":0},"citationItems":[{"id":718,"uris":["http://zotero.org/users/10703570/items/KDTIZPH4"],"itemData":{"id":718,"type":"article-journal","container-title":"Sustainability","ISSN":"2071-1050","issue":"19","journalAbbreviation":"Sustainability","note":"publisher: MDPI","page":"12695","title":"Adoption and Growth of Fuel Cell Vehicles in China: The Case of BYD","volume":"14","author":[{"family":"Qudrat-Ullah","given":"Hassan"}],"issued":{"date-parts":[["2022"]]}}}],"schema":"https://github.com/citation-style-language/schema/raw/master/csl-citation.json"}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(Qudrat-Ullah, 2022)</w:t>
      </w:r>
      <w:r>
        <w:rPr>
          <w:rFonts w:ascii="Arial" w:hAnsi="Arial" w:cs="Arial"/>
          <w:sz w:val="24"/>
          <w:szCs w:val="24"/>
          <w:lang w:eastAsia="zh-CN"/>
        </w:rPr>
        <w:fldChar w:fldCharType="end"/>
      </w:r>
      <w:r>
        <w:rPr>
          <w:rFonts w:ascii="Arial" w:hAnsi="Arial" w:cs="Arial"/>
          <w:sz w:val="24"/>
          <w:szCs w:val="24"/>
          <w:lang w:eastAsia="zh-CN"/>
        </w:rPr>
        <w:t xml:space="preserve">. With the advantage of battery technology and vehicle R&amp;D, as well as open innovation, BYD has established a relatively integrated value chain for the development of NEVs. The cost leadership ushered by the integration is reflected in the following perspectives. </w:t>
      </w:r>
    </w:p>
    <w:p>
      <w:pPr>
        <w:pStyle w:val="31"/>
        <w:numPr>
          <w:ilvl w:val="0"/>
          <w:numId w:val="2"/>
        </w:numPr>
        <w:spacing w:before="120" w:beforeLines="50" w:after="360" w:afterLines="150" w:line="480" w:lineRule="auto"/>
        <w:ind w:firstLineChars="0"/>
        <w:jc w:val="both"/>
        <w:rPr>
          <w:rFonts w:ascii="Arial" w:hAnsi="Arial" w:cs="Arial"/>
          <w:sz w:val="24"/>
          <w:szCs w:val="24"/>
          <w:lang w:eastAsia="zh-CN"/>
        </w:rPr>
      </w:pPr>
      <w:r>
        <w:rPr>
          <w:rFonts w:ascii="Arial" w:hAnsi="Arial" w:cs="Arial"/>
          <w:sz w:val="24"/>
          <w:szCs w:val="24"/>
          <w:lang w:eastAsia="zh-CN"/>
        </w:rPr>
        <w:t xml:space="preserve">Procurement: The main advantage of sourcing is that it allows all the components for the production of a car to be supported by internal systems so that the logistics costs can be significantly reduced. 70% of the costs for the production of a car are controlled internally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{"citationID":"o0G94vtj","properties":{"formattedCitation":"(BYD, 2021)","plainCitation":"(BYD, 2021)","noteIndex":0},"citationItems":[{"id":701,"uris":["http://zotero.org/users/10703570/items/S3IDXB4M"],"itemData":{"id":701,"type":"report","title":"Annual Report 2021","author":[{"family":"BYD","given":""}],"issued":{"date-parts":[["2021"]]}}}],"schema":"https://github.com/citation-style-language/schema/raw/master/csl-citation.json"}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(BYD, 2021)</w:t>
      </w:r>
      <w:r>
        <w:rPr>
          <w:rFonts w:ascii="Arial" w:hAnsi="Arial" w:cs="Arial"/>
          <w:sz w:val="24"/>
          <w:szCs w:val="24"/>
          <w:lang w:eastAsia="zh-CN"/>
        </w:rPr>
        <w:fldChar w:fldCharType="end"/>
      </w:r>
      <w:r>
        <w:rPr>
          <w:rFonts w:ascii="Arial" w:hAnsi="Arial" w:cs="Arial"/>
          <w:sz w:val="24"/>
          <w:szCs w:val="24"/>
          <w:lang w:eastAsia="zh-CN"/>
        </w:rPr>
        <w:t>.</w:t>
      </w:r>
    </w:p>
    <w:p>
      <w:pPr>
        <w:pStyle w:val="31"/>
        <w:numPr>
          <w:ilvl w:val="0"/>
          <w:numId w:val="2"/>
        </w:numPr>
        <w:spacing w:before="120" w:beforeLines="50" w:after="360" w:afterLines="150" w:line="480" w:lineRule="auto"/>
        <w:ind w:firstLineChars="0"/>
        <w:jc w:val="both"/>
        <w:rPr>
          <w:rFonts w:ascii="Arial" w:hAnsi="Arial" w:cs="Arial"/>
          <w:sz w:val="24"/>
          <w:szCs w:val="24"/>
          <w:lang w:eastAsia="zh-CN"/>
        </w:rPr>
      </w:pPr>
      <w:r>
        <w:rPr>
          <w:rFonts w:ascii="Arial" w:hAnsi="Arial" w:cs="Arial"/>
          <w:sz w:val="24"/>
          <w:szCs w:val="24"/>
          <w:lang w:eastAsia="zh-CN"/>
        </w:rPr>
        <w:t>Production: As indicated above, the e-Platform was launched and shared with BAIC, Changan, and Dongfeng to implement shared services in multiple fields, greatly saving the time and cost of acquiring resources (BYD, 2021). With the majority of production activities performed in the house, BYD could closely monitor and control the cost structure.</w:t>
      </w:r>
    </w:p>
    <w:p>
      <w:pPr>
        <w:pStyle w:val="31"/>
        <w:numPr>
          <w:ilvl w:val="0"/>
          <w:numId w:val="2"/>
        </w:numPr>
        <w:spacing w:before="120" w:beforeLines="50" w:after="360" w:afterLines="150" w:line="480" w:lineRule="auto"/>
        <w:ind w:firstLineChars="0"/>
        <w:jc w:val="both"/>
        <w:rPr>
          <w:rFonts w:ascii="Arial" w:hAnsi="Arial" w:cs="Arial"/>
          <w:sz w:val="24"/>
          <w:szCs w:val="24"/>
          <w:lang w:eastAsia="zh-CN"/>
        </w:rPr>
      </w:pPr>
      <w:r>
        <w:rPr>
          <w:rFonts w:ascii="Arial" w:hAnsi="Arial" w:cs="Arial"/>
          <w:sz w:val="24"/>
          <w:szCs w:val="24"/>
          <w:lang w:eastAsia="zh-CN"/>
        </w:rPr>
        <w:t xml:space="preserve">Logistics: Order processing is constantly optimised and adjusted by a dedicated department, which strengthens the management of delivery dates and strictly controls shipping logistics. The distribution is enabled by an integrated and omnichannel, including the traditional dealership cooperation and the direct selling to customers from BYD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{"citationID":"HZW1wHB9","properties":{"formattedCitation":"(BYD, 2021)","plainCitation":"(BYD, 2021)","noteIndex":0},"citationItems":[{"id":701,"uris":["http://zotero.org/users/10703570/items/S3IDXB4M"],"itemData":{"id":701,"type":"report","title":"Annual Report 2021","author":[{"family":"BYD","given":""}],"issued":{"date-parts":[["2021"]]}}}],"schema":"https://github.com/citation-style-language/schema/raw/master/csl-citation.json"} </w:instrText>
      </w:r>
      <w:r>
        <w:rPr>
          <w:rFonts w:ascii="Arial" w:hAnsi="Arial" w:cs="Arial"/>
          <w:sz w:val="24"/>
          <w:szCs w:val="24"/>
          <w:lang w:eastAsia="zh-CN"/>
        </w:rPr>
        <w:fldChar w:fldCharType="separate"/>
      </w:r>
      <w:r>
        <w:rPr>
          <w:rFonts w:ascii="Arial" w:hAnsi="Arial" w:cs="Arial"/>
          <w:sz w:val="24"/>
          <w:szCs w:val="24"/>
        </w:rPr>
        <w:t>(BYD, 2021)</w:t>
      </w:r>
      <w:r>
        <w:rPr>
          <w:rFonts w:ascii="Arial" w:hAnsi="Arial" w:cs="Arial"/>
          <w:sz w:val="24"/>
          <w:szCs w:val="24"/>
          <w:lang w:eastAsia="zh-CN"/>
        </w:rPr>
        <w:fldChar w:fldCharType="end"/>
      </w:r>
      <w:r>
        <w:rPr>
          <w:rFonts w:ascii="Arial" w:hAnsi="Arial" w:cs="Arial"/>
          <w:sz w:val="24"/>
          <w:szCs w:val="24"/>
          <w:lang w:eastAsia="zh-CN"/>
        </w:rPr>
        <w:t>.</w:t>
      </w:r>
    </w:p>
    <w:p>
      <w:pPr>
        <w:pStyle w:val="3"/>
        <w:numPr>
          <w:ilvl w:val="1"/>
          <w:numId w:val="1"/>
        </w:numPr>
        <w:spacing w:beforeLines="50" w:after="360" w:afterLines="150" w:line="480" w:lineRule="auto"/>
        <w:jc w:val="both"/>
        <w:rPr>
          <w:rFonts w:ascii="Arial" w:hAnsi="Arial" w:cs="Arial"/>
        </w:rPr>
      </w:pPr>
      <w:bookmarkStart w:id="9" w:name="_Toc129157848"/>
      <w:r>
        <w:rPr>
          <w:rFonts w:ascii="Arial" w:hAnsi="Arial" w:cs="Arial"/>
        </w:rPr>
        <w:t>The evaluation of strategy effectiveness</w:t>
      </w:r>
      <w:bookmarkEnd w:id="9"/>
      <w:r>
        <w:rPr>
          <w:rFonts w:ascii="Arial" w:hAnsi="Arial" w:cs="Arial"/>
        </w:rPr>
        <w:t xml:space="preserve"> </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For cost leadership strategies, there are three competitive risks that cannot be ignored: firstly, the loss of technological advantage due to the development of more advanced technologies by other companies in the market; secondly, the loss of competitive advantage of the original product due to a change in the demand for goods by the target customer group; thirdly, the low technological threshold of the original product, which can be imitated by competitors at a similar or even lower cost, resulting in the original product no longer has an advantage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{"citationID":"MpnncB1m","properties":{"formattedCitation":"(Porter, 1989)","plainCitation":"(Porter, 1989)","noteIndex":0},"citationItems":[{"id":696,"uris":["http://zotero.org/users/10703570/items/H95XQFRG"],"itemData":{"id":696,"type":"book","ISBN":"0-333-51809-8","publisher":"Springer","title":"From competitive advantage to corporate strategy","author":[{"family":"Porter","given":"Michael E"}],"issued":{"date-parts":[["1989"]]}}}],"schema":"https://github.com/citation-style-language/schema/raw/master/csl-citation.json"} </w:instrText>
      </w:r>
      <w:r>
        <w:rPr>
          <w:rFonts w:ascii="Arial" w:hAnsi="Arial" w:cs="Arial"/>
          <w:sz w:val="24"/>
          <w:szCs w:val="24"/>
          <w:lang w:eastAsia="zh-CN"/>
        </w:rPr>
        <w:fldChar w:fldCharType="separate"/>
      </w:r>
      <w:r>
        <w:rPr>
          <w:rFonts w:ascii="Arial" w:hAnsi="Arial" w:cs="Arial"/>
          <w:sz w:val="24"/>
        </w:rPr>
        <w:t>(Porter, 1989)</w:t>
      </w:r>
      <w:r>
        <w:rPr>
          <w:rFonts w:ascii="Arial" w:hAnsi="Arial" w:cs="Arial"/>
          <w:sz w:val="24"/>
          <w:szCs w:val="24"/>
          <w:lang w:eastAsia="zh-CN"/>
        </w:rPr>
        <w:fldChar w:fldCharType="end"/>
      </w:r>
      <w:r>
        <w:rPr>
          <w:rFonts w:ascii="Arial" w:hAnsi="Arial" w:cs="Arial"/>
          <w:sz w:val="24"/>
          <w:szCs w:val="24"/>
          <w:lang w:eastAsia="zh-CN"/>
        </w:rPr>
        <w:t>.</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Although the integrated supply chain has benefited BYD through greater cost leadership, it also leads to the problem of increased difficulties in internal and external coordination and cooperation. At the same, vertical integration has resulted in the enormous investment of BYD in fixed assets. In the event of force majeure factors such as epidemics and the auto market, the company will have a backlog of inventory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{"citationID":"QJWWxPmD","properties":{"formattedCitation":"(Bloomberg, 2022)","plainCitation":"(Bloomberg, 2022)","noteIndex":0},"citationItems":[{"id":715,"uris":["http://zotero.org/users/10703570/items/8SLDQJ2K"],"itemData":{"id":715,"type":"webpage","title":"BYD Making At Least 2,000 Cars a Day Less as Covid Hits Workers","URL":"https://www.bloomberg.com/news/articles/2022-12-23/byd-making-at-least-2-000-cars-a-day-less-as-covid-hits-workers","author":[{"family":"Bloomberg","given":""}],"accessed":{"date-parts":[["2023",3,8]]},"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rPr>
        <w:t>(Bloomberg, 2022)</w:t>
      </w:r>
      <w:r>
        <w:rPr>
          <w:rFonts w:ascii="Arial" w:hAnsi="Arial" w:cs="Arial"/>
          <w:sz w:val="24"/>
          <w:szCs w:val="24"/>
          <w:lang w:eastAsia="zh-CN"/>
        </w:rPr>
        <w:fldChar w:fldCharType="end"/>
      </w:r>
      <w:r>
        <w:rPr>
          <w:rFonts w:ascii="Arial" w:hAnsi="Arial" w:cs="Arial"/>
          <w:sz w:val="24"/>
          <w:szCs w:val="24"/>
          <w:lang w:eastAsia="zh-CN"/>
        </w:rPr>
        <w:t xml:space="preserve">. Moreover, too much integration will hamstring the development of the company itself and restrict its ability to adapt to market changes </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{"citationID":"n2CDFV3x","properties":{"formattedCitation":"(Gunasekaran and Ngai, 2004; Flynn, Huo and Zhao, 2010)","plainCitation":"(Gunasekaran and Ngai, 2004; Flynn, Huo and Zhao, 2010)","noteIndex":0},"citationItems":[{"id":716,"uris":["http://zotero.org/users/10703570/items/XBTEAGJP"],"itemData":{"id":716,"type":"article-journal","container-title":"European journal of operational research","ISSN":"0377-2217","issue":"2","journalAbbreviation":"European journal of operational research","note":"publisher: Elsevier","page":"269-295","title":"Information systems in supply chain integration and management","volume":"159","author":[{"family":"Gunasekaran","given":"Angappa"},{"family":"Ngai","given":"Eric WT"}],"issued":{"date-parts":[["2004"]]}}},{"id":717,"uris":["http://zotero.org/users/10703570/items/GPPL5ZSH"],"itemData":{"id":717,"type":"article-journal","container-title":"Journal of operations management","ISSN":"0272-6963","issue":"1","journalAbbreviation":"Journal of operations management","note":"publisher: Elsevier","page":"58-71","title":"The impact of supply chain integration on performance: A contingency and configuration approach","volume":"28","author":[{"family":"Flynn","given":"Barbara B"},{"family":"Huo","given":"Baofeng"},{"family":"Zhao","given":"Xiande"}],"issued":{"date-parts":[["2010"]]}}}],"schema":"https://github.com/citation-style-language/schema/raw/master/csl-citation.json"} </w:instrText>
      </w:r>
      <w:r>
        <w:rPr>
          <w:rFonts w:ascii="Arial" w:hAnsi="Arial" w:cs="Arial"/>
          <w:sz w:val="24"/>
          <w:szCs w:val="24"/>
          <w:lang w:eastAsia="zh-CN"/>
        </w:rPr>
        <w:fldChar w:fldCharType="separate"/>
      </w:r>
      <w:r>
        <w:rPr>
          <w:rFonts w:ascii="Arial" w:hAnsi="Arial" w:cs="Arial"/>
          <w:sz w:val="24"/>
        </w:rPr>
        <w:t>(Gunasekaran and Ngai, 2004; Flynn, Huo and Zhao, 2010)</w:t>
      </w:r>
      <w:r>
        <w:rPr>
          <w:rFonts w:ascii="Arial" w:hAnsi="Arial" w:cs="Arial"/>
          <w:sz w:val="24"/>
          <w:szCs w:val="24"/>
          <w:lang w:eastAsia="zh-CN"/>
        </w:rPr>
        <w:fldChar w:fldCharType="end"/>
      </w:r>
      <w:r>
        <w:rPr>
          <w:rFonts w:ascii="Arial" w:hAnsi="Arial" w:cs="Arial"/>
          <w:sz w:val="24"/>
          <w:szCs w:val="24"/>
          <w:lang w:eastAsia="zh-CN"/>
        </w:rPr>
        <w:t>. In particular, other electric vehicle companies in the market can already use the same cost level to develop more advanced and differentiated products.</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Moreover, in 2020, the competitive landscape for NEVs has quietly changed in China, with BYD's dominant position being challenged. With traditional auto groups, foreign brands, and internet car makers in the mix, BYD's competitive pressure multiplied and its market share fell to a historical low of 11.2% in the domestic market in 2021</w:t>
      </w:r>
      <w:r>
        <w:rPr>
          <w:rFonts w:ascii="Arial" w:hAnsi="Arial" w:cs="Arial"/>
          <w:sz w:val="24"/>
          <w:szCs w:val="24"/>
          <w:lang w:eastAsia="zh-CN"/>
        </w:rPr>
        <w:fldChar w:fldCharType="begin"/>
      </w:r>
      <w:r>
        <w:rPr>
          <w:rFonts w:ascii="Arial" w:hAnsi="Arial" w:cs="Arial"/>
          <w:sz w:val="24"/>
          <w:szCs w:val="24"/>
          <w:lang w:eastAsia="zh-CN"/>
        </w:rPr>
        <w:instrText xml:space="preserve"> ADDIN ZOTERO_ITEM CSL_CITATION {"citationID":"KEFRMQe2","properties":{"formattedCitation":"(Electrek, 2022)","plainCitation":"(Electrek, 2022)","noteIndex":0},"citationItems":[{"id":713,"uris":["http://zotero.org/users/10703570/items/YAGFCFZL"],"itemData":{"id":713,"type":"webpage","title":"BYD sold 161% more EVs in China than same time last year","URL":"https://electrek.co/2022/10/03/byd-sold-161-more-evs-in-china-than-same-time-last-year-entering-new-markets-with-growth-momentum/","author":[{"family":"Electrek","given":""}],"accessed":{"date-parts":[["2023",3,8]]},"issued":{"date-parts":[["2022"]]}}}],"schema":"https://github.com/citation-style-language/schema/raw/master/csl-citation.json"} </w:instrText>
      </w:r>
      <w:r>
        <w:rPr>
          <w:rFonts w:ascii="Arial" w:hAnsi="Arial" w:cs="Arial"/>
          <w:sz w:val="24"/>
          <w:szCs w:val="24"/>
          <w:lang w:eastAsia="zh-CN"/>
        </w:rPr>
        <w:fldChar w:fldCharType="separate"/>
      </w:r>
      <w:r>
        <w:rPr>
          <w:rFonts w:ascii="Arial" w:hAnsi="Arial" w:cs="Arial"/>
          <w:sz w:val="24"/>
        </w:rPr>
        <w:t>(Electrek, 2022)</w:t>
      </w:r>
      <w:r>
        <w:rPr>
          <w:rFonts w:ascii="Arial" w:hAnsi="Arial" w:cs="Arial"/>
          <w:sz w:val="24"/>
          <w:szCs w:val="24"/>
          <w:lang w:eastAsia="zh-CN"/>
        </w:rPr>
        <w:fldChar w:fldCharType="end"/>
      </w:r>
      <w:r>
        <w:rPr>
          <w:rFonts w:ascii="Arial" w:hAnsi="Arial" w:cs="Arial"/>
          <w:sz w:val="24"/>
          <w:szCs w:val="24"/>
          <w:lang w:eastAsia="zh-CN"/>
        </w:rPr>
        <w:t>. Especially, since these brands have all adopted a hybrid strategy focusing on cost leadership and differentiation simultaneously, for instance, Tesla’s localized Model 3 with autonomous driving and over-the-air updating, the cost leadership of BYD could not cater to the changing expectations of customers in China.</w:t>
      </w:r>
    </w:p>
    <w:p>
      <w:pPr>
        <w:spacing w:before="120" w:beforeLines="50" w:after="360" w:afterLines="150" w:line="480" w:lineRule="auto"/>
        <w:jc w:val="both"/>
        <w:rPr>
          <w:rFonts w:ascii="Arial" w:hAnsi="Arial" w:cs="Arial"/>
          <w:i/>
          <w:iCs/>
          <w:lang w:eastAsia="zh-CN"/>
        </w:rPr>
      </w:pPr>
      <w:r>
        <w:rPr>
          <w:rFonts w:ascii="Arial" w:hAnsi="Arial" w:cs="Arial"/>
          <w:i/>
          <w:iCs/>
          <w:lang w:eastAsia="zh-CN"/>
        </w:rPr>
        <w:br w:type="page"/>
      </w:r>
    </w:p>
    <w:p>
      <w:pPr>
        <w:pStyle w:val="2"/>
        <w:numPr>
          <w:ilvl w:val="0"/>
          <w:numId w:val="1"/>
        </w:numPr>
        <w:spacing w:before="120" w:beforeLines="50" w:after="360" w:afterLines="150" w:line="480" w:lineRule="auto"/>
        <w:jc w:val="both"/>
        <w:rPr>
          <w:rFonts w:ascii="Arial" w:hAnsi="Arial" w:cs="Arial"/>
        </w:rPr>
      </w:pPr>
      <w:bookmarkStart w:id="10" w:name="_Toc129157849"/>
      <w:r>
        <w:rPr>
          <w:rFonts w:ascii="Arial" w:hAnsi="Arial" w:cs="Arial"/>
        </w:rPr>
        <w:t xml:space="preserve">Conclusion </w:t>
      </w:r>
      <w:r>
        <w:rPr>
          <w:rFonts w:ascii="Arial" w:hAnsi="Arial" w:cs="Arial"/>
          <w:lang w:eastAsia="zh-CN"/>
        </w:rPr>
        <w:t>and recommendations</w:t>
      </w:r>
      <w:bookmarkEnd w:id="10"/>
      <w:r>
        <w:rPr>
          <w:rFonts w:ascii="Arial" w:hAnsi="Arial" w:cs="Arial"/>
          <w:lang w:eastAsia="zh-CN"/>
        </w:rPr>
        <w:t xml:space="preserve"> </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 xml:space="preserve">Considering the favourable political environment in the domestic Chinese market, as well as the changed customer purchase behaviours in the NEV industry with NEVs much preferred than before, the NEV industry is featured exponential market growth potential but also fierce competition. As a leading incumbent, BYD should reflect on its current competitive strategy effectiveness in order to stay competitive. </w:t>
      </w:r>
      <w:r>
        <w:rPr>
          <w:rFonts w:ascii="Arial" w:hAnsi="Arial" w:cs="Arial"/>
          <w:sz w:val="24"/>
          <w:szCs w:val="24"/>
        </w:rPr>
        <w:t xml:space="preserve">The study introduces how BYD implements a cost leadership strategy and the problems that arise in the process of cost management, such as excessive vertical integration, low product differentiation, etc. Based on the analysis, the following recommendations are promoted for BYD in its future competitive strategic management. </w:t>
      </w:r>
    </w:p>
    <w:p>
      <w:pPr>
        <w:spacing w:before="120" w:beforeLines="50" w:after="360" w:afterLines="150" w:line="480" w:lineRule="auto"/>
        <w:jc w:val="both"/>
        <w:rPr>
          <w:rFonts w:ascii="Arial" w:hAnsi="Arial" w:cs="Arial"/>
          <w:sz w:val="24"/>
          <w:szCs w:val="24"/>
          <w:lang w:eastAsia="zh-CN"/>
        </w:rPr>
      </w:pPr>
      <w:r>
        <w:rPr>
          <w:rFonts w:ascii="Arial" w:hAnsi="Arial" w:cs="Arial"/>
          <w:sz w:val="24"/>
          <w:szCs w:val="24"/>
          <w:lang w:eastAsia="zh-CN"/>
        </w:rPr>
        <w:t>On the one hand, BYD should transition from cost leadership or integrate the differentiation strategy into its current strategic alignment. This can be achieved through rolling out products with unique appearance designs or technical characteristics. The company may also consider inviting internationally renowned designers or experts in related fields to participate in the design and manufacture of vehicles and focusing on improving the overall design aesthetics of vehicles so as to further gain a good reputation and market recognition from the majority of users and strengthen its market-leading position. In addition, in the enrichment of the existing production system models at the same time, BYD should also increase the development of high-grade products, based on the need for different consumer groups to provide the corresponding products, rather than just a low price to occupy the low-end consumer market, otherwise, the quality of such products and corporate brand value will not be able to make further leaps and bounds.</w:t>
      </w:r>
    </w:p>
    <w:p>
      <w:pPr>
        <w:spacing w:before="120" w:beforeLines="50" w:after="360" w:afterLines="150" w:line="480" w:lineRule="auto"/>
        <w:jc w:val="both"/>
        <w:rPr>
          <w:rFonts w:ascii="Arial" w:hAnsi="Arial" w:cs="Arial"/>
          <w:lang w:eastAsia="zh-CN"/>
        </w:rPr>
      </w:pPr>
      <w:r>
        <w:rPr>
          <w:rFonts w:ascii="Arial" w:hAnsi="Arial" w:cs="Arial"/>
          <w:sz w:val="24"/>
          <w:szCs w:val="24"/>
          <w:lang w:eastAsia="zh-CN"/>
        </w:rPr>
        <w:t xml:space="preserve">On the other hand, the integrated supply chain of BYD’s NEV business can be restructured to usher cost leadership, operational flexibility, and market responsiveness. For instance, the links that do not significantly contribute to the marginal value in the supply chain could be outsourced so that BYD can place more strategic focus on the business core with greater profit margins. BYD could perform a cost structure analysis on its value chain activities to judge the level of integration and the significance of integration. Then, BYD could reach out to external service providers, such as third-party assembly service providers in China, to compare the costs between doing it by itself or outsourcing to specialist companies with probably greater economies of scale. With non-core businesses being outsourced, BYD could pool resources and competencies into the above-mentioned activities that could make BYD more differentiated from other brands competing in the domestic market. </w:t>
      </w:r>
      <w:r>
        <w:rPr>
          <w:rFonts w:ascii="Arial" w:hAnsi="Arial" w:cs="Arial"/>
          <w:i/>
          <w:iCs/>
        </w:rPr>
        <w:br w:type="page"/>
      </w:r>
    </w:p>
    <w:p>
      <w:pPr>
        <w:pStyle w:val="2"/>
        <w:spacing w:before="120" w:beforeLines="50" w:after="360" w:afterLines="150" w:line="480" w:lineRule="auto"/>
        <w:jc w:val="both"/>
        <w:rPr>
          <w:rFonts w:ascii="Arial" w:hAnsi="Arial" w:cs="Arial"/>
        </w:rPr>
      </w:pPr>
      <w:bookmarkStart w:id="11" w:name="_Toc129157850"/>
      <w:r>
        <w:rPr>
          <w:rFonts w:ascii="Arial" w:hAnsi="Arial" w:cs="Arial"/>
        </w:rPr>
        <w:t>References</w:t>
      </w:r>
      <w:bookmarkEnd w:id="11"/>
    </w:p>
    <w:p>
      <w:pPr>
        <w:pStyle w:val="50"/>
        <w:spacing w:before="120" w:beforeLines="50" w:after="360" w:afterLines="150" w:line="480" w:lineRule="auto"/>
        <w:rPr>
          <w:rFonts w:ascii="Arial" w:hAnsi="Arial" w:cs="Arial"/>
          <w:sz w:val="24"/>
          <w:szCs w:val="24"/>
        </w:rPr>
      </w:pPr>
      <w:r>
        <w:rPr>
          <w:rFonts w:ascii="Arial" w:hAnsi="Arial" w:cs="Arial"/>
          <w:sz w:val="24"/>
          <w:szCs w:val="24"/>
        </w:rPr>
        <w:fldChar w:fldCharType="begin"/>
      </w:r>
      <w:r>
        <w:rPr>
          <w:rFonts w:ascii="Arial" w:hAnsi="Arial" w:cs="Arial"/>
          <w:sz w:val="24"/>
          <w:szCs w:val="24"/>
        </w:rPr>
        <w:instrText xml:space="preserve"> ADDIN ZOTERO_BIBL {"uncited":[],"omitted":[],"custom":[]} CSL_BIBLIOGRAPHY </w:instrText>
      </w:r>
      <w:r>
        <w:rPr>
          <w:rFonts w:ascii="Arial" w:hAnsi="Arial" w:cs="Arial"/>
          <w:sz w:val="24"/>
          <w:szCs w:val="24"/>
        </w:rPr>
        <w:fldChar w:fldCharType="separate"/>
      </w:r>
      <w:r>
        <w:rPr>
          <w:rFonts w:ascii="Arial" w:hAnsi="Arial" w:cs="Arial"/>
          <w:sz w:val="24"/>
          <w:szCs w:val="24"/>
        </w:rPr>
        <w:t xml:space="preserve">An, T. (2021) ‘The Strategic Group Analysis of BYD New Energy Vehicles From the Perspective of Value Chain’, in. </w:t>
      </w:r>
      <w:r>
        <w:rPr>
          <w:rFonts w:ascii="Arial" w:hAnsi="Arial" w:cs="Arial"/>
          <w:i/>
          <w:iCs/>
          <w:sz w:val="24"/>
          <w:szCs w:val="24"/>
        </w:rPr>
        <w:t>6th Annual International Conference on Social Science and Contemporary Humanity Development (SSCHD 2020)</w:t>
      </w:r>
      <w:r>
        <w:rPr>
          <w:rFonts w:ascii="Arial" w:hAnsi="Arial" w:cs="Arial"/>
          <w:sz w:val="24"/>
          <w:szCs w:val="24"/>
        </w:rPr>
        <w:t>, Atlantis Press, pp. 735–740.</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Automotive News (2018) </w:t>
      </w:r>
      <w:r>
        <w:rPr>
          <w:rFonts w:ascii="Arial" w:hAnsi="Arial" w:cs="Arial"/>
          <w:i/>
          <w:iCs/>
          <w:sz w:val="24"/>
          <w:szCs w:val="24"/>
        </w:rPr>
        <w:t>BYD to make EV batteries for Changan</w:t>
      </w:r>
      <w:r>
        <w:rPr>
          <w:rFonts w:ascii="Arial" w:hAnsi="Arial" w:cs="Arial"/>
          <w:sz w:val="24"/>
          <w:szCs w:val="24"/>
        </w:rPr>
        <w:t>. Available at: https://www.autonews.com/china/byd-make-ev-batteries-changan (Accessed: 8 March 2023).</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Bloomberg (2022) </w:t>
      </w:r>
      <w:r>
        <w:rPr>
          <w:rFonts w:ascii="Arial" w:hAnsi="Arial" w:cs="Arial"/>
          <w:i/>
          <w:iCs/>
          <w:sz w:val="24"/>
          <w:szCs w:val="24"/>
        </w:rPr>
        <w:t>BYD Making At Least 2,000 Cars a Day Less as Covid Hits Workers</w:t>
      </w:r>
      <w:r>
        <w:rPr>
          <w:rFonts w:ascii="Arial" w:hAnsi="Arial" w:cs="Arial"/>
          <w:sz w:val="24"/>
          <w:szCs w:val="24"/>
        </w:rPr>
        <w:t>. Available at: https://www.bloomberg.com/news/articles/2022-12-23/byd-making-at-least-2-000-cars-a-day-less-as-covid-hits-workers (Accessed: 8 March 2023).</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BYD (2017) </w:t>
      </w:r>
      <w:r>
        <w:rPr>
          <w:rFonts w:ascii="Arial" w:hAnsi="Arial" w:cs="Arial"/>
          <w:i/>
          <w:iCs/>
          <w:sz w:val="24"/>
          <w:szCs w:val="24"/>
        </w:rPr>
        <w:t>Annual Report 2017</w:t>
      </w:r>
      <w:r>
        <w:rPr>
          <w:rFonts w:ascii="Arial" w:hAnsi="Arial" w:cs="Arial"/>
          <w:sz w:val="24"/>
          <w:szCs w:val="24"/>
        </w:rPr>
        <w:t>.</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BYD (2021) </w:t>
      </w:r>
      <w:r>
        <w:rPr>
          <w:rFonts w:ascii="Arial" w:hAnsi="Arial" w:cs="Arial"/>
          <w:i/>
          <w:iCs/>
          <w:sz w:val="24"/>
          <w:szCs w:val="24"/>
        </w:rPr>
        <w:t>Annual Report 2021</w:t>
      </w:r>
      <w:r>
        <w:rPr>
          <w:rFonts w:ascii="Arial" w:hAnsi="Arial" w:cs="Arial"/>
          <w:sz w:val="24"/>
          <w:szCs w:val="24"/>
        </w:rPr>
        <w:t>.</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Dong, F. and Liu, Y. (2020) ‘Policy evolution and effect evaluation of new-energy vehicle industry in China’, </w:t>
      </w:r>
      <w:r>
        <w:rPr>
          <w:rFonts w:ascii="Arial" w:hAnsi="Arial" w:cs="Arial"/>
          <w:i/>
          <w:iCs/>
          <w:sz w:val="24"/>
          <w:szCs w:val="24"/>
        </w:rPr>
        <w:t>Resources Policy</w:t>
      </w:r>
      <w:r>
        <w:rPr>
          <w:rFonts w:ascii="Arial" w:hAnsi="Arial" w:cs="Arial"/>
          <w:sz w:val="24"/>
          <w:szCs w:val="24"/>
        </w:rPr>
        <w:t>, 67, p. 101655.</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Electrek (2022) </w:t>
      </w:r>
      <w:r>
        <w:rPr>
          <w:rFonts w:ascii="Arial" w:hAnsi="Arial" w:cs="Arial"/>
          <w:i/>
          <w:iCs/>
          <w:sz w:val="24"/>
          <w:szCs w:val="24"/>
        </w:rPr>
        <w:t>BYD sold 161% more EVs in China than same time last year</w:t>
      </w:r>
      <w:r>
        <w:rPr>
          <w:rFonts w:ascii="Arial" w:hAnsi="Arial" w:cs="Arial"/>
          <w:sz w:val="24"/>
          <w:szCs w:val="24"/>
        </w:rPr>
        <w:t>. Available at: https://electrek.co/2022/10/03/byd-sold-161-more-evs-in-china-than-same-time-last-year-entering-new-markets-with-growth-momentum/ (Accessed: 8 March 2023).</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Financial Times (2014) </w:t>
      </w:r>
      <w:r>
        <w:rPr>
          <w:rFonts w:ascii="Arial" w:hAnsi="Arial" w:cs="Arial"/>
          <w:i/>
          <w:iCs/>
          <w:sz w:val="24"/>
          <w:szCs w:val="24"/>
        </w:rPr>
        <w:t>China’s BYD develops new electric car with Daimler</w:t>
      </w:r>
      <w:r>
        <w:rPr>
          <w:rFonts w:ascii="Arial" w:hAnsi="Arial" w:cs="Arial"/>
          <w:sz w:val="24"/>
          <w:szCs w:val="24"/>
        </w:rPr>
        <w:t>. Available at: https://www.ft.com/content/1a457b6c-2d2d-11e4-911b-00144feabdc0 (Accessed: 8 March 2023).</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Flynn, B.B., Huo, B. and Zhao, X. (2010) ‘The impact of supply chain integration on performance: A contingency and configuration approach’, </w:t>
      </w:r>
      <w:r>
        <w:rPr>
          <w:rFonts w:ascii="Arial" w:hAnsi="Arial" w:cs="Arial"/>
          <w:i/>
          <w:iCs/>
          <w:sz w:val="24"/>
          <w:szCs w:val="24"/>
        </w:rPr>
        <w:t>Journal of operations management</w:t>
      </w:r>
      <w:r>
        <w:rPr>
          <w:rFonts w:ascii="Arial" w:hAnsi="Arial" w:cs="Arial"/>
          <w:sz w:val="24"/>
          <w:szCs w:val="24"/>
        </w:rPr>
        <w:t>, 28(1), pp. 58–71.</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Gunasekaran, A. and Ngai, E.W. (2004) ‘Information systems in supply chain integration and management’, </w:t>
      </w:r>
      <w:r>
        <w:rPr>
          <w:rFonts w:ascii="Arial" w:hAnsi="Arial" w:cs="Arial"/>
          <w:i/>
          <w:iCs/>
          <w:sz w:val="24"/>
          <w:szCs w:val="24"/>
        </w:rPr>
        <w:t>European journal of operational research</w:t>
      </w:r>
      <w:r>
        <w:rPr>
          <w:rFonts w:ascii="Arial" w:hAnsi="Arial" w:cs="Arial"/>
          <w:sz w:val="24"/>
          <w:szCs w:val="24"/>
        </w:rPr>
        <w:t>, 159(2), pp. 269–295.</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He, J. </w:t>
      </w:r>
      <w:r>
        <w:rPr>
          <w:rFonts w:ascii="Arial" w:hAnsi="Arial" w:cs="Arial"/>
          <w:i/>
          <w:iCs/>
          <w:sz w:val="24"/>
          <w:szCs w:val="24"/>
        </w:rPr>
        <w:t>et al.</w:t>
      </w:r>
      <w:r>
        <w:rPr>
          <w:rFonts w:ascii="Arial" w:hAnsi="Arial" w:cs="Arial"/>
          <w:sz w:val="24"/>
          <w:szCs w:val="24"/>
        </w:rPr>
        <w:t xml:space="preserve"> (2022) ‘Does oil price affect corporate innovation? Evidence from new energy vehicle enterprises in China’, </w:t>
      </w:r>
      <w:r>
        <w:rPr>
          <w:rFonts w:ascii="Arial" w:hAnsi="Arial" w:cs="Arial"/>
          <w:i/>
          <w:iCs/>
          <w:sz w:val="24"/>
          <w:szCs w:val="24"/>
        </w:rPr>
        <w:t>Renewable and Sustainable Energy Reviews</w:t>
      </w:r>
      <w:r>
        <w:rPr>
          <w:rFonts w:ascii="Arial" w:hAnsi="Arial" w:cs="Arial"/>
          <w:sz w:val="24"/>
          <w:szCs w:val="24"/>
        </w:rPr>
        <w:t>, 156, p. 111964.</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Li, J. </w:t>
      </w:r>
      <w:r>
        <w:rPr>
          <w:rFonts w:ascii="Arial" w:hAnsi="Arial" w:cs="Arial"/>
          <w:i/>
          <w:iCs/>
          <w:sz w:val="24"/>
          <w:szCs w:val="24"/>
        </w:rPr>
        <w:t>et al.</w:t>
      </w:r>
      <w:r>
        <w:rPr>
          <w:rFonts w:ascii="Arial" w:hAnsi="Arial" w:cs="Arial"/>
          <w:sz w:val="24"/>
          <w:szCs w:val="24"/>
        </w:rPr>
        <w:t xml:space="preserve"> (2020) ‘Dual credit policy: promoting new energy vehicles with battery recycling in a competitive environment?’, </w:t>
      </w:r>
      <w:r>
        <w:rPr>
          <w:rFonts w:ascii="Arial" w:hAnsi="Arial" w:cs="Arial"/>
          <w:i/>
          <w:iCs/>
          <w:sz w:val="24"/>
          <w:szCs w:val="24"/>
        </w:rPr>
        <w:t>Journal of Cleaner Production</w:t>
      </w:r>
      <w:r>
        <w:rPr>
          <w:rFonts w:ascii="Arial" w:hAnsi="Arial" w:cs="Arial"/>
          <w:sz w:val="24"/>
          <w:szCs w:val="24"/>
        </w:rPr>
        <w:t>, 243, p. 118456.</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Lin, Y. </w:t>
      </w:r>
      <w:r>
        <w:rPr>
          <w:rFonts w:ascii="Arial" w:hAnsi="Arial" w:cs="Arial"/>
          <w:i/>
          <w:iCs/>
          <w:sz w:val="24"/>
          <w:szCs w:val="24"/>
        </w:rPr>
        <w:t>et al.</w:t>
      </w:r>
      <w:r>
        <w:rPr>
          <w:rFonts w:ascii="Arial" w:hAnsi="Arial" w:cs="Arial"/>
          <w:sz w:val="24"/>
          <w:szCs w:val="24"/>
        </w:rPr>
        <w:t xml:space="preserve"> (2018) ‘Exploring a sustainable business routing for China’s new energy vehicles: BYD as an example’, in. </w:t>
      </w:r>
      <w:r>
        <w:rPr>
          <w:rFonts w:ascii="Arial" w:hAnsi="Arial" w:cs="Arial"/>
          <w:i/>
          <w:iCs/>
          <w:sz w:val="24"/>
          <w:szCs w:val="24"/>
        </w:rPr>
        <w:t>Advances in Green Energy Systems and Smart Grid: First International Conference on Intelligent Manufacturing and Internet of Things and 5th International Conference on Computing for Sustainable Energy and Environment, IMIOT and ICSEE 2018, Chongqing, China, September 21-23, 2018, Proceedings, Part III 5</w:t>
      </w:r>
      <w:r>
        <w:rPr>
          <w:rFonts w:ascii="Arial" w:hAnsi="Arial" w:cs="Arial"/>
          <w:sz w:val="24"/>
          <w:szCs w:val="24"/>
        </w:rPr>
        <w:t>, Springer, pp. 70–80.</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Masiero, G. </w:t>
      </w:r>
      <w:r>
        <w:rPr>
          <w:rFonts w:ascii="Arial" w:hAnsi="Arial" w:cs="Arial"/>
          <w:i/>
          <w:iCs/>
          <w:sz w:val="24"/>
          <w:szCs w:val="24"/>
        </w:rPr>
        <w:t>et al.</w:t>
      </w:r>
      <w:r>
        <w:rPr>
          <w:rFonts w:ascii="Arial" w:hAnsi="Arial" w:cs="Arial"/>
          <w:sz w:val="24"/>
          <w:szCs w:val="24"/>
        </w:rPr>
        <w:t xml:space="preserve"> (2016) ‘Electric vehicles in China: BYD strategies and government subsidies’, </w:t>
      </w:r>
      <w:r>
        <w:rPr>
          <w:rFonts w:ascii="Arial" w:hAnsi="Arial" w:cs="Arial"/>
          <w:i/>
          <w:iCs/>
          <w:sz w:val="24"/>
          <w:szCs w:val="24"/>
        </w:rPr>
        <w:t>RAI Revista de Administração e Inovação</w:t>
      </w:r>
      <w:r>
        <w:rPr>
          <w:rFonts w:ascii="Arial" w:hAnsi="Arial" w:cs="Arial"/>
          <w:sz w:val="24"/>
          <w:szCs w:val="24"/>
        </w:rPr>
        <w:t>, 13(1), pp. 3–11.</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Nikkei Asia (2022) </w:t>
      </w:r>
      <w:r>
        <w:rPr>
          <w:rFonts w:ascii="Arial" w:hAnsi="Arial" w:cs="Arial"/>
          <w:i/>
          <w:iCs/>
          <w:sz w:val="24"/>
          <w:szCs w:val="24"/>
        </w:rPr>
        <w:t>China NEV sales jump in 2022, with some makers far out in front</w:t>
      </w:r>
      <w:r>
        <w:rPr>
          <w:rFonts w:ascii="Arial" w:hAnsi="Arial" w:cs="Arial"/>
          <w:sz w:val="24"/>
          <w:szCs w:val="24"/>
        </w:rPr>
        <w:t>. Available at: https://asia.nikkei.com/Spotlight/Caixin/China-NEV-sales-jump-in-2022-with-some-makers-far-out-in-front (Accessed: 8 March 2023).</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Porter, M.E. (1989) </w:t>
      </w:r>
      <w:r>
        <w:rPr>
          <w:rFonts w:ascii="Arial" w:hAnsi="Arial" w:cs="Arial"/>
          <w:i/>
          <w:iCs/>
          <w:sz w:val="24"/>
          <w:szCs w:val="24"/>
        </w:rPr>
        <w:t>From competitive advantage to corporate strategy</w:t>
      </w:r>
      <w:r>
        <w:rPr>
          <w:rFonts w:ascii="Arial" w:hAnsi="Arial" w:cs="Arial"/>
          <w:sz w:val="24"/>
          <w:szCs w:val="24"/>
        </w:rPr>
        <w:t>. Springer.</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Qudrat-Ullah, H. (2022) ‘Adoption and Growth of Fuel Cell Vehicles in China: The Case of BYD’, </w:t>
      </w:r>
      <w:r>
        <w:rPr>
          <w:rFonts w:ascii="Arial" w:hAnsi="Arial" w:cs="Arial"/>
          <w:i/>
          <w:iCs/>
          <w:sz w:val="24"/>
          <w:szCs w:val="24"/>
        </w:rPr>
        <w:t>Sustainability</w:t>
      </w:r>
      <w:r>
        <w:rPr>
          <w:rFonts w:ascii="Arial" w:hAnsi="Arial" w:cs="Arial"/>
          <w:sz w:val="24"/>
          <w:szCs w:val="24"/>
        </w:rPr>
        <w:t>, 14(19), p. 12695.</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Statista (2023) </w:t>
      </w:r>
      <w:r>
        <w:rPr>
          <w:rFonts w:ascii="Arial" w:hAnsi="Arial" w:cs="Arial"/>
          <w:i/>
          <w:iCs/>
          <w:sz w:val="24"/>
          <w:szCs w:val="24"/>
        </w:rPr>
        <w:t>BYD Auto - statistics &amp; facts</w:t>
      </w:r>
      <w:r>
        <w:rPr>
          <w:rFonts w:ascii="Arial" w:hAnsi="Arial" w:cs="Arial"/>
          <w:sz w:val="24"/>
          <w:szCs w:val="24"/>
        </w:rPr>
        <w:t>. Available at: https://www-statista-com.abc.cardiff.ac.uk/topics/9590/byd-auto/ (Accessed: 8 March 2023).</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Sun, Y.-F., Zhang, Y.-J. and Su, B. (2022) ‘Impact of government subsidy on the optimal R&amp;D and advertising investment in the cooperative supply chain of new energy vehicles’, </w:t>
      </w:r>
      <w:r>
        <w:rPr>
          <w:rFonts w:ascii="Arial" w:hAnsi="Arial" w:cs="Arial"/>
          <w:i/>
          <w:iCs/>
          <w:sz w:val="24"/>
          <w:szCs w:val="24"/>
        </w:rPr>
        <w:t>Energy Policy</w:t>
      </w:r>
      <w:r>
        <w:rPr>
          <w:rFonts w:ascii="Arial" w:hAnsi="Arial" w:cs="Arial"/>
          <w:sz w:val="24"/>
          <w:szCs w:val="24"/>
        </w:rPr>
        <w:t>, 164, p. 112885.</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Wang, L. (2022) ‘Cost Management of New Energy Automobile Enterprises’, in. </w:t>
      </w:r>
      <w:r>
        <w:rPr>
          <w:rFonts w:ascii="Arial" w:hAnsi="Arial" w:cs="Arial"/>
          <w:i/>
          <w:iCs/>
          <w:sz w:val="24"/>
          <w:szCs w:val="24"/>
        </w:rPr>
        <w:t>2022 2nd International Conference on Economic Development and Business Culture (ICEDBC 2022)</w:t>
      </w:r>
      <w:r>
        <w:rPr>
          <w:rFonts w:ascii="Arial" w:hAnsi="Arial" w:cs="Arial"/>
          <w:sz w:val="24"/>
          <w:szCs w:val="24"/>
        </w:rPr>
        <w:t>, Atlantis Press, pp. 1581–1585.</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Wang, Z. </w:t>
      </w:r>
      <w:r>
        <w:rPr>
          <w:rFonts w:ascii="Arial" w:hAnsi="Arial" w:cs="Arial"/>
          <w:i/>
          <w:iCs/>
          <w:sz w:val="24"/>
          <w:szCs w:val="24"/>
        </w:rPr>
        <w:t>et al.</w:t>
      </w:r>
      <w:r>
        <w:rPr>
          <w:rFonts w:ascii="Arial" w:hAnsi="Arial" w:cs="Arial"/>
          <w:sz w:val="24"/>
          <w:szCs w:val="24"/>
        </w:rPr>
        <w:t xml:space="preserve"> (2022) ‘More government subsidies, more green innovation? The evidence from Chinese new energy vehicle enterprises’, </w:t>
      </w:r>
      <w:r>
        <w:rPr>
          <w:rFonts w:ascii="Arial" w:hAnsi="Arial" w:cs="Arial"/>
          <w:i/>
          <w:iCs/>
          <w:sz w:val="24"/>
          <w:szCs w:val="24"/>
        </w:rPr>
        <w:t>Renewable Energy</w:t>
      </w:r>
      <w:r>
        <w:rPr>
          <w:rFonts w:ascii="Arial" w:hAnsi="Arial" w:cs="Arial"/>
          <w:sz w:val="24"/>
          <w:szCs w:val="24"/>
        </w:rPr>
        <w:t>, 197, pp. 11–21.</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Wu, J. and Liu, J. (2016) ‘Risks and coping tactics during evolution of new energy vehicle innovation ecosystem: case of BYD new energy vehicles’, </w:t>
      </w:r>
      <w:r>
        <w:rPr>
          <w:rFonts w:ascii="Arial" w:hAnsi="Arial" w:cs="Arial"/>
          <w:i/>
          <w:iCs/>
          <w:sz w:val="24"/>
          <w:szCs w:val="24"/>
        </w:rPr>
        <w:t>Science &amp; Technology Progress and Policy</w:t>
      </w:r>
      <w:r>
        <w:rPr>
          <w:rFonts w:ascii="Arial" w:hAnsi="Arial" w:cs="Arial"/>
          <w:sz w:val="24"/>
          <w:szCs w:val="24"/>
        </w:rPr>
        <w:t>, 33(3), pp. 72–77.</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Yu, G. (2022) ‘The Analysis on the Principle and Advantages of Blade Battery of BYD--A Domestic New Energy Manufacturer’, in. </w:t>
      </w:r>
      <w:r>
        <w:rPr>
          <w:rFonts w:ascii="Arial" w:hAnsi="Arial" w:cs="Arial"/>
          <w:i/>
          <w:iCs/>
          <w:sz w:val="24"/>
          <w:szCs w:val="24"/>
        </w:rPr>
        <w:t>SHS Web of Conferences</w:t>
      </w:r>
      <w:r>
        <w:rPr>
          <w:rFonts w:ascii="Arial" w:hAnsi="Arial" w:cs="Arial"/>
          <w:sz w:val="24"/>
          <w:szCs w:val="24"/>
        </w:rPr>
        <w:t>, EDP Sciences, p. 02003.</w:t>
      </w:r>
    </w:p>
    <w:p>
      <w:pPr>
        <w:pStyle w:val="50"/>
        <w:spacing w:before="120" w:beforeLines="50" w:after="360" w:afterLines="150" w:line="480" w:lineRule="auto"/>
        <w:rPr>
          <w:rFonts w:ascii="Arial" w:hAnsi="Arial" w:cs="Arial"/>
          <w:sz w:val="24"/>
          <w:szCs w:val="24"/>
        </w:rPr>
      </w:pPr>
      <w:r>
        <w:rPr>
          <w:rFonts w:ascii="Arial" w:hAnsi="Arial" w:cs="Arial"/>
          <w:sz w:val="24"/>
          <w:szCs w:val="24"/>
        </w:rPr>
        <w:t xml:space="preserve">Zhou, N., Wu, Q. and Hu, X. (2020) ‘Research on the policy evolution of China’s new energy vehicles industry’, </w:t>
      </w:r>
      <w:r>
        <w:rPr>
          <w:rFonts w:ascii="Arial" w:hAnsi="Arial" w:cs="Arial"/>
          <w:i/>
          <w:iCs/>
          <w:sz w:val="24"/>
          <w:szCs w:val="24"/>
        </w:rPr>
        <w:t>Sustainability</w:t>
      </w:r>
      <w:r>
        <w:rPr>
          <w:rFonts w:ascii="Arial" w:hAnsi="Arial" w:cs="Arial"/>
          <w:sz w:val="24"/>
          <w:szCs w:val="24"/>
        </w:rPr>
        <w:t>, 12(9), p. 3629.</w:t>
      </w:r>
    </w:p>
    <w:p>
      <w:pPr>
        <w:spacing w:before="120" w:beforeLines="50" w:after="360" w:afterLines="150" w:line="480" w:lineRule="auto"/>
        <w:jc w:val="both"/>
        <w:rPr>
          <w:rFonts w:ascii="Arial" w:hAnsi="Arial" w:cs="Arial"/>
          <w:sz w:val="24"/>
          <w:szCs w:val="24"/>
        </w:rPr>
      </w:pPr>
      <w:r>
        <w:rPr>
          <w:rFonts w:ascii="Arial" w:hAnsi="Arial" w:cs="Arial"/>
          <w:sz w:val="24"/>
          <w:szCs w:val="24"/>
        </w:rPr>
        <w:fldChar w:fldCharType="end"/>
      </w:r>
    </w:p>
    <w:sectPr>
      <w:footerReference r:id="rId11" w:type="first"/>
      <w:pgSz w:w="11906" w:h="16838"/>
      <w:pgMar w:top="1440" w:right="1080" w:bottom="1440" w:left="1080" w:header="708" w:footer="708" w:gutter="0"/>
      <w:pgNumType w:start="1"/>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Adobe Devanagari">
    <w:altName w:val="DejaVu Math TeX Gyre"/>
    <w:panose1 w:val="02040503050201020203"/>
    <w:charset w:val="00"/>
    <w:family w:val="roman"/>
    <w:pitch w:val="default"/>
    <w:sig w:usb0="00000000" w:usb1="00000000" w:usb2="00000000" w:usb3="00000000" w:csb0="00000001" w:csb1="00000000"/>
  </w:font>
  <w:font w:name="DejaVu Math TeX Gyre">
    <w:panose1 w:val="02000503000000000000"/>
    <w:charset w:val="00"/>
    <w:family w:val="auto"/>
    <w:pitch w:val="default"/>
    <w:sig w:usb0="A10000EF" w:usb1="4201F9EE" w:usb2="02000000" w:usb3="00000000" w:csb0="60000193" w:csb1="0DD4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89550341"/>
      <w:docPartObj>
        <w:docPartGallery w:val="AutoText"/>
      </w:docPartObj>
    </w:sdtPr>
    <w:sdtContent>
      <w:p>
        <w:pPr>
          <w:pStyle w:val="13"/>
          <w:jc w:val="right"/>
        </w:pPr>
        <w:r>
          <w:fldChar w:fldCharType="begin"/>
        </w:r>
        <w:r>
          <w:instrText xml:space="preserve">PAGE   \* MERGEFORMAT</w:instrText>
        </w:r>
        <w:r>
          <w:fldChar w:fldCharType="separate"/>
        </w:r>
        <w:r>
          <w:rPr>
            <w:lang w:val="zh-CN" w:eastAsia="zh-CN"/>
          </w:rPr>
          <w:t>2</w:t>
        </w:r>
        <w:r>
          <w:fldChar w:fldCharType="end"/>
        </w:r>
      </w:p>
    </w:sdtContent>
  </w:sdt>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28676497"/>
      <w:docPartObj>
        <w:docPartGallery w:val="AutoText"/>
      </w:docPartObj>
    </w:sdtPr>
    <w:sdtContent>
      <w:p>
        <w:pPr>
          <w:pStyle w:val="13"/>
          <w:jc w:val="right"/>
        </w:pPr>
        <w:r>
          <w:fldChar w:fldCharType="begin"/>
        </w:r>
        <w:r>
          <w:instrText xml:space="preserve">PAGE   \* MERGEFORMAT</w:instrText>
        </w:r>
        <w:r>
          <w:fldChar w:fldCharType="separate"/>
        </w:r>
        <w:r>
          <w:rPr>
            <w:lang w:val="zh-CN" w:eastAsia="zh-CN"/>
          </w:rPr>
          <w:t>2</w:t>
        </w:r>
        <w:r>
          <w:fldChar w:fldCharType="end"/>
        </w:r>
      </w:p>
    </w:sdtContent>
  </w:sdt>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72661284"/>
      <w:docPartObj>
        <w:docPartGallery w:val="AutoText"/>
      </w:docPartObj>
    </w:sdtPr>
    <w:sdtContent>
      <w:p>
        <w:pPr>
          <w:pStyle w:val="13"/>
          <w:jc w:val="right"/>
        </w:pPr>
        <w:r>
          <w:fldChar w:fldCharType="begin"/>
        </w:r>
        <w:r>
          <w:instrText xml:space="preserve">PAGE   \* MERGEFORMAT</w:instrText>
        </w:r>
        <w:r>
          <w:fldChar w:fldCharType="separate"/>
        </w:r>
        <w:r>
          <w:rPr>
            <w:lang w:val="zh-CN" w:eastAsia="zh-CN"/>
          </w:rPr>
          <w:t>2</w:t>
        </w:r>
        <w:r>
          <w:fldChar w:fldCharType="end"/>
        </w:r>
      </w:p>
    </w:sdtContent>
  </w:sdt>
  <w:p>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right"/>
    </w:pPr>
  </w:p>
  <w:p>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88A3B38"/>
    <w:multiLevelType w:val="multilevel"/>
    <w:tmpl w:val="688A3B38"/>
    <w:lvl w:ilvl="0" w:tentative="0">
      <w:start w:val="1"/>
      <w:numFmt w:val="decimal"/>
      <w:lvlText w:val="%1."/>
      <w:lvlJc w:val="left"/>
      <w:pPr>
        <w:ind w:left="360" w:hanging="360"/>
      </w:pPr>
      <w:rPr>
        <w:rFonts w:hint="default"/>
      </w:rPr>
    </w:lvl>
    <w:lvl w:ilvl="1" w:tentative="0">
      <w:start w:val="1"/>
      <w:numFmt w:val="decimal"/>
      <w:isLgl/>
      <w:lvlText w:val="%1.%2"/>
      <w:lvlJc w:val="left"/>
      <w:pPr>
        <w:ind w:left="375" w:hanging="375"/>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1">
    <w:nsid w:val="7AA71E38"/>
    <w:multiLevelType w:val="multilevel"/>
    <w:tmpl w:val="7AA71E38"/>
    <w:lvl w:ilvl="0" w:tentative="0">
      <w:start w:val="1"/>
      <w:numFmt w:val="bullet"/>
      <w:lvlText w:val="-"/>
      <w:lvlJc w:val="left"/>
      <w:pPr>
        <w:ind w:left="360" w:hanging="360"/>
      </w:pPr>
      <w:rPr>
        <w:rFonts w:hint="default" w:ascii="Adobe Devanagari" w:hAnsi="Adobe Devanagari" w:cs="Adobe Devanagari" w:eastAsiaTheme="minorEastAsia"/>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hideSpellingErrors/>
  <w:hideGrammaticalErrors/>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jI3MTa1MLe0MDQ3MzNT0lEKTi0uzszPAykwrAUAhMWroCwAAAA="/>
    <w:docVar w:name="commondata" w:val="eyJoZGlkIjoiZTU0ZDdmMmJlM2U3NTA0ODY0ZmM0NzM5ZmJjNGUyNDMifQ=="/>
  </w:docVars>
  <w:rsids>
    <w:rsidRoot w:val="00291944"/>
    <w:rsid w:val="00012B16"/>
    <w:rsid w:val="0001453D"/>
    <w:rsid w:val="00017D15"/>
    <w:rsid w:val="00041DCC"/>
    <w:rsid w:val="00051C9B"/>
    <w:rsid w:val="00081BCB"/>
    <w:rsid w:val="000A7C32"/>
    <w:rsid w:val="00102767"/>
    <w:rsid w:val="001262C4"/>
    <w:rsid w:val="00147FA6"/>
    <w:rsid w:val="001530D6"/>
    <w:rsid w:val="001A5916"/>
    <w:rsid w:val="001A7CF1"/>
    <w:rsid w:val="001E0201"/>
    <w:rsid w:val="00200BD0"/>
    <w:rsid w:val="0022351C"/>
    <w:rsid w:val="00244C57"/>
    <w:rsid w:val="00251CED"/>
    <w:rsid w:val="00291944"/>
    <w:rsid w:val="002B6B57"/>
    <w:rsid w:val="002D65FC"/>
    <w:rsid w:val="003256D4"/>
    <w:rsid w:val="00370DFA"/>
    <w:rsid w:val="00374B43"/>
    <w:rsid w:val="003B3A01"/>
    <w:rsid w:val="003E1DB4"/>
    <w:rsid w:val="003E2DD8"/>
    <w:rsid w:val="00402556"/>
    <w:rsid w:val="0043326C"/>
    <w:rsid w:val="004419A5"/>
    <w:rsid w:val="00442087"/>
    <w:rsid w:val="004860F5"/>
    <w:rsid w:val="004C5647"/>
    <w:rsid w:val="0056473D"/>
    <w:rsid w:val="00591C10"/>
    <w:rsid w:val="00681208"/>
    <w:rsid w:val="006927FB"/>
    <w:rsid w:val="006D0249"/>
    <w:rsid w:val="006E1E9A"/>
    <w:rsid w:val="007812E2"/>
    <w:rsid w:val="007A17F9"/>
    <w:rsid w:val="00820ADB"/>
    <w:rsid w:val="00826BE7"/>
    <w:rsid w:val="008326F1"/>
    <w:rsid w:val="008908B7"/>
    <w:rsid w:val="008D088C"/>
    <w:rsid w:val="008F6C0A"/>
    <w:rsid w:val="00952BA4"/>
    <w:rsid w:val="009604A0"/>
    <w:rsid w:val="0097226F"/>
    <w:rsid w:val="009A6E8A"/>
    <w:rsid w:val="00A625E2"/>
    <w:rsid w:val="00A628A2"/>
    <w:rsid w:val="00A71DAD"/>
    <w:rsid w:val="00AB70E0"/>
    <w:rsid w:val="00B21E01"/>
    <w:rsid w:val="00B27129"/>
    <w:rsid w:val="00B441DE"/>
    <w:rsid w:val="00B44501"/>
    <w:rsid w:val="00B516C6"/>
    <w:rsid w:val="00B638B9"/>
    <w:rsid w:val="00B83030"/>
    <w:rsid w:val="00B966F8"/>
    <w:rsid w:val="00C056DF"/>
    <w:rsid w:val="00C06A66"/>
    <w:rsid w:val="00C32D45"/>
    <w:rsid w:val="00C66657"/>
    <w:rsid w:val="00C707BE"/>
    <w:rsid w:val="00CE1852"/>
    <w:rsid w:val="00D136B9"/>
    <w:rsid w:val="00D25BDA"/>
    <w:rsid w:val="00D2653F"/>
    <w:rsid w:val="00D378B1"/>
    <w:rsid w:val="00D460E5"/>
    <w:rsid w:val="00D506EB"/>
    <w:rsid w:val="00D73FFA"/>
    <w:rsid w:val="00DA6A9F"/>
    <w:rsid w:val="00DB6C00"/>
    <w:rsid w:val="00E3408F"/>
    <w:rsid w:val="00E612D4"/>
    <w:rsid w:val="00E64A51"/>
    <w:rsid w:val="00EA4064"/>
    <w:rsid w:val="00EC2373"/>
    <w:rsid w:val="00EF0F8B"/>
    <w:rsid w:val="00EF11E1"/>
    <w:rsid w:val="00F240A2"/>
    <w:rsid w:val="00F44C0C"/>
    <w:rsid w:val="00F51F88"/>
    <w:rsid w:val="00F52D1B"/>
    <w:rsid w:val="00F87F05"/>
    <w:rsid w:val="00F9003C"/>
    <w:rsid w:val="00FE5FF9"/>
    <w:rsid w:val="647B2D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6" w:lineRule="auto"/>
    </w:pPr>
    <w:rPr>
      <w:rFonts w:asciiTheme="minorHAnsi" w:hAnsiTheme="minorHAnsi" w:eastAsiaTheme="minorEastAsia" w:cstheme="minorBidi"/>
      <w:sz w:val="21"/>
      <w:szCs w:val="21"/>
      <w:lang w:val="en-GB" w:eastAsia="en-US" w:bidi="ar-SA"/>
    </w:rPr>
  </w:style>
  <w:style w:type="paragraph" w:styleId="2">
    <w:name w:val="heading 1"/>
    <w:basedOn w:val="1"/>
    <w:next w:val="1"/>
    <w:link w:val="26"/>
    <w:qFormat/>
    <w:uiPriority w:val="9"/>
    <w:pPr>
      <w:keepNext/>
      <w:keepLines/>
      <w:pBdr>
        <w:bottom w:val="single" w:color="ED7D31" w:themeColor="accent2" w:sz="4" w:space="2"/>
      </w:pBdr>
      <w:spacing w:before="360" w:after="120" w:line="240" w:lineRule="auto"/>
      <w:outlineLvl w:val="0"/>
    </w:pPr>
    <w:rPr>
      <w:rFonts w:asciiTheme="majorHAnsi" w:hAnsiTheme="majorHAnsi" w:eastAsiaTheme="majorEastAsia" w:cstheme="majorBidi"/>
      <w:color w:val="262626" w:themeColor="text1" w:themeTint="D9"/>
      <w:sz w:val="40"/>
      <w:szCs w:val="40"/>
      <w14:textFill>
        <w14:solidFill>
          <w14:schemeClr w14:val="tx1">
            <w14:lumMod w14:val="85000"/>
            <w14:lumOff w14:val="15000"/>
          </w14:schemeClr>
        </w14:solidFill>
      </w14:textFill>
    </w:rPr>
  </w:style>
  <w:style w:type="paragraph" w:styleId="3">
    <w:name w:val="heading 2"/>
    <w:basedOn w:val="1"/>
    <w:next w:val="1"/>
    <w:link w:val="27"/>
    <w:unhideWhenUsed/>
    <w:qFormat/>
    <w:uiPriority w:val="9"/>
    <w:pPr>
      <w:keepNext/>
      <w:keepLines/>
      <w:spacing w:before="120" w:after="0" w:line="240" w:lineRule="auto"/>
      <w:outlineLvl w:val="1"/>
    </w:pPr>
    <w:rPr>
      <w:rFonts w:asciiTheme="majorHAnsi" w:hAnsiTheme="majorHAnsi" w:eastAsiaTheme="majorEastAsia" w:cstheme="majorBidi"/>
      <w:color w:val="ED7D31" w:themeColor="accent2"/>
      <w:sz w:val="36"/>
      <w:szCs w:val="36"/>
      <w14:textFill>
        <w14:solidFill>
          <w14:schemeClr w14:val="accent2"/>
        </w14:solidFill>
      </w14:textFill>
    </w:rPr>
  </w:style>
  <w:style w:type="paragraph" w:styleId="4">
    <w:name w:val="heading 3"/>
    <w:basedOn w:val="1"/>
    <w:next w:val="1"/>
    <w:link w:val="32"/>
    <w:unhideWhenUsed/>
    <w:qFormat/>
    <w:uiPriority w:val="9"/>
    <w:pPr>
      <w:keepNext/>
      <w:keepLines/>
      <w:spacing w:before="80" w:after="0" w:line="240" w:lineRule="auto"/>
      <w:outlineLvl w:val="2"/>
    </w:pPr>
    <w:rPr>
      <w:rFonts w:asciiTheme="majorHAnsi" w:hAnsiTheme="majorHAnsi" w:eastAsiaTheme="majorEastAsia" w:cstheme="majorBidi"/>
      <w:color w:val="C55A11" w:themeColor="accent2" w:themeShade="BF"/>
      <w:sz w:val="32"/>
      <w:szCs w:val="32"/>
    </w:rPr>
  </w:style>
  <w:style w:type="paragraph" w:styleId="5">
    <w:name w:val="heading 4"/>
    <w:basedOn w:val="1"/>
    <w:next w:val="1"/>
    <w:link w:val="33"/>
    <w:semiHidden/>
    <w:unhideWhenUsed/>
    <w:qFormat/>
    <w:uiPriority w:val="9"/>
    <w:pPr>
      <w:keepNext/>
      <w:keepLines/>
      <w:spacing w:before="80" w:after="0" w:line="240" w:lineRule="auto"/>
      <w:outlineLvl w:val="3"/>
    </w:pPr>
    <w:rPr>
      <w:rFonts w:asciiTheme="majorHAnsi" w:hAnsiTheme="majorHAnsi" w:eastAsiaTheme="majorEastAsia" w:cstheme="majorBidi"/>
      <w:i/>
      <w:iCs/>
      <w:color w:val="843C0B" w:themeColor="accent2" w:themeShade="80"/>
      <w:sz w:val="28"/>
      <w:szCs w:val="28"/>
    </w:rPr>
  </w:style>
  <w:style w:type="paragraph" w:styleId="6">
    <w:name w:val="heading 5"/>
    <w:basedOn w:val="1"/>
    <w:next w:val="1"/>
    <w:link w:val="34"/>
    <w:semiHidden/>
    <w:unhideWhenUsed/>
    <w:qFormat/>
    <w:uiPriority w:val="9"/>
    <w:pPr>
      <w:keepNext/>
      <w:keepLines/>
      <w:spacing w:before="80" w:after="0" w:line="240" w:lineRule="auto"/>
      <w:outlineLvl w:val="4"/>
    </w:pPr>
    <w:rPr>
      <w:rFonts w:asciiTheme="majorHAnsi" w:hAnsiTheme="majorHAnsi" w:eastAsiaTheme="majorEastAsia" w:cstheme="majorBidi"/>
      <w:color w:val="C55A11" w:themeColor="accent2" w:themeShade="BF"/>
      <w:sz w:val="24"/>
      <w:szCs w:val="24"/>
    </w:rPr>
  </w:style>
  <w:style w:type="paragraph" w:styleId="7">
    <w:name w:val="heading 6"/>
    <w:basedOn w:val="1"/>
    <w:next w:val="1"/>
    <w:link w:val="35"/>
    <w:semiHidden/>
    <w:unhideWhenUsed/>
    <w:qFormat/>
    <w:uiPriority w:val="9"/>
    <w:pPr>
      <w:keepNext/>
      <w:keepLines/>
      <w:spacing w:before="80" w:after="0" w:line="240" w:lineRule="auto"/>
      <w:outlineLvl w:val="5"/>
    </w:pPr>
    <w:rPr>
      <w:rFonts w:asciiTheme="majorHAnsi" w:hAnsiTheme="majorHAnsi" w:eastAsiaTheme="majorEastAsia" w:cstheme="majorBidi"/>
      <w:i/>
      <w:iCs/>
      <w:color w:val="843C0B" w:themeColor="accent2" w:themeShade="80"/>
      <w:sz w:val="24"/>
      <w:szCs w:val="24"/>
    </w:rPr>
  </w:style>
  <w:style w:type="paragraph" w:styleId="8">
    <w:name w:val="heading 7"/>
    <w:basedOn w:val="1"/>
    <w:next w:val="1"/>
    <w:link w:val="36"/>
    <w:semiHidden/>
    <w:unhideWhenUsed/>
    <w:qFormat/>
    <w:uiPriority w:val="9"/>
    <w:pPr>
      <w:keepNext/>
      <w:keepLines/>
      <w:spacing w:before="80" w:after="0" w:line="240" w:lineRule="auto"/>
      <w:outlineLvl w:val="6"/>
    </w:pPr>
    <w:rPr>
      <w:rFonts w:asciiTheme="majorHAnsi" w:hAnsiTheme="majorHAnsi" w:eastAsiaTheme="majorEastAsia" w:cstheme="majorBidi"/>
      <w:b/>
      <w:bCs/>
      <w:color w:val="843C0B" w:themeColor="accent2" w:themeShade="80"/>
      <w:sz w:val="22"/>
      <w:szCs w:val="22"/>
    </w:rPr>
  </w:style>
  <w:style w:type="paragraph" w:styleId="9">
    <w:name w:val="heading 8"/>
    <w:basedOn w:val="1"/>
    <w:next w:val="1"/>
    <w:link w:val="37"/>
    <w:semiHidden/>
    <w:unhideWhenUsed/>
    <w:qFormat/>
    <w:uiPriority w:val="9"/>
    <w:pPr>
      <w:keepNext/>
      <w:keepLines/>
      <w:spacing w:before="80" w:after="0" w:line="240" w:lineRule="auto"/>
      <w:outlineLvl w:val="7"/>
    </w:pPr>
    <w:rPr>
      <w:rFonts w:asciiTheme="majorHAnsi" w:hAnsiTheme="majorHAnsi" w:eastAsiaTheme="majorEastAsia" w:cstheme="majorBidi"/>
      <w:color w:val="843C0B" w:themeColor="accent2" w:themeShade="80"/>
      <w:sz w:val="22"/>
      <w:szCs w:val="22"/>
    </w:rPr>
  </w:style>
  <w:style w:type="paragraph" w:styleId="10">
    <w:name w:val="heading 9"/>
    <w:basedOn w:val="1"/>
    <w:next w:val="1"/>
    <w:link w:val="38"/>
    <w:semiHidden/>
    <w:unhideWhenUsed/>
    <w:qFormat/>
    <w:uiPriority w:val="9"/>
    <w:pPr>
      <w:keepNext/>
      <w:keepLines/>
      <w:spacing w:before="80" w:after="0" w:line="240" w:lineRule="auto"/>
      <w:outlineLvl w:val="8"/>
    </w:pPr>
    <w:rPr>
      <w:rFonts w:asciiTheme="majorHAnsi" w:hAnsiTheme="majorHAnsi" w:eastAsiaTheme="majorEastAsia" w:cstheme="majorBidi"/>
      <w:i/>
      <w:iCs/>
      <w:color w:val="843C0B" w:themeColor="accent2" w:themeShade="80"/>
      <w:sz w:val="22"/>
      <w:szCs w:val="22"/>
    </w:rPr>
  </w:style>
  <w:style w:type="character" w:default="1" w:styleId="20">
    <w:name w:val="Default Paragraph Font"/>
    <w:semiHidden/>
    <w:unhideWhenUsed/>
    <w:uiPriority w:val="1"/>
  </w:style>
  <w:style w:type="table" w:default="1" w:styleId="19">
    <w:name w:val="Normal Table"/>
    <w:semiHidden/>
    <w:unhideWhenUsed/>
    <w:uiPriority w:val="99"/>
    <w:tblPr>
      <w:tblCellMar>
        <w:top w:w="0" w:type="dxa"/>
        <w:left w:w="108" w:type="dxa"/>
        <w:bottom w:w="0" w:type="dxa"/>
        <w:right w:w="108" w:type="dxa"/>
      </w:tblCellMar>
    </w:tblPr>
  </w:style>
  <w:style w:type="paragraph" w:styleId="11">
    <w:name w:val="caption"/>
    <w:basedOn w:val="1"/>
    <w:next w:val="1"/>
    <w:semiHidden/>
    <w:unhideWhenUsed/>
    <w:qFormat/>
    <w:uiPriority w:val="35"/>
    <w:pPr>
      <w:spacing w:line="240" w:lineRule="auto"/>
    </w:pPr>
    <w:rPr>
      <w:b/>
      <w:bCs/>
      <w:color w:val="404040" w:themeColor="text1" w:themeTint="BF"/>
      <w:sz w:val="16"/>
      <w:szCs w:val="16"/>
      <w14:textFill>
        <w14:solidFill>
          <w14:schemeClr w14:val="tx1">
            <w14:lumMod w14:val="75000"/>
            <w14:lumOff w14:val="25000"/>
          </w14:schemeClr>
        </w14:solidFill>
      </w14:textFill>
    </w:rPr>
  </w:style>
  <w:style w:type="paragraph" w:styleId="12">
    <w:name w:val="toc 3"/>
    <w:basedOn w:val="1"/>
    <w:next w:val="1"/>
    <w:unhideWhenUsed/>
    <w:uiPriority w:val="39"/>
    <w:pPr>
      <w:ind w:left="840" w:leftChars="400"/>
    </w:pPr>
  </w:style>
  <w:style w:type="paragraph" w:styleId="13">
    <w:name w:val="footer"/>
    <w:basedOn w:val="1"/>
    <w:link w:val="29"/>
    <w:unhideWhenUsed/>
    <w:uiPriority w:val="99"/>
    <w:pPr>
      <w:tabs>
        <w:tab w:val="center" w:pos="4513"/>
        <w:tab w:val="right" w:pos="9026"/>
      </w:tabs>
      <w:spacing w:after="0" w:line="240" w:lineRule="auto"/>
    </w:pPr>
  </w:style>
  <w:style w:type="paragraph" w:styleId="14">
    <w:name w:val="header"/>
    <w:basedOn w:val="1"/>
    <w:link w:val="28"/>
    <w:unhideWhenUsed/>
    <w:uiPriority w:val="99"/>
    <w:pPr>
      <w:tabs>
        <w:tab w:val="center" w:pos="4513"/>
        <w:tab w:val="right" w:pos="9026"/>
      </w:tabs>
      <w:spacing w:after="0" w:line="240" w:lineRule="auto"/>
    </w:pPr>
  </w:style>
  <w:style w:type="paragraph" w:styleId="15">
    <w:name w:val="toc 1"/>
    <w:basedOn w:val="1"/>
    <w:next w:val="1"/>
    <w:unhideWhenUsed/>
    <w:uiPriority w:val="39"/>
    <w:pPr>
      <w:spacing w:after="100"/>
    </w:pPr>
  </w:style>
  <w:style w:type="paragraph" w:styleId="16">
    <w:name w:val="Subtitle"/>
    <w:basedOn w:val="1"/>
    <w:next w:val="1"/>
    <w:link w:val="40"/>
    <w:qFormat/>
    <w:uiPriority w:val="11"/>
    <w:pPr>
      <w:spacing w:after="240"/>
    </w:pPr>
    <w:rPr>
      <w:caps/>
      <w:color w:val="404040" w:themeColor="text1" w:themeTint="BF"/>
      <w:spacing w:val="20"/>
      <w:sz w:val="28"/>
      <w:szCs w:val="28"/>
      <w14:textFill>
        <w14:solidFill>
          <w14:schemeClr w14:val="tx1">
            <w14:lumMod w14:val="75000"/>
            <w14:lumOff w14:val="25000"/>
          </w14:schemeClr>
        </w14:solidFill>
      </w14:textFill>
    </w:rPr>
  </w:style>
  <w:style w:type="paragraph" w:styleId="17">
    <w:name w:val="toc 2"/>
    <w:basedOn w:val="1"/>
    <w:next w:val="1"/>
    <w:unhideWhenUsed/>
    <w:uiPriority w:val="39"/>
    <w:pPr>
      <w:spacing w:after="100"/>
      <w:ind w:left="240"/>
    </w:pPr>
  </w:style>
  <w:style w:type="paragraph" w:styleId="18">
    <w:name w:val="Title"/>
    <w:basedOn w:val="1"/>
    <w:next w:val="1"/>
    <w:link w:val="39"/>
    <w:qFormat/>
    <w:uiPriority w:val="10"/>
    <w:pPr>
      <w:spacing w:after="0" w:line="240" w:lineRule="auto"/>
      <w:contextualSpacing/>
    </w:pPr>
    <w:rPr>
      <w:rFonts w:asciiTheme="majorHAnsi" w:hAnsiTheme="majorHAnsi" w:eastAsiaTheme="majorEastAsia" w:cstheme="majorBidi"/>
      <w:color w:val="262626" w:themeColor="text1" w:themeTint="D9"/>
      <w:sz w:val="96"/>
      <w:szCs w:val="96"/>
      <w14:textFill>
        <w14:solidFill>
          <w14:schemeClr w14:val="tx1">
            <w14:lumMod w14:val="85000"/>
            <w14:lumOff w14:val="15000"/>
          </w14:schemeClr>
        </w14:solidFill>
      </w14:textFill>
    </w:rPr>
  </w:style>
  <w:style w:type="character" w:styleId="21">
    <w:name w:val="Strong"/>
    <w:basedOn w:val="20"/>
    <w:qFormat/>
    <w:uiPriority w:val="22"/>
    <w:rPr>
      <w:b/>
      <w:bCs/>
    </w:rPr>
  </w:style>
  <w:style w:type="character" w:styleId="22">
    <w:name w:val="Emphasis"/>
    <w:basedOn w:val="20"/>
    <w:qFormat/>
    <w:uiPriority w:val="20"/>
    <w:rPr>
      <w:i/>
      <w:iCs/>
      <w:color w:val="000000" w:themeColor="text1"/>
      <w14:textFill>
        <w14:solidFill>
          <w14:schemeClr w14:val="tx1"/>
        </w14:solidFill>
      </w14:textFill>
    </w:rPr>
  </w:style>
  <w:style w:type="character" w:styleId="23">
    <w:name w:val="Hyperlink"/>
    <w:basedOn w:val="20"/>
    <w:unhideWhenUsed/>
    <w:uiPriority w:val="99"/>
    <w:rPr>
      <w:color w:val="0563C1" w:themeColor="hyperlink"/>
      <w:u w:val="single"/>
      <w14:textFill>
        <w14:solidFill>
          <w14:schemeClr w14:val="hlink"/>
        </w14:solidFill>
      </w14:textFill>
    </w:rPr>
  </w:style>
  <w:style w:type="paragraph" w:styleId="24">
    <w:name w:val="No Spacing"/>
    <w:link w:val="25"/>
    <w:qFormat/>
    <w:uiPriority w:val="1"/>
    <w:pPr>
      <w:spacing w:after="0" w:line="240" w:lineRule="auto"/>
    </w:pPr>
    <w:rPr>
      <w:rFonts w:asciiTheme="minorHAnsi" w:hAnsiTheme="minorHAnsi" w:eastAsiaTheme="minorEastAsia" w:cstheme="minorBidi"/>
      <w:sz w:val="21"/>
      <w:szCs w:val="21"/>
      <w:lang w:val="en-GB" w:eastAsia="en-US" w:bidi="ar-SA"/>
    </w:rPr>
  </w:style>
  <w:style w:type="character" w:customStyle="1" w:styleId="25">
    <w:name w:val="无间隔 字符"/>
    <w:basedOn w:val="20"/>
    <w:link w:val="24"/>
    <w:uiPriority w:val="1"/>
  </w:style>
  <w:style w:type="character" w:customStyle="1" w:styleId="26">
    <w:name w:val="标题 1 字符"/>
    <w:basedOn w:val="20"/>
    <w:link w:val="2"/>
    <w:uiPriority w:val="9"/>
    <w:rPr>
      <w:rFonts w:asciiTheme="majorHAnsi" w:hAnsiTheme="majorHAnsi" w:eastAsiaTheme="majorEastAsia" w:cstheme="majorBidi"/>
      <w:color w:val="262626" w:themeColor="text1" w:themeTint="D9"/>
      <w:sz w:val="40"/>
      <w:szCs w:val="40"/>
      <w14:textFill>
        <w14:solidFill>
          <w14:schemeClr w14:val="tx1">
            <w14:lumMod w14:val="85000"/>
            <w14:lumOff w14:val="15000"/>
          </w14:schemeClr>
        </w14:solidFill>
      </w14:textFill>
    </w:rPr>
  </w:style>
  <w:style w:type="character" w:customStyle="1" w:styleId="27">
    <w:name w:val="标题 2 字符"/>
    <w:basedOn w:val="20"/>
    <w:link w:val="3"/>
    <w:uiPriority w:val="9"/>
    <w:rPr>
      <w:rFonts w:asciiTheme="majorHAnsi" w:hAnsiTheme="majorHAnsi" w:eastAsiaTheme="majorEastAsia" w:cstheme="majorBidi"/>
      <w:color w:val="ED7D31" w:themeColor="accent2"/>
      <w:sz w:val="36"/>
      <w:szCs w:val="36"/>
      <w14:textFill>
        <w14:solidFill>
          <w14:schemeClr w14:val="accent2"/>
        </w14:solidFill>
      </w14:textFill>
    </w:rPr>
  </w:style>
  <w:style w:type="character" w:customStyle="1" w:styleId="28">
    <w:name w:val="页眉 字符"/>
    <w:basedOn w:val="20"/>
    <w:link w:val="14"/>
    <w:uiPriority w:val="99"/>
    <w:rPr>
      <w:rFonts w:ascii="Arial" w:hAnsi="Arial"/>
      <w:sz w:val="24"/>
    </w:rPr>
  </w:style>
  <w:style w:type="character" w:customStyle="1" w:styleId="29">
    <w:name w:val="页脚 字符"/>
    <w:basedOn w:val="20"/>
    <w:link w:val="13"/>
    <w:uiPriority w:val="99"/>
    <w:rPr>
      <w:rFonts w:ascii="Arial" w:hAnsi="Arial"/>
      <w:sz w:val="24"/>
    </w:rPr>
  </w:style>
  <w:style w:type="paragraph" w:customStyle="1" w:styleId="30">
    <w:name w:val="TOC Heading"/>
    <w:basedOn w:val="2"/>
    <w:next w:val="1"/>
    <w:unhideWhenUsed/>
    <w:qFormat/>
    <w:uiPriority w:val="39"/>
    <w:pPr>
      <w:outlineLvl w:val="9"/>
    </w:pPr>
  </w:style>
  <w:style w:type="paragraph" w:styleId="31">
    <w:name w:val="List Paragraph"/>
    <w:basedOn w:val="1"/>
    <w:qFormat/>
    <w:uiPriority w:val="34"/>
    <w:pPr>
      <w:ind w:firstLine="420" w:firstLineChars="200"/>
    </w:pPr>
  </w:style>
  <w:style w:type="character" w:customStyle="1" w:styleId="32">
    <w:name w:val="标题 3 字符"/>
    <w:basedOn w:val="20"/>
    <w:link w:val="4"/>
    <w:uiPriority w:val="9"/>
    <w:rPr>
      <w:rFonts w:asciiTheme="majorHAnsi" w:hAnsiTheme="majorHAnsi" w:eastAsiaTheme="majorEastAsia" w:cstheme="majorBidi"/>
      <w:color w:val="C55A11" w:themeColor="accent2" w:themeShade="BF"/>
      <w:sz w:val="32"/>
      <w:szCs w:val="32"/>
    </w:rPr>
  </w:style>
  <w:style w:type="character" w:customStyle="1" w:styleId="33">
    <w:name w:val="标题 4 字符"/>
    <w:basedOn w:val="20"/>
    <w:link w:val="5"/>
    <w:semiHidden/>
    <w:uiPriority w:val="9"/>
    <w:rPr>
      <w:rFonts w:asciiTheme="majorHAnsi" w:hAnsiTheme="majorHAnsi" w:eastAsiaTheme="majorEastAsia" w:cstheme="majorBidi"/>
      <w:i/>
      <w:iCs/>
      <w:color w:val="843C0B" w:themeColor="accent2" w:themeShade="80"/>
      <w:sz w:val="28"/>
      <w:szCs w:val="28"/>
    </w:rPr>
  </w:style>
  <w:style w:type="character" w:customStyle="1" w:styleId="34">
    <w:name w:val="标题 5 字符"/>
    <w:basedOn w:val="20"/>
    <w:link w:val="6"/>
    <w:semiHidden/>
    <w:uiPriority w:val="9"/>
    <w:rPr>
      <w:rFonts w:asciiTheme="majorHAnsi" w:hAnsiTheme="majorHAnsi" w:eastAsiaTheme="majorEastAsia" w:cstheme="majorBidi"/>
      <w:color w:val="C55A11" w:themeColor="accent2" w:themeShade="BF"/>
      <w:sz w:val="24"/>
      <w:szCs w:val="24"/>
    </w:rPr>
  </w:style>
  <w:style w:type="character" w:customStyle="1" w:styleId="35">
    <w:name w:val="标题 6 字符"/>
    <w:basedOn w:val="20"/>
    <w:link w:val="7"/>
    <w:semiHidden/>
    <w:uiPriority w:val="9"/>
    <w:rPr>
      <w:rFonts w:asciiTheme="majorHAnsi" w:hAnsiTheme="majorHAnsi" w:eastAsiaTheme="majorEastAsia" w:cstheme="majorBidi"/>
      <w:i/>
      <w:iCs/>
      <w:color w:val="843C0B" w:themeColor="accent2" w:themeShade="80"/>
      <w:sz w:val="24"/>
      <w:szCs w:val="24"/>
    </w:rPr>
  </w:style>
  <w:style w:type="character" w:customStyle="1" w:styleId="36">
    <w:name w:val="标题 7 字符"/>
    <w:basedOn w:val="20"/>
    <w:link w:val="8"/>
    <w:semiHidden/>
    <w:uiPriority w:val="9"/>
    <w:rPr>
      <w:rFonts w:asciiTheme="majorHAnsi" w:hAnsiTheme="majorHAnsi" w:eastAsiaTheme="majorEastAsia" w:cstheme="majorBidi"/>
      <w:b/>
      <w:bCs/>
      <w:color w:val="843C0B" w:themeColor="accent2" w:themeShade="80"/>
      <w:sz w:val="22"/>
      <w:szCs w:val="22"/>
    </w:rPr>
  </w:style>
  <w:style w:type="character" w:customStyle="1" w:styleId="37">
    <w:name w:val="标题 8 字符"/>
    <w:basedOn w:val="20"/>
    <w:link w:val="9"/>
    <w:semiHidden/>
    <w:uiPriority w:val="9"/>
    <w:rPr>
      <w:rFonts w:asciiTheme="majorHAnsi" w:hAnsiTheme="majorHAnsi" w:eastAsiaTheme="majorEastAsia" w:cstheme="majorBidi"/>
      <w:color w:val="843C0B" w:themeColor="accent2" w:themeShade="80"/>
      <w:sz w:val="22"/>
      <w:szCs w:val="22"/>
    </w:rPr>
  </w:style>
  <w:style w:type="character" w:customStyle="1" w:styleId="38">
    <w:name w:val="标题 9 字符"/>
    <w:basedOn w:val="20"/>
    <w:link w:val="10"/>
    <w:semiHidden/>
    <w:uiPriority w:val="9"/>
    <w:rPr>
      <w:rFonts w:asciiTheme="majorHAnsi" w:hAnsiTheme="majorHAnsi" w:eastAsiaTheme="majorEastAsia" w:cstheme="majorBidi"/>
      <w:i/>
      <w:iCs/>
      <w:color w:val="843C0B" w:themeColor="accent2" w:themeShade="80"/>
      <w:sz w:val="22"/>
      <w:szCs w:val="22"/>
    </w:rPr>
  </w:style>
  <w:style w:type="character" w:customStyle="1" w:styleId="39">
    <w:name w:val="标题 字符"/>
    <w:basedOn w:val="20"/>
    <w:link w:val="18"/>
    <w:uiPriority w:val="10"/>
    <w:rPr>
      <w:rFonts w:asciiTheme="majorHAnsi" w:hAnsiTheme="majorHAnsi" w:eastAsiaTheme="majorEastAsia" w:cstheme="majorBidi"/>
      <w:color w:val="262626" w:themeColor="text1" w:themeTint="D9"/>
      <w:sz w:val="96"/>
      <w:szCs w:val="96"/>
      <w14:textFill>
        <w14:solidFill>
          <w14:schemeClr w14:val="tx1">
            <w14:lumMod w14:val="85000"/>
            <w14:lumOff w14:val="15000"/>
          </w14:schemeClr>
        </w14:solidFill>
      </w14:textFill>
    </w:rPr>
  </w:style>
  <w:style w:type="character" w:customStyle="1" w:styleId="40">
    <w:name w:val="副标题 字符"/>
    <w:basedOn w:val="20"/>
    <w:link w:val="16"/>
    <w:uiPriority w:val="11"/>
    <w:rPr>
      <w:caps/>
      <w:color w:val="404040" w:themeColor="text1" w:themeTint="BF"/>
      <w:spacing w:val="20"/>
      <w:sz w:val="28"/>
      <w:szCs w:val="28"/>
      <w14:textFill>
        <w14:solidFill>
          <w14:schemeClr w14:val="tx1">
            <w14:lumMod w14:val="75000"/>
            <w14:lumOff w14:val="25000"/>
          </w14:schemeClr>
        </w14:solidFill>
      </w14:textFill>
    </w:rPr>
  </w:style>
  <w:style w:type="paragraph" w:styleId="41">
    <w:name w:val="Quote"/>
    <w:basedOn w:val="1"/>
    <w:next w:val="1"/>
    <w:link w:val="42"/>
    <w:qFormat/>
    <w:uiPriority w:val="29"/>
    <w:pPr>
      <w:spacing w:before="160"/>
      <w:ind w:left="720" w:right="720"/>
      <w:jc w:val="center"/>
    </w:pPr>
    <w:rPr>
      <w:rFonts w:asciiTheme="majorHAnsi" w:hAnsiTheme="majorHAnsi" w:eastAsiaTheme="majorEastAsia" w:cstheme="majorBidi"/>
      <w:color w:val="000000" w:themeColor="text1"/>
      <w:sz w:val="24"/>
      <w:szCs w:val="24"/>
      <w14:textFill>
        <w14:solidFill>
          <w14:schemeClr w14:val="tx1"/>
        </w14:solidFill>
      </w14:textFill>
    </w:rPr>
  </w:style>
  <w:style w:type="character" w:customStyle="1" w:styleId="42">
    <w:name w:val="引用 字符"/>
    <w:basedOn w:val="20"/>
    <w:link w:val="41"/>
    <w:uiPriority w:val="29"/>
    <w:rPr>
      <w:rFonts w:asciiTheme="majorHAnsi" w:hAnsiTheme="majorHAnsi" w:eastAsiaTheme="majorEastAsia" w:cstheme="majorBidi"/>
      <w:color w:val="000000" w:themeColor="text1"/>
      <w:sz w:val="24"/>
      <w:szCs w:val="24"/>
      <w14:textFill>
        <w14:solidFill>
          <w14:schemeClr w14:val="tx1"/>
        </w14:solidFill>
      </w14:textFill>
    </w:rPr>
  </w:style>
  <w:style w:type="paragraph" w:styleId="43">
    <w:name w:val="Intense Quote"/>
    <w:basedOn w:val="1"/>
    <w:next w:val="1"/>
    <w:link w:val="44"/>
    <w:qFormat/>
    <w:uiPriority w:val="30"/>
    <w:pPr>
      <w:pBdr>
        <w:top w:val="single" w:color="ED7D31" w:themeColor="accent2" w:sz="24" w:space="4"/>
      </w:pBdr>
      <w:spacing w:before="240" w:after="240" w:line="240" w:lineRule="auto"/>
      <w:ind w:left="936" w:right="936"/>
      <w:jc w:val="center"/>
    </w:pPr>
    <w:rPr>
      <w:rFonts w:asciiTheme="majorHAnsi" w:hAnsiTheme="majorHAnsi" w:eastAsiaTheme="majorEastAsia" w:cstheme="majorBidi"/>
      <w:sz w:val="24"/>
      <w:szCs w:val="24"/>
    </w:rPr>
  </w:style>
  <w:style w:type="character" w:customStyle="1" w:styleId="44">
    <w:name w:val="明显引用 字符"/>
    <w:basedOn w:val="20"/>
    <w:link w:val="43"/>
    <w:uiPriority w:val="30"/>
    <w:rPr>
      <w:rFonts w:asciiTheme="majorHAnsi" w:hAnsiTheme="majorHAnsi" w:eastAsiaTheme="majorEastAsia" w:cstheme="majorBidi"/>
      <w:sz w:val="24"/>
      <w:szCs w:val="24"/>
    </w:rPr>
  </w:style>
  <w:style w:type="character" w:customStyle="1" w:styleId="45">
    <w:name w:val="Subtle Emphasis"/>
    <w:basedOn w:val="20"/>
    <w:qFormat/>
    <w:uiPriority w:val="19"/>
    <w:rPr>
      <w:i/>
      <w:iCs/>
      <w:color w:val="595959" w:themeColor="text1" w:themeTint="A6"/>
      <w14:textFill>
        <w14:solidFill>
          <w14:schemeClr w14:val="tx1">
            <w14:lumMod w14:val="65000"/>
            <w14:lumOff w14:val="35000"/>
          </w14:schemeClr>
        </w14:solidFill>
      </w14:textFill>
    </w:rPr>
  </w:style>
  <w:style w:type="character" w:customStyle="1" w:styleId="46">
    <w:name w:val="Intense Emphasis"/>
    <w:basedOn w:val="20"/>
    <w:qFormat/>
    <w:uiPriority w:val="21"/>
    <w:rPr>
      <w:b/>
      <w:bCs/>
      <w:i/>
      <w:iCs/>
      <w:color w:val="ED7D31" w:themeColor="accent2"/>
      <w14:textFill>
        <w14:solidFill>
          <w14:schemeClr w14:val="accent2"/>
        </w14:solidFill>
      </w14:textFill>
    </w:rPr>
  </w:style>
  <w:style w:type="character" w:customStyle="1" w:styleId="47">
    <w:name w:val="Subtle Reference"/>
    <w:basedOn w:val="20"/>
    <w:qFormat/>
    <w:uiPriority w:val="31"/>
    <w:rPr>
      <w:smallCaps/>
      <w:color w:val="404040" w:themeColor="text1" w:themeTint="BF"/>
      <w:spacing w:val="0"/>
      <w:u w:val="single" w:color="7E7E7E" w:themeColor="text1" w:themeTint="80"/>
      <w14:textFill>
        <w14:solidFill>
          <w14:schemeClr w14:val="tx1">
            <w14:lumMod w14:val="75000"/>
            <w14:lumOff w14:val="25000"/>
          </w14:schemeClr>
        </w14:solidFill>
      </w14:textFill>
    </w:rPr>
  </w:style>
  <w:style w:type="character" w:customStyle="1" w:styleId="48">
    <w:name w:val="Intense Reference"/>
    <w:basedOn w:val="20"/>
    <w:qFormat/>
    <w:uiPriority w:val="32"/>
    <w:rPr>
      <w:b/>
      <w:bCs/>
      <w:smallCaps/>
      <w:color w:val="auto"/>
      <w:spacing w:val="0"/>
      <w:u w:val="single"/>
    </w:rPr>
  </w:style>
  <w:style w:type="character" w:customStyle="1" w:styleId="49">
    <w:name w:val="Book Title"/>
    <w:basedOn w:val="20"/>
    <w:qFormat/>
    <w:uiPriority w:val="33"/>
    <w:rPr>
      <w:b/>
      <w:bCs/>
      <w:smallCaps/>
      <w:spacing w:val="0"/>
    </w:rPr>
  </w:style>
  <w:style w:type="paragraph" w:customStyle="1" w:styleId="50">
    <w:name w:val="Bibliography"/>
    <w:basedOn w:val="1"/>
    <w:next w:val="1"/>
    <w:unhideWhenUsed/>
    <w:uiPriority w:val="37"/>
    <w:pPr>
      <w:spacing w:after="240" w:line="240" w:lineRule="auto"/>
    </w:p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3.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2021</c:v>
                </c:pt>
              </c:strCache>
            </c:strRef>
          </c:tx>
          <c:spPr>
            <a:solidFill>
              <a:srgbClr val="2875DD"/>
            </a:solidFill>
            <a:ln>
              <a:solidFill>
                <a:srgbClr val="2875DD"/>
              </a:solidFill>
            </a:ln>
          </c:spPr>
          <c:invertIfNegative val="0"/>
          <c:dPt>
            <c:idx val="2"/>
            <c:invertIfNegative val="0"/>
            <c:bubble3D val="0"/>
            <c:spPr>
              <a:solidFill>
                <a:schemeClr val="accent6"/>
              </a:solidFill>
              <a:ln>
                <a:solidFill>
                  <a:srgbClr val="2875DD"/>
                </a:solidFill>
              </a:ln>
            </c:spPr>
          </c:dPt>
          <c:dPt>
            <c:idx val="13"/>
            <c:invertIfNegative val="0"/>
            <c:bubble3D val="0"/>
            <c:spPr>
              <a:solidFill>
                <a:srgbClr val="BFBFBF"/>
              </a:solidFill>
            </c:spPr>
          </c:dPt>
          <c:dLbls>
            <c:dLbl>
              <c:idx val="0"/>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2"/>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3"/>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4"/>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5"/>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6"/>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7"/>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8"/>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9"/>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0"/>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1"/>
              <c:layout/>
              <c:numFmt formatCode="#,##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2"/>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dLbl>
              <c:idx val="13"/>
              <c:layout/>
              <c:numFmt formatCode="#,##0.00%" sourceLinked="0"/>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Sheet1!$A$2:$A$15</c:f>
              <c:strCache>
                <c:ptCount val="14"/>
                <c:pt idx="0">
                  <c:v>Tesla Inc.</c:v>
                </c:pt>
                <c:pt idx="1">
                  <c:v>VW Group</c:v>
                </c:pt>
                <c:pt idx="2">
                  <c:v>BYD</c:v>
                </c:pt>
                <c:pt idx="3">
                  <c:v>GM</c:v>
                </c:pt>
                <c:pt idx="4">
                  <c:v>Stellantis</c:v>
                </c:pt>
                <c:pt idx="5">
                  <c:v>Hyundai Motor</c:v>
                </c:pt>
                <c:pt idx="6">
                  <c:v>BMW Group</c:v>
                </c:pt>
                <c:pt idx="7">
                  <c:v>Renault-Nissan-Mitsubishi Alliance</c:v>
                </c:pt>
                <c:pt idx="8">
                  <c:v>Mercedes-Benz Group*</c:v>
                </c:pt>
                <c:pt idx="9">
                  <c:v>SAIC</c:v>
                </c:pt>
                <c:pt idx="10">
                  <c:v>Geely-Volvo Car Group</c:v>
                </c:pt>
                <c:pt idx="11">
                  <c:v>Toyota Motor Corp.</c:v>
                </c:pt>
                <c:pt idx="12">
                  <c:v>BAIC</c:v>
                </c:pt>
                <c:pt idx="13">
                  <c:v>Others</c:v>
                </c:pt>
              </c:strCache>
            </c:strRef>
          </c:cat>
          <c:val>
            <c:numRef>
              <c:f>Sheet1!$B$2:$B$15</c:f>
              <c:numCache>
                <c:formatCode>General</c:formatCode>
                <c:ptCount val="14"/>
                <c:pt idx="0">
                  <c:v>0.1384</c:v>
                </c:pt>
                <c:pt idx="1">
                  <c:v>0.1128</c:v>
                </c:pt>
                <c:pt idx="2">
                  <c:v>0.0884</c:v>
                </c:pt>
                <c:pt idx="3">
                  <c:v>0.0764</c:v>
                </c:pt>
                <c:pt idx="4">
                  <c:v>0.0574</c:v>
                </c:pt>
                <c:pt idx="5">
                  <c:v>0.0512</c:v>
                </c:pt>
                <c:pt idx="6">
                  <c:v>0.0482</c:v>
                </c:pt>
                <c:pt idx="7">
                  <c:v>0.0426</c:v>
                </c:pt>
                <c:pt idx="8">
                  <c:v>0.0415</c:v>
                </c:pt>
                <c:pt idx="9">
                  <c:v>0.035</c:v>
                </c:pt>
                <c:pt idx="10">
                  <c:v>0.0322</c:v>
                </c:pt>
                <c:pt idx="11">
                  <c:v>0.019</c:v>
                </c:pt>
                <c:pt idx="12">
                  <c:v>0.0085</c:v>
                </c:pt>
                <c:pt idx="13">
                  <c:v>0.2484</c:v>
                </c:pt>
              </c:numCache>
            </c:numRef>
          </c:val>
        </c:ser>
        <c:dLbls>
          <c:showLegendKey val="0"/>
          <c:showVal val="0"/>
          <c:showCatName val="0"/>
          <c:showSerName val="0"/>
          <c:showPercent val="0"/>
          <c:showBubbleSize val="0"/>
        </c:dLbls>
        <c:gapWidth val="80"/>
        <c:overlap val="-30"/>
        <c:axId val="67451136"/>
        <c:axId val="66437120"/>
      </c:barChart>
      <c:catAx>
        <c:axId val="67451136"/>
        <c:scaling>
          <c:orientation val="maxMin"/>
        </c:scaling>
        <c:delete val="0"/>
        <c:axPos val="l"/>
        <c:numFmt formatCode="General" sourceLinked="0"/>
        <c:majorTickMark val="none"/>
        <c:minorTickMark val="none"/>
        <c:tickLblPos val="low"/>
        <c:spPr>
          <a:ln w="9525" cap="flat" cmpd="sng" algn="ctr">
            <a:solidFill>
              <a:srgbClr val="2F2F2F"/>
            </a:solidFill>
            <a:prstDash val="solid"/>
            <a:round/>
          </a:ln>
        </c:spPr>
        <c:txPr>
          <a:bodyPr rot="-60000000" spcFirstLastPara="0" vertOverflow="ellipsis" vert="horz" wrap="square"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crossAx val="66437120"/>
        <c:crosses val="autoZero"/>
        <c:auto val="0"/>
        <c:lblAlgn val="ctr"/>
        <c:lblOffset val="100"/>
        <c:noMultiLvlLbl val="0"/>
      </c:catAx>
      <c:valAx>
        <c:axId val="66437120"/>
        <c:scaling>
          <c:orientation val="minMax"/>
          <c:min val="0"/>
        </c:scaling>
        <c:delete val="0"/>
        <c:axPos val="t"/>
        <c:majorGridlines>
          <c:spPr>
            <a:ln w="9525" cap="flat" cmpd="sng" algn="ctr">
              <a:solidFill>
                <a:srgbClr val="2F2F2F"/>
              </a:solidFill>
              <a:prstDash val="dot"/>
              <a:round/>
            </a:ln>
          </c:spPr>
        </c:majorGridlines>
        <c:numFmt formatCode="#,##0%" sourceLinked="0"/>
        <c:majorTickMark val="none"/>
        <c:minorTickMark val="none"/>
        <c:tickLblPos val="nextTo"/>
        <c:spPr>
          <a:ln w="6350" cap="flat" cmpd="sng" algn="ctr">
            <a:noFill/>
            <a:prstDash val="solid"/>
            <a:round/>
          </a:ln>
        </c:spPr>
        <c:txPr>
          <a:bodyPr rot="-60000000" spcFirstLastPara="0" vertOverflow="ellipsis" vert="horz" wrap="square" anchor="ctr" anchorCtr="1"/>
          <a:lstStyle/>
          <a:p>
            <a:pPr>
              <a:defRPr lang="zh-CN" sz="800" b="0" i="0" u="none" strike="noStrike" kern="1200" baseline="0">
                <a:solidFill>
                  <a:schemeClr val="tx1"/>
                </a:solidFill>
                <a:latin typeface="Arial" panose="020B0604020202020204" pitchFamily="2" charset="0"/>
                <a:ea typeface="+mn-ea"/>
                <a:cs typeface="Arial" panose="020B0604020202020204" pitchFamily="2" charset="0"/>
              </a:defRPr>
            </a:pPr>
          </a:p>
        </c:txPr>
        <c:crossAx val="67451136"/>
        <c:crosses val="autoZero"/>
        <c:crossBetween val="between"/>
      </c:valAx>
    </c:plotArea>
    <c:plotVisOnly val="1"/>
    <c:dispBlanksAs val="gap"/>
    <c:showDLblsOverMax val="1"/>
  </c:chart>
  <c:txPr>
    <a:bodyPr/>
    <a:lstStyle/>
    <a:p>
      <a:pPr>
        <a:defRPr lang="zh-CN" sz="800">
          <a:latin typeface="Arial" panose="020B0604020202020204" pitchFamily="2" charset="0"/>
          <a:cs typeface="Arial" panose="020B0604020202020204" pitchFamily="2" charset="0"/>
        </a:defRPr>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Sheet1!$B$1</c:f>
              <c:strCache>
                <c:ptCount val="1"/>
                <c:pt idx="0">
                  <c:v>Greater China</c:v>
                </c:pt>
              </c:strCache>
            </c:strRef>
          </c:tx>
          <c:spPr>
            <a:solidFill>
              <a:srgbClr val="2875DD"/>
            </a:solidFill>
            <a:ln>
              <a:solidFill>
                <a:srgbClr val="2875DD"/>
              </a:solidFill>
            </a:ln>
          </c:spPr>
          <c:invertIfNegative val="0"/>
          <c:dLbls>
            <c:dLbl>
              <c:idx val="0"/>
              <c:layout/>
              <c:numFmt formatCode="#,##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Arial" panose="020B0604020202020204" pitchFamily="2" charset="0"/>
                      <a:ea typeface="+mn-ea"/>
                      <a:cs typeface="Arial" panose="020B0604020202020204" pitchFamily="2" charset="0"/>
                    </a:defRPr>
                  </a:pPr>
                </a:p>
              </c:txPr>
              <c:dLblPos val="ctr"/>
              <c:showLegendKey val="0"/>
              <c:showVal val="1"/>
              <c:showCatName val="0"/>
              <c:showSerName val="0"/>
              <c:showPercent val="0"/>
              <c:showBubbleSize val="0"/>
              <c:extLst>
                <c:ext xmlns:c15="http://schemas.microsoft.com/office/drawing/2012/chart" uri="{CE6537A1-D6FC-4f65-9D91-7224C49458BB}"/>
              </c:extLst>
            </c:dLbl>
            <c:dLbl>
              <c:idx val="1"/>
              <c:layout/>
              <c:numFmt formatCode="#,##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Arial" panose="020B0604020202020204" pitchFamily="2" charset="0"/>
                      <a:ea typeface="+mn-ea"/>
                      <a:cs typeface="Arial" panose="020B0604020202020204" pitchFamily="2" charset="0"/>
                    </a:defRPr>
                  </a:pPr>
                </a:p>
              </c:txPr>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Arial" panose="020B0604020202020204" pitchFamily="2" charset="0"/>
                    <a:ea typeface="+mn-ea"/>
                    <a:cs typeface="Arial" panose="020B0604020202020204" pitchFamily="2" charset="0"/>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Sheet1!$A$2:$A$3</c:f>
              <c:numCache>
                <c:formatCode>General</c:formatCode>
                <c:ptCount val="2"/>
                <c:pt idx="0">
                  <c:v>2020</c:v>
                </c:pt>
                <c:pt idx="1">
                  <c:v>2021</c:v>
                </c:pt>
              </c:numCache>
            </c:numRef>
          </c:cat>
          <c:val>
            <c:numRef>
              <c:f>Sheet1!$B$2:$B$3</c:f>
              <c:numCache>
                <c:formatCode>General</c:formatCode>
                <c:ptCount val="2"/>
                <c:pt idx="0">
                  <c:v>0.622</c:v>
                </c:pt>
                <c:pt idx="1">
                  <c:v>0.704</c:v>
                </c:pt>
              </c:numCache>
            </c:numRef>
          </c:val>
        </c:ser>
        <c:ser>
          <c:idx val="1"/>
          <c:order val="1"/>
          <c:tx>
            <c:strRef>
              <c:f>Sheet1!$C$1</c:f>
              <c:strCache>
                <c:ptCount val="1"/>
                <c:pt idx="0">
                  <c:v>Overseas</c:v>
                </c:pt>
              </c:strCache>
            </c:strRef>
          </c:tx>
          <c:spPr>
            <a:solidFill>
              <a:srgbClr val="0F283E"/>
            </a:solidFill>
            <a:ln>
              <a:solidFill>
                <a:srgbClr val="0F283E"/>
              </a:solidFill>
            </a:ln>
          </c:spPr>
          <c:invertIfNegative val="0"/>
          <c:dLbls>
            <c:dLbl>
              <c:idx val="0"/>
              <c:layout/>
              <c:numFmt formatCode="#,##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Arial" panose="020B0604020202020204" pitchFamily="2" charset="0"/>
                      <a:ea typeface="+mn-ea"/>
                      <a:cs typeface="Arial" panose="020B0604020202020204" pitchFamily="2" charset="0"/>
                    </a:defRPr>
                  </a:pPr>
                </a:p>
              </c:txPr>
              <c:dLblPos val="ctr"/>
              <c:showLegendKey val="0"/>
              <c:showVal val="1"/>
              <c:showCatName val="0"/>
              <c:showSerName val="0"/>
              <c:showPercent val="0"/>
              <c:showBubbleSize val="0"/>
              <c:extLst>
                <c:ext xmlns:c15="http://schemas.microsoft.com/office/drawing/2012/chart" uri="{CE6537A1-D6FC-4f65-9D91-7224C49458BB}"/>
              </c:extLst>
            </c:dLbl>
            <c:dLbl>
              <c:idx val="1"/>
              <c:layout/>
              <c:numFmt formatCode="#,##0.0%" sourceLinked="0"/>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Arial" panose="020B0604020202020204" pitchFamily="2" charset="0"/>
                      <a:ea typeface="+mn-ea"/>
                      <a:cs typeface="Arial" panose="020B0604020202020204" pitchFamily="2" charset="0"/>
                    </a:defRPr>
                  </a:pPr>
                </a:p>
              </c:txPr>
              <c:dLblPos val="ct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solidFill>
                    <a:latin typeface="Arial" panose="020B0604020202020204" pitchFamily="2" charset="0"/>
                    <a:ea typeface="+mn-ea"/>
                    <a:cs typeface="Arial" panose="020B0604020202020204" pitchFamily="2" charset="0"/>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Sheet1!$A$2:$A$3</c:f>
              <c:numCache>
                <c:formatCode>General</c:formatCode>
                <c:ptCount val="2"/>
                <c:pt idx="0">
                  <c:v>2020</c:v>
                </c:pt>
                <c:pt idx="1">
                  <c:v>2021</c:v>
                </c:pt>
              </c:numCache>
            </c:numRef>
          </c:cat>
          <c:val>
            <c:numRef>
              <c:f>Sheet1!$C$2:$C$3</c:f>
              <c:numCache>
                <c:formatCode>General</c:formatCode>
                <c:ptCount val="2"/>
                <c:pt idx="0">
                  <c:v>0.378</c:v>
                </c:pt>
                <c:pt idx="1">
                  <c:v>0.296</c:v>
                </c:pt>
              </c:numCache>
            </c:numRef>
          </c:val>
        </c:ser>
        <c:dLbls>
          <c:showLegendKey val="0"/>
          <c:showVal val="0"/>
          <c:showCatName val="0"/>
          <c:showSerName val="0"/>
          <c:showPercent val="0"/>
          <c:showBubbleSize val="0"/>
        </c:dLbls>
        <c:gapWidth val="80"/>
        <c:overlap val="100"/>
        <c:axId val="67451136"/>
        <c:axId val="66437120"/>
      </c:barChart>
      <c:catAx>
        <c:axId val="67451136"/>
        <c:scaling>
          <c:orientation val="minMax"/>
        </c:scaling>
        <c:delete val="0"/>
        <c:axPos val="b"/>
        <c:numFmt formatCode="General" sourceLinked="0"/>
        <c:majorTickMark val="none"/>
        <c:minorTickMark val="none"/>
        <c:tickLblPos val="low"/>
        <c:spPr>
          <a:ln w="25400" cap="flat" cmpd="sng" algn="ctr">
            <a:solidFill>
              <a:srgbClr val="000000"/>
            </a:solidFill>
            <a:prstDash val="solid"/>
            <a:round/>
          </a:ln>
        </c:spPr>
        <c:txPr>
          <a:bodyPr rot="-60000000" spcFirstLastPara="0" vertOverflow="ellipsis" vert="horz" wrap="square" anchor="ctr" anchorCtr="1"/>
          <a:lstStyle/>
          <a:p>
            <a:pPr>
              <a:defRPr lang="zh-CN" sz="900" b="0" i="0" u="none" strike="noStrike" kern="1200" baseline="0">
                <a:solidFill>
                  <a:schemeClr val="tx1"/>
                </a:solidFill>
                <a:latin typeface="Arial" panose="020B0604020202020204" pitchFamily="2" charset="0"/>
                <a:ea typeface="+mn-ea"/>
                <a:cs typeface="Arial" panose="020B0604020202020204" pitchFamily="2" charset="0"/>
              </a:defRPr>
            </a:pPr>
          </a:p>
        </c:txPr>
        <c:crossAx val="66437120"/>
        <c:crosses val="autoZero"/>
        <c:auto val="0"/>
        <c:lblAlgn val="ctr"/>
        <c:lblOffset val="100"/>
        <c:noMultiLvlLbl val="0"/>
      </c:catAx>
      <c:valAx>
        <c:axId val="66437120"/>
        <c:scaling>
          <c:orientation val="minMax"/>
          <c:min val="0"/>
        </c:scaling>
        <c:delete val="0"/>
        <c:axPos val="l"/>
        <c:majorGridlines>
          <c:spPr>
            <a:ln w="9525" cap="flat" cmpd="sng" algn="ctr">
              <a:solidFill>
                <a:srgbClr val="2F2F2F"/>
              </a:solidFill>
              <a:prstDash val="dot"/>
              <a:round/>
            </a:ln>
          </c:spPr>
        </c:majorGridlines>
        <c:title>
          <c:tx>
            <c:rich>
              <a:bodyPr rot="-5400000" spcFirstLastPara="0" vertOverflow="ellipsis" vert="horz" wrap="square" anchor="ctr" anchorCtr="1"/>
              <a:lstStyle/>
              <a:p>
                <a:pPr>
                  <a:defRPr lang="zh-CN" sz="900" b="1" i="0" u="none" strike="noStrike" kern="1200" baseline="0">
                    <a:solidFill>
                      <a:schemeClr val="tx1"/>
                    </a:solidFill>
                    <a:latin typeface="Arial" panose="020B0604020202020204" pitchFamily="2" charset="0"/>
                    <a:ea typeface="+mn-ea"/>
                    <a:cs typeface="Arial" panose="020B0604020202020204" pitchFamily="2" charset="0"/>
                  </a:defRPr>
                </a:pPr>
                <a:r>
                  <a:rPr lang="en-US"/>
                  <a:t>Revenue distribution by region</a:t>
                </a:r>
                <a:endParaRPr lang="en-US"/>
              </a:p>
            </c:rich>
          </c:tx>
          <c:layout/>
          <c:overlay val="0"/>
        </c:title>
        <c:numFmt formatCode="#,##0%" sourceLinked="0"/>
        <c:majorTickMark val="none"/>
        <c:minorTickMark val="none"/>
        <c:tickLblPos val="low"/>
        <c:spPr>
          <a:ln w="6350" cap="flat" cmpd="sng" algn="ctr">
            <a:noFill/>
            <a:prstDash val="solid"/>
            <a:round/>
          </a:ln>
        </c:spPr>
        <c:txPr>
          <a:bodyPr rot="-60000000" spcFirstLastPara="0" vertOverflow="ellipsis" vert="horz" wrap="square" anchor="ctr" anchorCtr="1"/>
          <a:lstStyle/>
          <a:p>
            <a:pPr>
              <a:defRPr lang="zh-CN" sz="900" b="0" i="0" u="none" strike="noStrike" kern="1200" baseline="0">
                <a:solidFill>
                  <a:schemeClr val="tx1"/>
                </a:solidFill>
                <a:latin typeface="Arial" panose="020B0604020202020204" pitchFamily="2" charset="0"/>
                <a:ea typeface="+mn-ea"/>
                <a:cs typeface="Arial" panose="020B0604020202020204" pitchFamily="2" charset="0"/>
              </a:defRPr>
            </a:pPr>
          </a:p>
        </c:txPr>
        <c:crossAx val="67451136"/>
        <c:crosses val="autoZero"/>
        <c:crossBetween val="between"/>
      </c:valAx>
    </c:plotArea>
    <c:legend>
      <c:legendPos val="t"/>
      <c:layout/>
      <c:overlay val="0"/>
      <c:txPr>
        <a:bodyPr rot="0" spcFirstLastPara="0" vertOverflow="ellipsis" vert="horz" wrap="square" anchor="ctr" anchorCtr="1"/>
        <a:lstStyle/>
        <a:p>
          <a:pPr>
            <a:defRPr lang="zh-CN" sz="900" b="0" i="0" u="none" strike="noStrike" kern="1200" baseline="0">
              <a:solidFill>
                <a:schemeClr val="tx1"/>
              </a:solidFill>
              <a:latin typeface="Arial" panose="020B0604020202020204" pitchFamily="2" charset="0"/>
              <a:ea typeface="+mn-ea"/>
              <a:cs typeface="Arial" panose="020B0604020202020204" pitchFamily="2" charset="0"/>
            </a:defRPr>
          </a:pPr>
        </a:p>
      </c:txPr>
    </c:legend>
    <c:plotVisOnly val="1"/>
    <c:dispBlanksAs val="gap"/>
    <c:showDLblsOverMax val="1"/>
  </c:chart>
  <c:txPr>
    <a:bodyPr/>
    <a:lstStyle/>
    <a:p>
      <a:pPr>
        <a:defRPr lang="zh-CN" sz="900">
          <a:latin typeface="Arial" panose="020B0604020202020204" pitchFamily="2" charset="0"/>
          <a:cs typeface="Arial" panose="020B0604020202020204" pitchFamily="2" charset="0"/>
        </a:defRPr>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overPageProperties xmlns="http://schemas.microsoft.com/office/2006/coverPageProps">
  <PublishDate/>
  <Abstract>Given the tremendous potential of the Chinese new energy vehicle market, BYD, the domestic leading player in the sector, needs to reflect on its current competitive strategic choices and effectiveness. The report argues that BYD has been adopted the cost leadership strategy, which is enabled through technological advancements, value chain integration and economies of scale. The cost leadership also leads to the problem of low differentiation in the hyper competitive market, and the slow market responsiveness. The report recommends BYD to differentiate itself through product diversification and restructure its supply chain to adjust the level of integration</Abstract>
  <CompanyAddress/>
  <CompanyPhone/>
  <CompanyFax/>
  <CompanyEmail>Module Code and Name</CompanyEmail>
</CoverPage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B4370D-9610-48FF-8AA8-BAC8A51B3868}">
  <ds:schemaRefs/>
</ds:datastoreItem>
</file>

<file path=customXml/itemProps3.xml><?xml version="1.0" encoding="utf-8"?>
<ds:datastoreItem xmlns:ds="http://schemas.openxmlformats.org/officeDocument/2006/customXml" ds:itemID="{55AF091B-3C7A-41E3-B477-F2FDAA23CFDA}">
  <ds:schemaRefs/>
</ds:datastoreItem>
</file>

<file path=docProps/app.xml><?xml version="1.0" encoding="utf-8"?>
<Properties xmlns="http://schemas.openxmlformats.org/officeDocument/2006/extended-properties" xmlns:vt="http://schemas.openxmlformats.org/officeDocument/2006/docPropsVTypes">
  <Template>Normal</Template>
  <Pages>18</Pages>
  <Words>3136</Words>
  <Characters>17859</Characters>
  <Lines>314</Lines>
  <Paragraphs>88</Paragraphs>
  <TotalTime>166</TotalTime>
  <ScaleCrop>false</ScaleCrop>
  <LinksUpToDate>false</LinksUpToDate>
  <CharactersWithSpaces>20970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2023-03-08T08:25:00Z</dcterms:created>
  <dc:creator>Qi Huiwen 2200154</dc:creator>
  <cp:lastModifiedBy>@</cp:lastModifiedBy>
  <dcterms:modified xsi:type="dcterms:W3CDTF">2023-03-08T11:20:07Z</dcterms:modified>
  <dc:subject>Your subheading</dc:subject>
  <dc:title>The competitive Strategy of BYD in the Chinese market</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zotero-version="6.0.22"&gt;&lt;session id="1NxMQ0BE"/&gt;&lt;style id="http://www.zotero.org/styles/harvard-cite-them-right" hasBibliography="1" bibliographyStyleHasBeenSet="1"/&gt;&lt;prefs&gt;&lt;pref name="fieldType" value="Field"/&gt;&lt;/prefs&gt;&lt;/data&gt;</vt:lpwstr>
  </property>
  <property fmtid="{D5CDD505-2E9C-101B-9397-08002B2CF9AE}" pid="3" name="KSOProductBuildVer">
    <vt:lpwstr>2052-11.1.0.13703</vt:lpwstr>
  </property>
  <property fmtid="{D5CDD505-2E9C-101B-9397-08002B2CF9AE}" pid="4" name="ICV">
    <vt:lpwstr>2B1FEC3B63A1485683B66706D2CA9BC1</vt:lpwstr>
  </property>
</Properties>
</file>