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1757932278"/>
        <w:docPartObj>
          <w:docPartGallery w:val="Cover Pages"/>
          <w:docPartUnique/>
        </w:docPartObj>
      </w:sdtPr>
      <w:sdtEndPr>
        <w:rPr>
          <w:rFonts w:ascii="Arial Black" w:eastAsiaTheme="minorHAnsi" w:hAnsi="Arial Black" w:cs="Arial"/>
          <w:kern w:val="2"/>
          <w:sz w:val="24"/>
          <w:szCs w:val="24"/>
          <w:lang w:val="en-GB"/>
          <w14:ligatures w14:val="standardContextual"/>
        </w:rPr>
      </w:sdtEndPr>
      <w:sdtContent>
        <w:p w14:paraId="6A37F4BA" w14:textId="7D68B139" w:rsidR="00DA4AB3" w:rsidRDefault="00DA4AB3">
          <w:pPr>
            <w:pStyle w:val="NoSpacing"/>
            <w:rPr>
              <w:sz w:val="2"/>
            </w:rPr>
          </w:pPr>
        </w:p>
        <w:p w14:paraId="7FB475FB" w14:textId="77777777" w:rsidR="00DA4AB3" w:rsidRDefault="00DA4AB3">
          <w:r>
            <w:rPr>
              <w:noProof/>
            </w:rPr>
            <mc:AlternateContent>
              <mc:Choice Requires="wps">
                <w:drawing>
                  <wp:anchor distT="0" distB="0" distL="114300" distR="114300" simplePos="0" relativeHeight="251661312" behindDoc="0" locked="0" layoutInCell="1" allowOverlap="1" wp14:anchorId="491F2C66" wp14:editId="4BF7159A">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AD1F7D6" w14:textId="748A40C1" w:rsidR="00DA4AB3" w:rsidRPr="00DA4AB3" w:rsidRDefault="00DA4AB3" w:rsidP="00DA4AB3">
                                    <w:pPr>
                                      <w:pStyle w:val="NoSpacing"/>
                                      <w:rPr>
                                        <w:rFonts w:ascii="Arial Black" w:eastAsiaTheme="majorEastAsia" w:hAnsi="Arial Black" w:cstheme="majorBidi"/>
                                        <w:caps/>
                                        <w:color w:val="2C7FCE" w:themeColor="text2" w:themeTint="99"/>
                                        <w:sz w:val="68"/>
                                        <w:szCs w:val="68"/>
                                      </w:rPr>
                                    </w:pPr>
                                    <w:r w:rsidRPr="00DA4AB3">
                                      <w:rPr>
                                        <w:rFonts w:ascii="Arial Black" w:eastAsiaTheme="majorEastAsia" w:hAnsi="Arial Black" w:cstheme="majorBidi"/>
                                        <w:caps/>
                                        <w:color w:val="2C7FCE" w:themeColor="text2" w:themeTint="99"/>
                                        <w:sz w:val="68"/>
                                        <w:szCs w:val="68"/>
                                      </w:rPr>
                                      <w:t>Opportunities and Threats to Social Enterprise</w:t>
                                    </w:r>
                                  </w:p>
                                </w:sdtContent>
                              </w:sdt>
                              <w:p w14:paraId="041D968D" w14:textId="77777777" w:rsidR="00DA4AB3" w:rsidRDefault="00DA4A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91F2C66"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Black" w:eastAsiaTheme="majorEastAsia" w:hAnsi="Arial Black" w:cstheme="majorBidi"/>
                              <w:caps/>
                              <w:color w:val="2C7FCE"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AD1F7D6" w14:textId="748A40C1" w:rsidR="00DA4AB3" w:rsidRPr="00DA4AB3" w:rsidRDefault="00DA4AB3" w:rsidP="00DA4AB3">
                              <w:pPr>
                                <w:pStyle w:val="NoSpacing"/>
                                <w:rPr>
                                  <w:rFonts w:ascii="Arial Black" w:eastAsiaTheme="majorEastAsia" w:hAnsi="Arial Black" w:cstheme="majorBidi"/>
                                  <w:caps/>
                                  <w:color w:val="2C7FCE" w:themeColor="text2" w:themeTint="99"/>
                                  <w:sz w:val="68"/>
                                  <w:szCs w:val="68"/>
                                </w:rPr>
                              </w:pPr>
                              <w:r w:rsidRPr="00DA4AB3">
                                <w:rPr>
                                  <w:rFonts w:ascii="Arial Black" w:eastAsiaTheme="majorEastAsia" w:hAnsi="Arial Black" w:cstheme="majorBidi"/>
                                  <w:caps/>
                                  <w:color w:val="2C7FCE" w:themeColor="text2" w:themeTint="99"/>
                                  <w:sz w:val="68"/>
                                  <w:szCs w:val="68"/>
                                </w:rPr>
                                <w:t>Opportunities and Threats to Social Enterprise</w:t>
                              </w:r>
                            </w:p>
                          </w:sdtContent>
                        </w:sdt>
                        <w:p w14:paraId="041D968D" w14:textId="77777777" w:rsidR="00DA4AB3" w:rsidRDefault="00DA4AB3"/>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10498E6" wp14:editId="086A953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733BC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BEBE4ED" wp14:editId="23BA58E7">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66D442" w14:textId="74AA4E26" w:rsidR="00DA4AB3" w:rsidRPr="00DA4AB3" w:rsidRDefault="00DA4AB3">
                                <w:pPr>
                                  <w:pStyle w:val="NoSpacing"/>
                                  <w:jc w:val="right"/>
                                  <w:rPr>
                                    <w:rFonts w:ascii="Arial Black" w:hAnsi="Arial Black"/>
                                    <w:color w:val="156082" w:themeColor="accent1"/>
                                    <w:sz w:val="48"/>
                                    <w:szCs w:val="48"/>
                                  </w:rPr>
                                </w:pPr>
                                <w:sdt>
                                  <w:sdtPr>
                                    <w:rPr>
                                      <w:rFonts w:ascii="Arial Black" w:hAnsi="Arial Black"/>
                                      <w:color w:val="156082" w:themeColor="accent1"/>
                                      <w:sz w:val="48"/>
                                      <w:szCs w:val="48"/>
                                    </w:rPr>
                                    <w:alias w:val="School"/>
                                    <w:tag w:val="School"/>
                                    <w:id w:val="1850680582"/>
                                    <w:dataBinding w:prefixMappings="xmlns:ns0='http://schemas.openxmlformats.org/officeDocument/2006/extended-properties' " w:xpath="/ns0:Properties[1]/ns0:Company[1]" w:storeItemID="{6668398D-A668-4E3E-A5EB-62B293D839F1}"/>
                                    <w:text/>
                                  </w:sdtPr>
                                  <w:sdtContent>
                                    <w:r w:rsidRPr="00DA4AB3">
                                      <w:rPr>
                                        <w:rFonts w:ascii="Arial Black" w:hAnsi="Arial Black"/>
                                        <w:color w:val="156082" w:themeColor="accent1"/>
                                        <w:sz w:val="48"/>
                                        <w:szCs w:val="48"/>
                                      </w:rPr>
                                      <w:t>Fanica Raducan (2328354)</w:t>
                                    </w:r>
                                  </w:sdtContent>
                                </w:sdt>
                              </w:p>
                              <w:sdt>
                                <w:sdtPr>
                                  <w:rPr>
                                    <w:rFonts w:ascii="Arial Black" w:hAnsi="Arial Black"/>
                                    <w:color w:val="156082" w:themeColor="accent1"/>
                                    <w:sz w:val="48"/>
                                    <w:szCs w:val="4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BE9D932" w14:textId="47C05661" w:rsidR="00DA4AB3" w:rsidRPr="00DA4AB3" w:rsidRDefault="00DA4AB3">
                                    <w:pPr>
                                      <w:pStyle w:val="NoSpacing"/>
                                      <w:jc w:val="right"/>
                                      <w:rPr>
                                        <w:rFonts w:ascii="Arial Black" w:hAnsi="Arial Black"/>
                                        <w:color w:val="156082" w:themeColor="accent1"/>
                                        <w:sz w:val="48"/>
                                        <w:szCs w:val="48"/>
                                      </w:rPr>
                                    </w:pPr>
                                    <w:r w:rsidRPr="00DA4AB3">
                                      <w:rPr>
                                        <w:rFonts w:ascii="Arial Black" w:hAnsi="Arial Black"/>
                                        <w:color w:val="156082" w:themeColor="accent1"/>
                                        <w:sz w:val="48"/>
                                        <w:szCs w:val="48"/>
                                      </w:rPr>
                                      <w:t>Social Enterprise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BEBE4ED"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866D442" w14:textId="74AA4E26" w:rsidR="00DA4AB3" w:rsidRPr="00DA4AB3" w:rsidRDefault="00DA4AB3">
                          <w:pPr>
                            <w:pStyle w:val="NoSpacing"/>
                            <w:jc w:val="right"/>
                            <w:rPr>
                              <w:rFonts w:ascii="Arial Black" w:hAnsi="Arial Black"/>
                              <w:color w:val="156082" w:themeColor="accent1"/>
                              <w:sz w:val="48"/>
                              <w:szCs w:val="48"/>
                            </w:rPr>
                          </w:pPr>
                          <w:sdt>
                            <w:sdtPr>
                              <w:rPr>
                                <w:rFonts w:ascii="Arial Black" w:hAnsi="Arial Black"/>
                                <w:color w:val="156082" w:themeColor="accent1"/>
                                <w:sz w:val="48"/>
                                <w:szCs w:val="48"/>
                              </w:rPr>
                              <w:alias w:val="School"/>
                              <w:tag w:val="School"/>
                              <w:id w:val="1850680582"/>
                              <w:dataBinding w:prefixMappings="xmlns:ns0='http://schemas.openxmlformats.org/officeDocument/2006/extended-properties' " w:xpath="/ns0:Properties[1]/ns0:Company[1]" w:storeItemID="{6668398D-A668-4E3E-A5EB-62B293D839F1}"/>
                              <w:text/>
                            </w:sdtPr>
                            <w:sdtContent>
                              <w:r w:rsidRPr="00DA4AB3">
                                <w:rPr>
                                  <w:rFonts w:ascii="Arial Black" w:hAnsi="Arial Black"/>
                                  <w:color w:val="156082" w:themeColor="accent1"/>
                                  <w:sz w:val="48"/>
                                  <w:szCs w:val="48"/>
                                </w:rPr>
                                <w:t>Fanica Raducan (2328354)</w:t>
                              </w:r>
                            </w:sdtContent>
                          </w:sdt>
                        </w:p>
                        <w:sdt>
                          <w:sdtPr>
                            <w:rPr>
                              <w:rFonts w:ascii="Arial Black" w:hAnsi="Arial Black"/>
                              <w:color w:val="156082" w:themeColor="accent1"/>
                              <w:sz w:val="48"/>
                              <w:szCs w:val="4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BE9D932" w14:textId="47C05661" w:rsidR="00DA4AB3" w:rsidRPr="00DA4AB3" w:rsidRDefault="00DA4AB3">
                              <w:pPr>
                                <w:pStyle w:val="NoSpacing"/>
                                <w:jc w:val="right"/>
                                <w:rPr>
                                  <w:rFonts w:ascii="Arial Black" w:hAnsi="Arial Black"/>
                                  <w:color w:val="156082" w:themeColor="accent1"/>
                                  <w:sz w:val="48"/>
                                  <w:szCs w:val="48"/>
                                </w:rPr>
                              </w:pPr>
                              <w:r w:rsidRPr="00DA4AB3">
                                <w:rPr>
                                  <w:rFonts w:ascii="Arial Black" w:hAnsi="Arial Black"/>
                                  <w:color w:val="156082" w:themeColor="accent1"/>
                                  <w:sz w:val="48"/>
                                  <w:szCs w:val="48"/>
                                </w:rPr>
                                <w:t>Social Enterprise Management</w:t>
                              </w:r>
                            </w:p>
                          </w:sdtContent>
                        </w:sdt>
                      </w:txbxContent>
                    </v:textbox>
                    <w10:wrap anchorx="page" anchory="margin"/>
                  </v:shape>
                </w:pict>
              </mc:Fallback>
            </mc:AlternateContent>
          </w:r>
        </w:p>
        <w:p w14:paraId="2B27342B" w14:textId="3EF152AF" w:rsidR="00DA4AB3" w:rsidRDefault="00DA4AB3">
          <w:pPr>
            <w:rPr>
              <w:rFonts w:ascii="Arial Black" w:hAnsi="Arial Black" w:cs="Arial"/>
            </w:rPr>
          </w:pPr>
          <w:r>
            <w:rPr>
              <w:rFonts w:ascii="Arial Black" w:hAnsi="Arial Black" w:cs="Arial"/>
            </w:rPr>
            <w:br w:type="page"/>
          </w:r>
        </w:p>
      </w:sdtContent>
    </w:sdt>
    <w:p w14:paraId="0ACA9561" w14:textId="78C15001" w:rsidR="00FD6F10" w:rsidRPr="00FD6F10" w:rsidRDefault="00FD6F10" w:rsidP="00DA4AB3">
      <w:pPr>
        <w:rPr>
          <w:rFonts w:ascii="Arial Black" w:hAnsi="Arial Black" w:cs="Arial"/>
        </w:rPr>
      </w:pPr>
      <w:r w:rsidRPr="00FD6F10">
        <w:rPr>
          <w:rFonts w:ascii="Arial Black" w:hAnsi="Arial Black" w:cs="Arial"/>
        </w:rPr>
        <w:lastRenderedPageBreak/>
        <w:t>Introduction</w:t>
      </w:r>
    </w:p>
    <w:p w14:paraId="18D14F55" w14:textId="77777777" w:rsidR="00FD6F10" w:rsidRPr="00FD6F10" w:rsidRDefault="00FD6F10" w:rsidP="00FD6F10">
      <w:pPr>
        <w:spacing w:line="480" w:lineRule="auto"/>
        <w:jc w:val="both"/>
        <w:rPr>
          <w:rFonts w:ascii="Arial" w:hAnsi="Arial" w:cs="Arial"/>
        </w:rPr>
      </w:pPr>
    </w:p>
    <w:p w14:paraId="30DD1FFC" w14:textId="77777777" w:rsidR="00FD6F10" w:rsidRDefault="00FD6F10" w:rsidP="00FD6F10">
      <w:pPr>
        <w:spacing w:line="480" w:lineRule="auto"/>
        <w:jc w:val="both"/>
        <w:rPr>
          <w:rFonts w:ascii="Arial" w:hAnsi="Arial" w:cs="Arial"/>
        </w:rPr>
      </w:pPr>
      <w:r w:rsidRPr="00FD6F10">
        <w:rPr>
          <w:rFonts w:ascii="Arial" w:hAnsi="Arial" w:cs="Arial"/>
        </w:rPr>
        <w:t>Social enterprises have emerged as key players in tackling societal concerns through creative business models that combine social and financial purposes. These organizations attempt to generate social benefit while remaining financially sustainable, spanning the gap between traditional non-profits and for-profit corporations. As the landscape of social entrepreneurship shifts, it is critical to examine the internal and external variables influencing these businesses. This essay employs a SWOT (Strengths, Weaknesses, Opportunities, Threats) analysis to investigate the multifaceted potential and problems confronting social entrepreneurs, backed up by relevant academic theories and industry examples.</w:t>
      </w:r>
    </w:p>
    <w:p w14:paraId="5B66C498" w14:textId="77777777" w:rsidR="00FD6F10" w:rsidRPr="00FD6F10" w:rsidRDefault="00FD6F10" w:rsidP="00FD6F10">
      <w:pPr>
        <w:spacing w:line="480" w:lineRule="auto"/>
        <w:jc w:val="both"/>
        <w:rPr>
          <w:rFonts w:ascii="Arial" w:hAnsi="Arial" w:cs="Arial"/>
        </w:rPr>
      </w:pPr>
    </w:p>
    <w:p w14:paraId="2E20D18D" w14:textId="77777777" w:rsidR="00FD6F10" w:rsidRPr="00FD6F10" w:rsidRDefault="00FD6F10" w:rsidP="00FD6F10">
      <w:pPr>
        <w:spacing w:line="480" w:lineRule="auto"/>
        <w:jc w:val="both"/>
        <w:rPr>
          <w:rFonts w:ascii="Arial" w:hAnsi="Arial" w:cs="Arial"/>
        </w:rPr>
      </w:pPr>
    </w:p>
    <w:p w14:paraId="09F13C79" w14:textId="77777777" w:rsidR="00FD6F10" w:rsidRDefault="00FD6F10" w:rsidP="00FD6F10">
      <w:pPr>
        <w:spacing w:line="480" w:lineRule="auto"/>
        <w:jc w:val="both"/>
        <w:rPr>
          <w:rFonts w:ascii="Arial Black" w:hAnsi="Arial Black" w:cs="Arial"/>
        </w:rPr>
      </w:pPr>
    </w:p>
    <w:p w14:paraId="3363DF5A" w14:textId="77777777" w:rsidR="00FD6F10" w:rsidRDefault="00FD6F10" w:rsidP="00FD6F10">
      <w:pPr>
        <w:spacing w:line="480" w:lineRule="auto"/>
        <w:jc w:val="both"/>
        <w:rPr>
          <w:rFonts w:ascii="Arial Black" w:hAnsi="Arial Black" w:cs="Arial"/>
        </w:rPr>
      </w:pPr>
    </w:p>
    <w:p w14:paraId="52025443" w14:textId="77777777" w:rsidR="00FD6F10" w:rsidRDefault="00FD6F10" w:rsidP="00FD6F10">
      <w:pPr>
        <w:spacing w:line="480" w:lineRule="auto"/>
        <w:jc w:val="both"/>
        <w:rPr>
          <w:rFonts w:ascii="Arial Black" w:hAnsi="Arial Black" w:cs="Arial"/>
        </w:rPr>
      </w:pPr>
    </w:p>
    <w:p w14:paraId="1F0EEA27" w14:textId="77777777" w:rsidR="00FD6F10" w:rsidRDefault="00FD6F10" w:rsidP="00FD6F10">
      <w:pPr>
        <w:spacing w:line="480" w:lineRule="auto"/>
        <w:jc w:val="both"/>
        <w:rPr>
          <w:rFonts w:ascii="Arial Black" w:hAnsi="Arial Black" w:cs="Arial"/>
        </w:rPr>
      </w:pPr>
    </w:p>
    <w:p w14:paraId="315FB20C" w14:textId="77777777" w:rsidR="00FD6F10" w:rsidRDefault="00FD6F10" w:rsidP="00FD6F10">
      <w:pPr>
        <w:spacing w:line="480" w:lineRule="auto"/>
        <w:jc w:val="both"/>
        <w:rPr>
          <w:rFonts w:ascii="Arial Black" w:hAnsi="Arial Black" w:cs="Arial"/>
        </w:rPr>
      </w:pPr>
    </w:p>
    <w:p w14:paraId="5483671B" w14:textId="77777777" w:rsidR="00FD6F10" w:rsidRDefault="00FD6F10" w:rsidP="00FD6F10">
      <w:pPr>
        <w:spacing w:line="480" w:lineRule="auto"/>
        <w:jc w:val="both"/>
        <w:rPr>
          <w:rFonts w:ascii="Arial Black" w:hAnsi="Arial Black" w:cs="Arial"/>
        </w:rPr>
      </w:pPr>
    </w:p>
    <w:p w14:paraId="2022086D" w14:textId="77777777" w:rsidR="00FD6F10" w:rsidRDefault="00FD6F10" w:rsidP="00FD6F10">
      <w:pPr>
        <w:spacing w:line="480" w:lineRule="auto"/>
        <w:jc w:val="both"/>
        <w:rPr>
          <w:rFonts w:ascii="Arial Black" w:hAnsi="Arial Black" w:cs="Arial"/>
        </w:rPr>
      </w:pPr>
    </w:p>
    <w:p w14:paraId="3C13E13E" w14:textId="1090DAAE" w:rsidR="00FD6F10" w:rsidRPr="00FD6F10" w:rsidRDefault="00FD6F10" w:rsidP="00FD6F10">
      <w:pPr>
        <w:spacing w:line="480" w:lineRule="auto"/>
        <w:jc w:val="both"/>
        <w:rPr>
          <w:rFonts w:ascii="Arial Black" w:hAnsi="Arial Black" w:cs="Arial"/>
        </w:rPr>
      </w:pPr>
      <w:r w:rsidRPr="00FD6F10">
        <w:rPr>
          <w:rFonts w:ascii="Arial Black" w:hAnsi="Arial Black" w:cs="Arial"/>
        </w:rPr>
        <w:lastRenderedPageBreak/>
        <w:t>Strengths</w:t>
      </w:r>
    </w:p>
    <w:p w14:paraId="61B4EB40" w14:textId="77777777" w:rsidR="00FD6F10" w:rsidRPr="00FD6F10" w:rsidRDefault="00FD6F10" w:rsidP="00FD6F10">
      <w:pPr>
        <w:spacing w:line="480" w:lineRule="auto"/>
        <w:jc w:val="both"/>
        <w:rPr>
          <w:rFonts w:ascii="Arial" w:hAnsi="Arial" w:cs="Arial"/>
        </w:rPr>
      </w:pPr>
    </w:p>
    <w:p w14:paraId="53ABD1BD" w14:textId="77777777" w:rsidR="00FD6F10" w:rsidRDefault="00FD6F10" w:rsidP="00FD6F10">
      <w:pPr>
        <w:spacing w:line="480" w:lineRule="auto"/>
        <w:jc w:val="both"/>
        <w:rPr>
          <w:rFonts w:ascii="Arial" w:hAnsi="Arial" w:cs="Arial"/>
        </w:rPr>
      </w:pPr>
      <w:r w:rsidRPr="00FD6F10">
        <w:rPr>
          <w:rFonts w:ascii="Arial" w:hAnsi="Arial" w:cs="Arial"/>
        </w:rPr>
        <w:t>Social companies possess various intrinsic advantages that set them apart from traditional businesses and non-profits. Central to these characteristics is their mission-driven strategy, which develops a strong organizational identity and dedication among stakeholders. According to Porter and Kramer's (2011) concept of Creating Shared Value, social companies combine social and economic aims to increase their relevance and appeal to socially conscious consumers and investors.</w:t>
      </w:r>
    </w:p>
    <w:p w14:paraId="6ECA619E" w14:textId="2AF3525F" w:rsidR="00FD6F10" w:rsidRDefault="00FD6F10" w:rsidP="00FD6F10">
      <w:pPr>
        <w:spacing w:line="480" w:lineRule="auto"/>
        <w:jc w:val="both"/>
        <w:rPr>
          <w:rFonts w:ascii="Arial" w:hAnsi="Arial" w:cs="Arial"/>
        </w:rPr>
      </w:pPr>
      <w:r w:rsidRPr="00FD6F10">
        <w:rPr>
          <w:rFonts w:ascii="Arial" w:hAnsi="Arial" w:cs="Arial"/>
        </w:rPr>
        <w:t>A major characteristic is the capacity to attract a committed staff motivated by purpose rather than financial incentives. For example, TOMS Shoes employs a one-for-one model, donating one pair of shoes for each pair sold. This concept not only targets worldwide footwear poverty but also engages employees and customers who are passionate about making a real difference. The alignment of personal values with organizational goals fosters a motivated and loyal workforce, which is essential for the long-term success of social enterprises.</w:t>
      </w:r>
    </w:p>
    <w:p w14:paraId="5EDBD5D1" w14:textId="77777777" w:rsidR="00FD6F10" w:rsidRDefault="00FD6F10" w:rsidP="00FD6F10">
      <w:pPr>
        <w:spacing w:line="480" w:lineRule="auto"/>
        <w:jc w:val="both"/>
        <w:rPr>
          <w:rFonts w:ascii="Arial" w:hAnsi="Arial" w:cs="Arial"/>
        </w:rPr>
      </w:pPr>
      <w:r w:rsidRPr="00FD6F10">
        <w:rPr>
          <w:rFonts w:ascii="Arial" w:hAnsi="Arial" w:cs="Arial"/>
        </w:rPr>
        <w:t>Furthermore, strong community links and networks typically help social enterprises share resources and solve problems collaboratively. The cooperative model, demonstrated by organizations such as The Big Issue, a social venture that employs the homeless through magazine sales, illustrates how community integration can create both social and economic success. By leveraging local support and fostering partnerships, social enterprises can enhance their operational capabilities and extend their impact. Additionally, social enterprises often benefit from enhanced brand loyalty and trust, as their commitment to social causes resonates with consumers seeking meaningful engagement with brands.</w:t>
      </w:r>
    </w:p>
    <w:p w14:paraId="7D885E40" w14:textId="11ED7CDD" w:rsidR="00FD6F10" w:rsidRPr="00FD6F10" w:rsidRDefault="00FD6F10" w:rsidP="00FD6F10">
      <w:pPr>
        <w:spacing w:line="480" w:lineRule="auto"/>
        <w:jc w:val="both"/>
        <w:rPr>
          <w:rFonts w:ascii="Arial Black" w:hAnsi="Arial Black" w:cs="Arial"/>
        </w:rPr>
      </w:pPr>
      <w:r w:rsidRPr="00FD6F10">
        <w:rPr>
          <w:rFonts w:ascii="Arial Black" w:hAnsi="Arial Black" w:cs="Arial"/>
        </w:rPr>
        <w:lastRenderedPageBreak/>
        <w:t>Weaknesses</w:t>
      </w:r>
    </w:p>
    <w:p w14:paraId="7394B821" w14:textId="77777777" w:rsidR="00FD6F10" w:rsidRPr="00FD6F10" w:rsidRDefault="00FD6F10" w:rsidP="00FD6F10">
      <w:pPr>
        <w:spacing w:line="480" w:lineRule="auto"/>
        <w:jc w:val="both"/>
        <w:rPr>
          <w:rFonts w:ascii="Arial" w:hAnsi="Arial" w:cs="Arial"/>
        </w:rPr>
      </w:pPr>
    </w:p>
    <w:p w14:paraId="2CEFAE01" w14:textId="77777777" w:rsidR="00FD6F10" w:rsidRDefault="00FD6F10" w:rsidP="00FD6F10">
      <w:pPr>
        <w:spacing w:line="480" w:lineRule="auto"/>
        <w:jc w:val="both"/>
        <w:rPr>
          <w:rFonts w:ascii="Arial" w:hAnsi="Arial" w:cs="Arial"/>
        </w:rPr>
      </w:pPr>
      <w:r w:rsidRPr="00FD6F10">
        <w:rPr>
          <w:rFonts w:ascii="Arial" w:hAnsi="Arial" w:cs="Arial"/>
        </w:rPr>
        <w:t xml:space="preserve">Despite their virtues, social enterprises have inherent flaws that might stymie their expansion and sustainability. A fundamental problem is striking a balance between social goals and commercial sustainability. The dual mission can cause resource allocation difficulties, as promoting social aims may sometimes harm profits. Yunus, </w:t>
      </w:r>
      <w:proofErr w:type="spellStart"/>
      <w:r w:rsidRPr="00FD6F10">
        <w:rPr>
          <w:rFonts w:ascii="Arial" w:hAnsi="Arial" w:cs="Arial"/>
        </w:rPr>
        <w:t>Moingeon</w:t>
      </w:r>
      <w:proofErr w:type="spellEnd"/>
      <w:r w:rsidRPr="00FD6F10">
        <w:rPr>
          <w:rFonts w:ascii="Arial" w:hAnsi="Arial" w:cs="Arial"/>
        </w:rPr>
        <w:t>, and Lehmann (2010) highlight this contradiction in their work when they explore the "double bottom line" conundrum that social entrepreneurs face. Managing this balance requires strategic planning and a clear prioritization of objectives, which can be challenging in practice.</w:t>
      </w:r>
    </w:p>
    <w:p w14:paraId="52D1C1DA" w14:textId="77777777" w:rsidR="00FD6F10" w:rsidRDefault="00FD6F10" w:rsidP="00FD6F10">
      <w:pPr>
        <w:spacing w:line="480" w:lineRule="auto"/>
        <w:jc w:val="both"/>
        <w:rPr>
          <w:rFonts w:ascii="Arial" w:hAnsi="Arial" w:cs="Arial"/>
        </w:rPr>
      </w:pPr>
      <w:r w:rsidRPr="00FD6F10">
        <w:rPr>
          <w:rFonts w:ascii="Arial" w:hAnsi="Arial" w:cs="Arial"/>
        </w:rPr>
        <w:t xml:space="preserve">Social enterprises also frequently face capital constraints. Traditional investors may be unwilling to participate in enterprises that prioritize social benefit over financial reward. Although impact investing is gaining popularity, it remains a small business. Grameen Bank, for example, experienced initial </w:t>
      </w:r>
      <w:r w:rsidRPr="00FD6F10">
        <w:rPr>
          <w:rFonts w:ascii="Arial" w:hAnsi="Arial" w:cs="Arial"/>
        </w:rPr>
        <w:t>scepticism</w:t>
      </w:r>
      <w:r w:rsidRPr="00FD6F10">
        <w:rPr>
          <w:rFonts w:ascii="Arial" w:hAnsi="Arial" w:cs="Arial"/>
        </w:rPr>
        <w:t xml:space="preserve"> from mainstream financial institutions despite its achievements in poverty eradication. Access to diverse funding sources, including grants, donations, and socially responsible investment, is crucial for the sustainability of social enterprises, yet securing such funding often demands rigorous reporting and accountability measures.</w:t>
      </w:r>
    </w:p>
    <w:p w14:paraId="7D751154" w14:textId="77777777" w:rsidR="00FD6F10" w:rsidRDefault="00FD6F10" w:rsidP="00FD6F10">
      <w:pPr>
        <w:spacing w:line="480" w:lineRule="auto"/>
        <w:jc w:val="both"/>
        <w:rPr>
          <w:rFonts w:ascii="Arial" w:hAnsi="Arial" w:cs="Arial"/>
        </w:rPr>
      </w:pPr>
      <w:r w:rsidRPr="00FD6F10">
        <w:rPr>
          <w:rFonts w:ascii="Arial" w:hAnsi="Arial" w:cs="Arial"/>
        </w:rPr>
        <w:t xml:space="preserve">Operational inefficiencies are also a significant drawback. Social enterprises may lack the managerial experience and economies of scale that for-profit companies have. This might lead to higher operational costs and a reduced competitive edge. The instance of Social Bite, a UK-based social enterprise that addresses homelessness through café operations, exemplifies the difficulties in expanding operations while preserving quality and social impact. Additionally, limited access to advanced </w:t>
      </w:r>
      <w:r w:rsidRPr="00FD6F10">
        <w:rPr>
          <w:rFonts w:ascii="Arial" w:hAnsi="Arial" w:cs="Arial"/>
        </w:rPr>
        <w:lastRenderedPageBreak/>
        <w:t>technologies and skilled personnel can hinder the ability of social enterprises to optimize their operations and innovate effectively.</w:t>
      </w:r>
    </w:p>
    <w:p w14:paraId="7586DB95" w14:textId="1DE1E0AD" w:rsidR="00FD6F10" w:rsidRPr="00FD6F10" w:rsidRDefault="00FD6F10" w:rsidP="00FD6F10">
      <w:pPr>
        <w:spacing w:line="480" w:lineRule="auto"/>
        <w:jc w:val="both"/>
        <w:rPr>
          <w:rFonts w:ascii="Arial" w:hAnsi="Arial" w:cs="Arial"/>
        </w:rPr>
      </w:pPr>
      <w:r w:rsidRPr="00FD6F10">
        <w:rPr>
          <w:rFonts w:ascii="Arial" w:hAnsi="Arial" w:cs="Arial"/>
        </w:rPr>
        <w:t>Moreover, social enterprises often grapple with measuring and demonstrating their social impact. Unlike traditional businesses that can easily quantify financial performance, the social value created by these organizations is more abstract and multifaceted. This challenge can impede their ability to attract investment and scale their operations, as stakeholders may find it difficult to assess the true extent of their impact.</w:t>
      </w:r>
    </w:p>
    <w:p w14:paraId="51A2CDE7" w14:textId="77777777" w:rsidR="00FD6F10" w:rsidRPr="00FD6F10" w:rsidRDefault="00FD6F10" w:rsidP="00FD6F10">
      <w:pPr>
        <w:spacing w:line="480" w:lineRule="auto"/>
        <w:jc w:val="both"/>
        <w:rPr>
          <w:rFonts w:ascii="Arial" w:hAnsi="Arial" w:cs="Arial"/>
        </w:rPr>
      </w:pPr>
    </w:p>
    <w:p w14:paraId="6DC1EA9C" w14:textId="77777777" w:rsidR="00FD6F10" w:rsidRPr="00FD6F10" w:rsidRDefault="00FD6F10" w:rsidP="00FD6F10">
      <w:pPr>
        <w:spacing w:line="480" w:lineRule="auto"/>
        <w:jc w:val="both"/>
        <w:rPr>
          <w:rFonts w:ascii="Arial Black" w:hAnsi="Arial Black" w:cs="Arial"/>
        </w:rPr>
      </w:pPr>
      <w:r w:rsidRPr="00FD6F10">
        <w:rPr>
          <w:rFonts w:ascii="Arial Black" w:hAnsi="Arial Black" w:cs="Arial"/>
        </w:rPr>
        <w:t>Opportunities</w:t>
      </w:r>
    </w:p>
    <w:p w14:paraId="43525EC1" w14:textId="77777777" w:rsidR="00FD6F10" w:rsidRPr="00FD6F10" w:rsidRDefault="00FD6F10" w:rsidP="00FD6F10">
      <w:pPr>
        <w:spacing w:line="480" w:lineRule="auto"/>
        <w:jc w:val="both"/>
        <w:rPr>
          <w:rFonts w:ascii="Arial" w:hAnsi="Arial" w:cs="Arial"/>
        </w:rPr>
      </w:pPr>
    </w:p>
    <w:p w14:paraId="2A810BCF" w14:textId="77777777" w:rsidR="00FD6F10" w:rsidRDefault="00FD6F10" w:rsidP="00FD6F10">
      <w:pPr>
        <w:spacing w:line="480" w:lineRule="auto"/>
        <w:jc w:val="both"/>
        <w:rPr>
          <w:rFonts w:ascii="Arial" w:hAnsi="Arial" w:cs="Arial"/>
        </w:rPr>
      </w:pPr>
      <w:r w:rsidRPr="00FD6F10">
        <w:rPr>
          <w:rFonts w:ascii="Arial" w:hAnsi="Arial" w:cs="Arial"/>
        </w:rPr>
        <w:t xml:space="preserve">The landscape for social companies is ripe with opportunities, driven by shifting societal ideals and market realities. Consumer awareness and demand for ethically produced items are increasing, presenting considerable opportunities for growth. The emergence of conscious consumerism, in which people prefer things that are consistent with their values, provides an ideal environment for social companies. Patagonia, for example, leverages its commitment to environmental sustainability to build a dedicated consumer base prepared to pay a premium for eco-friendly items. This trend towards ethical consumption </w:t>
      </w:r>
      <w:r w:rsidRPr="00FD6F10">
        <w:rPr>
          <w:rFonts w:ascii="Arial" w:hAnsi="Arial" w:cs="Arial"/>
        </w:rPr>
        <w:t>opens</w:t>
      </w:r>
      <w:r w:rsidRPr="00FD6F10">
        <w:rPr>
          <w:rFonts w:ascii="Arial" w:hAnsi="Arial" w:cs="Arial"/>
        </w:rPr>
        <w:t xml:space="preserve"> new markets and allows social enterprises to differentiate themselves from traditional businesses.</w:t>
      </w:r>
    </w:p>
    <w:p w14:paraId="21326567" w14:textId="77777777" w:rsidR="00FD6F10" w:rsidRDefault="00FD6F10" w:rsidP="00FD6F10">
      <w:pPr>
        <w:spacing w:line="480" w:lineRule="auto"/>
        <w:jc w:val="both"/>
        <w:rPr>
          <w:rFonts w:ascii="Arial" w:hAnsi="Arial" w:cs="Arial"/>
        </w:rPr>
      </w:pPr>
      <w:r w:rsidRPr="00FD6F10">
        <w:rPr>
          <w:rFonts w:ascii="Arial" w:hAnsi="Arial" w:cs="Arial"/>
        </w:rPr>
        <w:t xml:space="preserve">Technological breakthroughs provide revolutionary prospects for social entrepreneurs. Digital platforms allow scalable solutions to social problems, increase transparency, and promote greater stakeholder engagement. The application of blockchain </w:t>
      </w:r>
      <w:r w:rsidRPr="00FD6F10">
        <w:rPr>
          <w:rFonts w:ascii="Arial" w:hAnsi="Arial" w:cs="Arial"/>
        </w:rPr>
        <w:lastRenderedPageBreak/>
        <w:t xml:space="preserve">technology by platforms such as </w:t>
      </w:r>
      <w:proofErr w:type="spellStart"/>
      <w:r w:rsidRPr="00FD6F10">
        <w:rPr>
          <w:rFonts w:ascii="Arial" w:hAnsi="Arial" w:cs="Arial"/>
        </w:rPr>
        <w:t>BitGive</w:t>
      </w:r>
      <w:proofErr w:type="spellEnd"/>
      <w:r w:rsidRPr="00FD6F10">
        <w:rPr>
          <w:rFonts w:ascii="Arial" w:hAnsi="Arial" w:cs="Arial"/>
        </w:rPr>
        <w:t>, a philanthropic organization that uses blockchain to facilitate transparent charity donations, demonstrates how technology may increase social impact. Additionally, advancements in data analytics and artificial intelligence can help social enterprises better understand and address the needs of their target populations, enhancing the effectiveness of their interventions.</w:t>
      </w:r>
    </w:p>
    <w:p w14:paraId="00D68D5A" w14:textId="77777777" w:rsidR="00FD6F10" w:rsidRDefault="00FD6F10" w:rsidP="00FD6F10">
      <w:pPr>
        <w:spacing w:line="480" w:lineRule="auto"/>
        <w:jc w:val="both"/>
        <w:rPr>
          <w:rFonts w:ascii="Arial" w:hAnsi="Arial" w:cs="Arial"/>
        </w:rPr>
      </w:pPr>
      <w:r w:rsidRPr="00FD6F10">
        <w:rPr>
          <w:rFonts w:ascii="Arial" w:hAnsi="Arial" w:cs="Arial"/>
        </w:rPr>
        <w:t xml:space="preserve">Globalization provides another opportunity for social entrepreneurs to broaden their reach and replicate successful models in other environments. The scalability of social innovations allows them to solve a wide range of global concerns, including healthcare and education. For example, </w:t>
      </w:r>
      <w:proofErr w:type="spellStart"/>
      <w:proofErr w:type="gramStart"/>
      <w:r>
        <w:rPr>
          <w:rFonts w:ascii="Arial" w:hAnsi="Arial" w:cs="Arial"/>
        </w:rPr>
        <w:t>D</w:t>
      </w:r>
      <w:r w:rsidRPr="00FD6F10">
        <w:rPr>
          <w:rFonts w:ascii="Arial" w:hAnsi="Arial" w:cs="Arial"/>
        </w:rPr>
        <w:t>.light</w:t>
      </w:r>
      <w:proofErr w:type="spellEnd"/>
      <w:proofErr w:type="gramEnd"/>
      <w:r w:rsidRPr="00FD6F10">
        <w:rPr>
          <w:rFonts w:ascii="Arial" w:hAnsi="Arial" w:cs="Arial"/>
        </w:rPr>
        <w:t>, a social enterprise that provides inexpensive solar lighting solutions in underdeveloped nations, has expanded its operations to numerous continents, illustrating the potential for global influence. By tapping into international markets, social enterprises can amplify their impact and contribute to solving pressing global challenges.</w:t>
      </w:r>
    </w:p>
    <w:p w14:paraId="0BB24E56" w14:textId="77777777" w:rsidR="00FD6F10" w:rsidRDefault="00FD6F10" w:rsidP="00FD6F10">
      <w:pPr>
        <w:spacing w:line="480" w:lineRule="auto"/>
        <w:jc w:val="both"/>
        <w:rPr>
          <w:rFonts w:ascii="Arial" w:hAnsi="Arial" w:cs="Arial"/>
        </w:rPr>
      </w:pPr>
      <w:r w:rsidRPr="00FD6F10">
        <w:rPr>
          <w:rFonts w:ascii="Arial" w:hAnsi="Arial" w:cs="Arial"/>
        </w:rPr>
        <w:t xml:space="preserve">Furthermore, </w:t>
      </w:r>
      <w:r w:rsidRPr="00FD6F10">
        <w:rPr>
          <w:rFonts w:ascii="Arial" w:hAnsi="Arial" w:cs="Arial"/>
        </w:rPr>
        <w:t>favourable</w:t>
      </w:r>
      <w:r w:rsidRPr="00FD6F10">
        <w:rPr>
          <w:rFonts w:ascii="Arial" w:hAnsi="Arial" w:cs="Arial"/>
        </w:rPr>
        <w:t xml:space="preserve"> regulatory conditions and government backing can help social enterprises thrive. Policies that recognize and reward social entrepreneurship, such as tax breaks or grants, can improve their financial viability and operational capabilities. The UK government's Social Enterprise Mark serves as an example of how policy frameworks can certify and encourage social companies. Additionally, partnerships with government agencies can provide social enterprises with access to resources, expertise, and networks that are essential for scaling their operations and enhancing their impact.</w:t>
      </w:r>
    </w:p>
    <w:p w14:paraId="53DAF0E2" w14:textId="48C3D1D7" w:rsidR="00FD6F10" w:rsidRPr="00FD6F10" w:rsidRDefault="00FD6F10" w:rsidP="00FD6F10">
      <w:pPr>
        <w:spacing w:line="480" w:lineRule="auto"/>
        <w:jc w:val="both"/>
        <w:rPr>
          <w:rFonts w:ascii="Arial" w:hAnsi="Arial" w:cs="Arial"/>
        </w:rPr>
      </w:pPr>
      <w:r w:rsidRPr="00FD6F10">
        <w:rPr>
          <w:rFonts w:ascii="Arial" w:hAnsi="Arial" w:cs="Arial"/>
        </w:rPr>
        <w:t xml:space="preserve">Another significant opportunity lies in the growing emphasis on corporate social responsibility (CSR) within the private sector. As more corporations seek to enhance their CSR initiatives, there is potential for strategic partnerships and collaborations </w:t>
      </w:r>
      <w:r w:rsidRPr="00FD6F10">
        <w:rPr>
          <w:rFonts w:ascii="Arial" w:hAnsi="Arial" w:cs="Arial"/>
        </w:rPr>
        <w:lastRenderedPageBreak/>
        <w:t xml:space="preserve">with social enterprises. These alliances can provide social enterprises with additional funding, resources, and market access, while allowing corporations to </w:t>
      </w:r>
      <w:r w:rsidRPr="00FD6F10">
        <w:rPr>
          <w:rFonts w:ascii="Arial" w:hAnsi="Arial" w:cs="Arial"/>
        </w:rPr>
        <w:t>fulfil</w:t>
      </w:r>
      <w:r w:rsidRPr="00FD6F10">
        <w:rPr>
          <w:rFonts w:ascii="Arial" w:hAnsi="Arial" w:cs="Arial"/>
        </w:rPr>
        <w:t xml:space="preserve"> their social commitments through established and effective partners.</w:t>
      </w:r>
    </w:p>
    <w:p w14:paraId="1157F967" w14:textId="77777777" w:rsidR="00FD6F10" w:rsidRPr="00FD6F10" w:rsidRDefault="00FD6F10" w:rsidP="00FD6F10">
      <w:pPr>
        <w:spacing w:line="480" w:lineRule="auto"/>
        <w:jc w:val="both"/>
        <w:rPr>
          <w:rFonts w:ascii="Arial" w:hAnsi="Arial" w:cs="Arial"/>
        </w:rPr>
      </w:pPr>
    </w:p>
    <w:p w14:paraId="77079C16" w14:textId="77777777" w:rsidR="00FD6F10" w:rsidRPr="00FD6F10" w:rsidRDefault="00FD6F10" w:rsidP="00FD6F10">
      <w:pPr>
        <w:spacing w:line="480" w:lineRule="auto"/>
        <w:jc w:val="both"/>
        <w:rPr>
          <w:rFonts w:ascii="Arial Black" w:hAnsi="Arial Black" w:cs="Arial"/>
        </w:rPr>
      </w:pPr>
      <w:r w:rsidRPr="00FD6F10">
        <w:rPr>
          <w:rFonts w:ascii="Arial Black" w:hAnsi="Arial Black" w:cs="Arial"/>
        </w:rPr>
        <w:t>Threats</w:t>
      </w:r>
    </w:p>
    <w:p w14:paraId="79FBF69E" w14:textId="77777777" w:rsidR="00FD6F10" w:rsidRPr="00FD6F10" w:rsidRDefault="00FD6F10" w:rsidP="00FD6F10">
      <w:pPr>
        <w:spacing w:line="480" w:lineRule="auto"/>
        <w:jc w:val="both"/>
        <w:rPr>
          <w:rFonts w:ascii="Arial" w:hAnsi="Arial" w:cs="Arial"/>
        </w:rPr>
      </w:pPr>
    </w:p>
    <w:p w14:paraId="016412A5" w14:textId="77777777" w:rsidR="00FD6F10" w:rsidRDefault="00FD6F10" w:rsidP="00FD6F10">
      <w:pPr>
        <w:spacing w:line="480" w:lineRule="auto"/>
        <w:jc w:val="both"/>
        <w:rPr>
          <w:rFonts w:ascii="Arial" w:hAnsi="Arial" w:cs="Arial"/>
        </w:rPr>
      </w:pPr>
      <w:r w:rsidRPr="00FD6F10">
        <w:rPr>
          <w:rFonts w:ascii="Arial" w:hAnsi="Arial" w:cs="Arial"/>
        </w:rPr>
        <w:t>Social companies operate in a challenging environment plagued with risks to their mission and sustainability. Competitive pressures from both the for-profit and non-profit sectors present substantial risks. Traditional corporations may intrude on the market by adopting socially responsible practices, reducing social entrepreneurs' distinctive value offer. Large firms, such as Unilever, have incorporated sustainability into their business models, attracting customers who would otherwise support smaller social entrepreneurs. This competition can dilute the market share available to social enterprises and make it harder for them to sustain their operations.</w:t>
      </w:r>
    </w:p>
    <w:p w14:paraId="128343F9" w14:textId="4AE65552" w:rsidR="00FD6F10" w:rsidRPr="00FD6F10" w:rsidRDefault="00FD6F10" w:rsidP="00FD6F10">
      <w:pPr>
        <w:spacing w:line="480" w:lineRule="auto"/>
        <w:jc w:val="both"/>
        <w:rPr>
          <w:rFonts w:ascii="Arial" w:hAnsi="Arial" w:cs="Arial"/>
        </w:rPr>
      </w:pPr>
      <w:r w:rsidRPr="00FD6F10">
        <w:rPr>
          <w:rFonts w:ascii="Arial" w:hAnsi="Arial" w:cs="Arial"/>
        </w:rPr>
        <w:t>Economic unpredictability is another significant issue. Donations, grants, and sales revenue are common sources of funding for social enterprises. Economic downturns might limit the availability of these funds, jeopardizing their operations. The 2008 financial crisis, for example, resulted in diminished funding for many social companies, emphasizing their sensitivity to economic changes. Additionally, fluctuations in market demand and consumer spending can directly impact the revenue streams of social enterprises, making financial planning more precarious.</w:t>
      </w:r>
    </w:p>
    <w:p w14:paraId="50D36D11" w14:textId="77777777" w:rsidR="00FD6F10" w:rsidRPr="00FD6F10" w:rsidRDefault="00FD6F10" w:rsidP="00FD6F10">
      <w:pPr>
        <w:spacing w:line="480" w:lineRule="auto"/>
        <w:jc w:val="both"/>
        <w:rPr>
          <w:rFonts w:ascii="Arial" w:hAnsi="Arial" w:cs="Arial"/>
        </w:rPr>
      </w:pPr>
    </w:p>
    <w:p w14:paraId="4630BC33" w14:textId="77777777" w:rsidR="00FD6F10" w:rsidRDefault="00FD6F10" w:rsidP="00FD6F10">
      <w:pPr>
        <w:spacing w:line="480" w:lineRule="auto"/>
        <w:jc w:val="both"/>
        <w:rPr>
          <w:rFonts w:ascii="Arial" w:hAnsi="Arial" w:cs="Arial"/>
        </w:rPr>
      </w:pPr>
      <w:r w:rsidRPr="00FD6F10">
        <w:rPr>
          <w:rFonts w:ascii="Arial" w:hAnsi="Arial" w:cs="Arial"/>
        </w:rPr>
        <w:lastRenderedPageBreak/>
        <w:t>Regulatory problems also pose a threat to social companies, especially in areas where policies are ambiguous or restrictive. Navigating complex regulatory frameworks can be resource-intensive and impede scaling. Legal ambiguity for social enterprises in many nations provides impediments to formal recognition and support, as demonstrated in the early stages of social enterprise development in the United States. Without clear legal structures, social enterprises may struggle to access benefits such as tax incentives, grants, and other forms of government support, limiting their growth potential.</w:t>
      </w:r>
    </w:p>
    <w:p w14:paraId="185651F9" w14:textId="77777777" w:rsidR="00FD6F10" w:rsidRDefault="00FD6F10" w:rsidP="00FD6F10">
      <w:pPr>
        <w:spacing w:line="480" w:lineRule="auto"/>
        <w:jc w:val="both"/>
        <w:rPr>
          <w:rFonts w:ascii="Arial" w:hAnsi="Arial" w:cs="Arial"/>
        </w:rPr>
      </w:pPr>
      <w:r w:rsidRPr="00FD6F10">
        <w:rPr>
          <w:rFonts w:ascii="Arial" w:hAnsi="Arial" w:cs="Arial"/>
        </w:rPr>
        <w:t>Furthermore, assessing social impact remains a chronic difficulty. The lack of standardized measurements can limit social entrepreneurs' capacity to demonstrate their efficacy and seek funding and support. While frameworks such as the Global Reporting Initiative (GRI) provide guidance, the subjective nature of social impact evaluation can result in variances. This problem is seen in the varying impact reports of organizations such as Ashoka, a global network supporting social entrepreneurs, which struggle to measure their numerous efforts consistently. Inconsistent impact measurement can lead to challenges in proving value to stakeholders and securing long-term investment.</w:t>
      </w:r>
    </w:p>
    <w:p w14:paraId="55EBE7A0" w14:textId="59D9EC97" w:rsidR="00FD6F10" w:rsidRPr="00FD6F10" w:rsidRDefault="00FD6F10" w:rsidP="00FD6F10">
      <w:pPr>
        <w:spacing w:line="480" w:lineRule="auto"/>
        <w:jc w:val="both"/>
        <w:rPr>
          <w:rFonts w:ascii="Arial" w:hAnsi="Arial" w:cs="Arial"/>
        </w:rPr>
      </w:pPr>
      <w:r w:rsidRPr="00FD6F10">
        <w:rPr>
          <w:rFonts w:ascii="Arial" w:hAnsi="Arial" w:cs="Arial"/>
        </w:rPr>
        <w:t>Additionally, social enterprises may face reputational risks if they fail to deliver on their social promises or if their business practices are called into question. In an era where transparency and accountability are paramount, any perceived failure to uphold social commitments can result in loss of trust and support from consumers, investors, and partners. Maintaining a strong and credible reputation is essential for the sustainability and growth of social enterprises in a competitive and scrutinizing environment.</w:t>
      </w:r>
    </w:p>
    <w:p w14:paraId="5621BEF7" w14:textId="77777777" w:rsidR="00FD6F10" w:rsidRPr="00FD6F10" w:rsidRDefault="00FD6F10" w:rsidP="00FD6F10">
      <w:pPr>
        <w:spacing w:line="480" w:lineRule="auto"/>
        <w:jc w:val="both"/>
        <w:rPr>
          <w:rFonts w:ascii="Arial" w:hAnsi="Arial" w:cs="Arial"/>
        </w:rPr>
      </w:pPr>
    </w:p>
    <w:p w14:paraId="67A7DB66" w14:textId="77777777" w:rsidR="00FD6F10" w:rsidRDefault="00FD6F10" w:rsidP="00FD6F10">
      <w:pPr>
        <w:spacing w:line="480" w:lineRule="auto"/>
        <w:jc w:val="both"/>
        <w:rPr>
          <w:rFonts w:ascii="Arial Black" w:hAnsi="Arial Black" w:cs="Arial"/>
        </w:rPr>
      </w:pPr>
      <w:r w:rsidRPr="00FD6F10">
        <w:rPr>
          <w:rFonts w:ascii="Arial Black" w:hAnsi="Arial Black" w:cs="Arial"/>
        </w:rPr>
        <w:lastRenderedPageBreak/>
        <w:t>Conclusion</w:t>
      </w:r>
    </w:p>
    <w:p w14:paraId="2FDEECD2" w14:textId="77777777" w:rsidR="00FD6F10" w:rsidRPr="00FD6F10" w:rsidRDefault="00FD6F10" w:rsidP="00FD6F10">
      <w:pPr>
        <w:spacing w:line="480" w:lineRule="auto"/>
        <w:jc w:val="both"/>
        <w:rPr>
          <w:rFonts w:ascii="Arial Black" w:hAnsi="Arial Black" w:cs="Arial"/>
        </w:rPr>
      </w:pPr>
    </w:p>
    <w:p w14:paraId="7723C6AD" w14:textId="78433895" w:rsidR="00FD6F10" w:rsidRDefault="00FD6F10" w:rsidP="00FD6F10">
      <w:pPr>
        <w:spacing w:line="480" w:lineRule="auto"/>
        <w:jc w:val="both"/>
        <w:rPr>
          <w:rFonts w:ascii="Arial" w:hAnsi="Arial" w:cs="Arial"/>
        </w:rPr>
      </w:pPr>
      <w:r w:rsidRPr="00FD6F10">
        <w:rPr>
          <w:rFonts w:ascii="Arial" w:hAnsi="Arial" w:cs="Arial"/>
        </w:rPr>
        <w:t>Social enterprises play a crucial role in balancing social missions with financial expertise, offering both opportunities and challenges. They can leverage opportunities like increased consumerism, technological advancements, globalization, and government support, while also leveraging corporate social responsibility and strategic partnerships. However, they must also navigate challenges like competitive pressures, economic volatility, regulatory obstacles, and challenges in measuring social impact. To capitalize on these opportunities, social enterprises must develop strong strategic frameworks, invest in capacity building, and promote collaborative ecosystems. Building robust networks, leveraging technology, and adopting best practices in impact measurement can enhance operational effectiveness. Fostering relationships with diverse stakeholders can provide necessary resources for sustained growth. By leveraging their strengths and addressing deficiencies, social enterprises can drive significant social change in a complex global landscape.</w:t>
      </w:r>
    </w:p>
    <w:p w14:paraId="62997A58" w14:textId="77777777" w:rsidR="00DA4AB3" w:rsidRDefault="00DA4AB3" w:rsidP="00FD6F10">
      <w:pPr>
        <w:spacing w:line="480" w:lineRule="auto"/>
        <w:jc w:val="both"/>
        <w:rPr>
          <w:rFonts w:ascii="Arial" w:hAnsi="Arial" w:cs="Arial"/>
        </w:rPr>
      </w:pPr>
    </w:p>
    <w:p w14:paraId="119DD975" w14:textId="77777777" w:rsidR="00DA4AB3" w:rsidRDefault="00DA4AB3" w:rsidP="00FD6F10">
      <w:pPr>
        <w:spacing w:line="480" w:lineRule="auto"/>
        <w:jc w:val="both"/>
        <w:rPr>
          <w:rFonts w:ascii="Arial" w:hAnsi="Arial" w:cs="Arial"/>
        </w:rPr>
      </w:pPr>
    </w:p>
    <w:p w14:paraId="3AF6D21C" w14:textId="77777777" w:rsidR="00DA4AB3" w:rsidRDefault="00DA4AB3" w:rsidP="00FD6F10">
      <w:pPr>
        <w:spacing w:line="480" w:lineRule="auto"/>
        <w:jc w:val="both"/>
        <w:rPr>
          <w:rFonts w:ascii="Arial" w:hAnsi="Arial" w:cs="Arial"/>
        </w:rPr>
      </w:pPr>
    </w:p>
    <w:p w14:paraId="29D30EA9" w14:textId="77777777" w:rsidR="00DA4AB3" w:rsidRDefault="00DA4AB3" w:rsidP="00FD6F10">
      <w:pPr>
        <w:spacing w:line="480" w:lineRule="auto"/>
        <w:jc w:val="both"/>
        <w:rPr>
          <w:rFonts w:ascii="Arial" w:hAnsi="Arial" w:cs="Arial"/>
        </w:rPr>
      </w:pPr>
    </w:p>
    <w:p w14:paraId="3BF06F01" w14:textId="77777777" w:rsidR="00DA4AB3" w:rsidRDefault="00DA4AB3" w:rsidP="00FD6F10">
      <w:pPr>
        <w:spacing w:line="480" w:lineRule="auto"/>
        <w:jc w:val="both"/>
        <w:rPr>
          <w:rFonts w:ascii="Arial" w:hAnsi="Arial" w:cs="Arial"/>
        </w:rPr>
      </w:pPr>
    </w:p>
    <w:p w14:paraId="3FFABE64" w14:textId="77777777" w:rsidR="00DA4AB3" w:rsidRDefault="00DA4AB3" w:rsidP="00FD6F10">
      <w:pPr>
        <w:spacing w:line="480" w:lineRule="auto"/>
        <w:jc w:val="both"/>
        <w:rPr>
          <w:rFonts w:ascii="Arial" w:hAnsi="Arial" w:cs="Arial"/>
        </w:rPr>
      </w:pPr>
    </w:p>
    <w:p w14:paraId="305303BA" w14:textId="77777777" w:rsidR="00DA4AB3" w:rsidRDefault="00DA4AB3" w:rsidP="00FD6F10">
      <w:pPr>
        <w:spacing w:line="480" w:lineRule="auto"/>
        <w:jc w:val="both"/>
        <w:rPr>
          <w:rFonts w:ascii="Arial" w:hAnsi="Arial" w:cs="Arial"/>
        </w:rPr>
      </w:pPr>
    </w:p>
    <w:p w14:paraId="7B88A066" w14:textId="5BF7B1FA" w:rsidR="00DA4AB3" w:rsidRPr="00F05AC7" w:rsidRDefault="00DA4AB3" w:rsidP="00FD6F10">
      <w:pPr>
        <w:spacing w:line="480" w:lineRule="auto"/>
        <w:jc w:val="both"/>
        <w:rPr>
          <w:rFonts w:ascii="Arial Black" w:hAnsi="Arial Black" w:cs="Arial"/>
        </w:rPr>
      </w:pPr>
      <w:r w:rsidRPr="00F05AC7">
        <w:rPr>
          <w:rFonts w:ascii="Arial Black" w:hAnsi="Arial Black" w:cs="Arial"/>
        </w:rPr>
        <w:lastRenderedPageBreak/>
        <w:t xml:space="preserve">References </w:t>
      </w:r>
    </w:p>
    <w:p w14:paraId="234C0423" w14:textId="77777777" w:rsidR="00F05AC7" w:rsidRPr="00F05AC7" w:rsidRDefault="00F05AC7" w:rsidP="00F05AC7">
      <w:pPr>
        <w:spacing w:line="480" w:lineRule="auto"/>
        <w:jc w:val="both"/>
        <w:rPr>
          <w:rFonts w:ascii="Arial" w:hAnsi="Arial" w:cs="Arial"/>
        </w:rPr>
      </w:pPr>
      <w:r w:rsidRPr="00F05AC7">
        <w:rPr>
          <w:rFonts w:ascii="Arial" w:hAnsi="Arial" w:cs="Arial"/>
        </w:rPr>
        <w:t xml:space="preserve">Bornstein, D., &amp; Davis, S. (2010). </w:t>
      </w:r>
      <w:r w:rsidRPr="00F05AC7">
        <w:rPr>
          <w:rFonts w:ascii="Arial" w:hAnsi="Arial" w:cs="Arial"/>
          <w:i/>
          <w:iCs/>
        </w:rPr>
        <w:t>Social entrepreneurship: What everyone needs to know.</w:t>
      </w:r>
      <w:r w:rsidRPr="00F05AC7">
        <w:rPr>
          <w:rFonts w:ascii="Arial" w:hAnsi="Arial" w:cs="Arial"/>
        </w:rPr>
        <w:t xml:space="preserve"> Oxford University Press.</w:t>
      </w:r>
    </w:p>
    <w:p w14:paraId="2EC0E949" w14:textId="2B85C7D2" w:rsidR="00F05AC7" w:rsidRDefault="00F05AC7" w:rsidP="00F05AC7">
      <w:pPr>
        <w:spacing w:line="480" w:lineRule="auto"/>
        <w:jc w:val="both"/>
        <w:rPr>
          <w:rFonts w:ascii="Arial" w:hAnsi="Arial" w:cs="Arial"/>
        </w:rPr>
      </w:pPr>
      <w:r w:rsidRPr="00F05AC7">
        <w:rPr>
          <w:rFonts w:ascii="Arial" w:hAnsi="Arial" w:cs="Arial"/>
        </w:rPr>
        <w:t xml:space="preserve">Dacin, P. A., Dacin, M. T., &amp; Matear, M. (2010). Social entrepreneurship: A critique and future directions. </w:t>
      </w:r>
      <w:r w:rsidRPr="00F05AC7">
        <w:rPr>
          <w:rFonts w:ascii="Arial" w:hAnsi="Arial" w:cs="Arial"/>
          <w:i/>
          <w:iCs/>
        </w:rPr>
        <w:t>Organization Science, 21</w:t>
      </w:r>
      <w:r w:rsidRPr="00F05AC7">
        <w:rPr>
          <w:rFonts w:ascii="Arial" w:hAnsi="Arial" w:cs="Arial"/>
        </w:rPr>
        <w:t xml:space="preserve">(2), 636–649. </w:t>
      </w:r>
      <w:hyperlink r:id="rId6" w:history="1">
        <w:r w:rsidRPr="008006A0">
          <w:rPr>
            <w:rStyle w:val="Hyperlink"/>
            <w:rFonts w:ascii="Arial" w:hAnsi="Arial" w:cs="Arial"/>
          </w:rPr>
          <w:t>https://doi.org/10.1287/orsc.1090.0385</w:t>
        </w:r>
      </w:hyperlink>
    </w:p>
    <w:p w14:paraId="7B60B570" w14:textId="33453FF6" w:rsidR="00F05AC7" w:rsidRDefault="00F05AC7" w:rsidP="00F05AC7">
      <w:pPr>
        <w:spacing w:line="480" w:lineRule="auto"/>
        <w:jc w:val="both"/>
        <w:rPr>
          <w:rFonts w:ascii="Arial" w:hAnsi="Arial" w:cs="Arial"/>
        </w:rPr>
      </w:pPr>
      <w:r w:rsidRPr="00F05AC7">
        <w:rPr>
          <w:rFonts w:ascii="Arial" w:hAnsi="Arial" w:cs="Arial"/>
        </w:rPr>
        <w:t xml:space="preserve">Dees, J. G. (1998). </w:t>
      </w:r>
      <w:r w:rsidRPr="00F05AC7">
        <w:rPr>
          <w:rFonts w:ascii="Arial" w:hAnsi="Arial" w:cs="Arial"/>
          <w:i/>
          <w:iCs/>
        </w:rPr>
        <w:t>The meaning of social entrepreneurship</w:t>
      </w:r>
      <w:r w:rsidRPr="00F05AC7">
        <w:rPr>
          <w:rFonts w:ascii="Arial" w:hAnsi="Arial" w:cs="Arial"/>
        </w:rPr>
        <w:t xml:space="preserve">. Retrieved from Kauffman </w:t>
      </w:r>
      <w:r w:rsidRPr="00F05AC7">
        <w:rPr>
          <w:rFonts w:ascii="Arial" w:hAnsi="Arial" w:cs="Arial"/>
        </w:rPr>
        <w:t>Centre</w:t>
      </w:r>
      <w:r w:rsidRPr="00F05AC7">
        <w:rPr>
          <w:rFonts w:ascii="Arial" w:hAnsi="Arial" w:cs="Arial"/>
        </w:rPr>
        <w:t xml:space="preserve"> for Entrepreneurial Leadership website: </w:t>
      </w:r>
      <w:hyperlink r:id="rId7" w:history="1">
        <w:r w:rsidRPr="008006A0">
          <w:rPr>
            <w:rStyle w:val="Hyperlink"/>
            <w:rFonts w:ascii="Arial" w:hAnsi="Arial" w:cs="Arial"/>
          </w:rPr>
          <w:t>https://www.entrepreneurship.org/content.aspx?ContentID=172</w:t>
        </w:r>
      </w:hyperlink>
    </w:p>
    <w:p w14:paraId="78BF9A9B" w14:textId="0813D1B5" w:rsidR="00F05AC7" w:rsidRDefault="00F05AC7" w:rsidP="00F05AC7">
      <w:pPr>
        <w:spacing w:line="480" w:lineRule="auto"/>
        <w:jc w:val="both"/>
        <w:rPr>
          <w:rFonts w:ascii="Arial" w:hAnsi="Arial" w:cs="Arial"/>
        </w:rPr>
      </w:pPr>
      <w:r w:rsidRPr="00F05AC7">
        <w:rPr>
          <w:rFonts w:ascii="Arial" w:hAnsi="Arial" w:cs="Arial"/>
        </w:rPr>
        <w:t xml:space="preserve">Elkington, J. (1998). Partnerships from cannibals with forks: The triple bottom line of 21st-century business. Environmental Quality Management, 8(1), 37–51. </w:t>
      </w:r>
      <w:hyperlink r:id="rId8" w:history="1">
        <w:r w:rsidRPr="008006A0">
          <w:rPr>
            <w:rStyle w:val="Hyperlink"/>
            <w:rFonts w:ascii="Arial" w:hAnsi="Arial" w:cs="Arial"/>
          </w:rPr>
          <w:t>https://doi.org/10.1007/BF02386307</w:t>
        </w:r>
      </w:hyperlink>
    </w:p>
    <w:p w14:paraId="602623B6" w14:textId="011D0C25" w:rsidR="00F05AC7" w:rsidRDefault="00F05AC7" w:rsidP="00F05AC7">
      <w:pPr>
        <w:spacing w:line="480" w:lineRule="auto"/>
        <w:jc w:val="both"/>
        <w:rPr>
          <w:rFonts w:ascii="Arial" w:hAnsi="Arial" w:cs="Arial"/>
        </w:rPr>
      </w:pPr>
      <w:r w:rsidRPr="00F05AC7">
        <w:rPr>
          <w:rFonts w:ascii="Arial" w:hAnsi="Arial" w:cs="Arial"/>
        </w:rPr>
        <w:t xml:space="preserve">Johnson, M. P., &amp; </w:t>
      </w:r>
      <w:proofErr w:type="spellStart"/>
      <w:r w:rsidRPr="00F05AC7">
        <w:rPr>
          <w:rFonts w:ascii="Arial" w:hAnsi="Arial" w:cs="Arial"/>
        </w:rPr>
        <w:t>Schaltegger</w:t>
      </w:r>
      <w:proofErr w:type="spellEnd"/>
      <w:r w:rsidRPr="00F05AC7">
        <w:rPr>
          <w:rFonts w:ascii="Arial" w:hAnsi="Arial" w:cs="Arial"/>
        </w:rPr>
        <w:t xml:space="preserve">, S. (2020). Entrepreneurship for Sustainable Development: A Review and Multilevel Causal Mechanism Framework. </w:t>
      </w:r>
      <w:r w:rsidRPr="00F05AC7">
        <w:rPr>
          <w:rFonts w:ascii="Arial" w:hAnsi="Arial" w:cs="Arial"/>
          <w:i/>
          <w:iCs/>
        </w:rPr>
        <w:t>Entrepreneurship Theory and Practice, 44</w:t>
      </w:r>
      <w:r w:rsidRPr="00F05AC7">
        <w:rPr>
          <w:rFonts w:ascii="Arial" w:hAnsi="Arial" w:cs="Arial"/>
        </w:rPr>
        <w:t xml:space="preserve">(6), 1141-1173. </w:t>
      </w:r>
      <w:hyperlink r:id="rId9" w:history="1">
        <w:r w:rsidRPr="008006A0">
          <w:rPr>
            <w:rStyle w:val="Hyperlink"/>
            <w:rFonts w:ascii="Arial" w:hAnsi="Arial" w:cs="Arial"/>
          </w:rPr>
          <w:t>https://doi.org/10.1177/1042258719885368</w:t>
        </w:r>
      </w:hyperlink>
    </w:p>
    <w:p w14:paraId="7FDF5C94" w14:textId="28D3CB2C" w:rsidR="00F05AC7" w:rsidRPr="00F05AC7" w:rsidRDefault="00F05AC7" w:rsidP="00F05AC7">
      <w:pPr>
        <w:spacing w:line="480" w:lineRule="auto"/>
        <w:jc w:val="both"/>
        <w:rPr>
          <w:rFonts w:ascii="Arial" w:hAnsi="Arial" w:cs="Arial"/>
        </w:rPr>
      </w:pPr>
      <w:r w:rsidRPr="00F05AC7">
        <w:rPr>
          <w:rFonts w:ascii="Arial" w:hAnsi="Arial" w:cs="Arial"/>
        </w:rPr>
        <w:t xml:space="preserve">Porter, M. E., &amp; Kramer, M. R. (2011). Creating shared value. </w:t>
      </w:r>
      <w:r w:rsidRPr="00F05AC7">
        <w:rPr>
          <w:rFonts w:ascii="Arial" w:hAnsi="Arial" w:cs="Arial"/>
          <w:i/>
          <w:iCs/>
        </w:rPr>
        <w:t>Harvard Business Review, 89</w:t>
      </w:r>
      <w:r w:rsidRPr="00F05AC7">
        <w:rPr>
          <w:rFonts w:ascii="Arial" w:hAnsi="Arial" w:cs="Arial"/>
        </w:rPr>
        <w:t>(1-2), 62–77.</w:t>
      </w:r>
    </w:p>
    <w:p w14:paraId="6CEC05F7" w14:textId="1597AB09" w:rsidR="00F05AC7" w:rsidRDefault="00F05AC7" w:rsidP="00F05AC7">
      <w:pPr>
        <w:spacing w:line="480" w:lineRule="auto"/>
        <w:jc w:val="both"/>
        <w:rPr>
          <w:rFonts w:ascii="Arial" w:hAnsi="Arial" w:cs="Arial"/>
        </w:rPr>
      </w:pPr>
      <w:proofErr w:type="spellStart"/>
      <w:r w:rsidRPr="00F05AC7">
        <w:rPr>
          <w:rFonts w:ascii="Arial" w:hAnsi="Arial" w:cs="Arial"/>
        </w:rPr>
        <w:t>Seelos</w:t>
      </w:r>
      <w:proofErr w:type="spellEnd"/>
      <w:r w:rsidRPr="00F05AC7">
        <w:rPr>
          <w:rFonts w:ascii="Arial" w:hAnsi="Arial" w:cs="Arial"/>
        </w:rPr>
        <w:t xml:space="preserve">, C., &amp; Mair, J. (2007). Profitable business models and market creation in the context of deep poverty: A strategic view on social entrepreneurship. </w:t>
      </w:r>
      <w:r w:rsidRPr="00F05AC7">
        <w:rPr>
          <w:rFonts w:ascii="Arial" w:hAnsi="Arial" w:cs="Arial"/>
          <w:i/>
          <w:iCs/>
        </w:rPr>
        <w:t>Journal of Business Venturing, 22</w:t>
      </w:r>
      <w:r w:rsidRPr="00F05AC7">
        <w:rPr>
          <w:rFonts w:ascii="Arial" w:hAnsi="Arial" w:cs="Arial"/>
        </w:rPr>
        <w:t xml:space="preserve">(2), 29–49. </w:t>
      </w:r>
      <w:hyperlink r:id="rId10" w:history="1">
        <w:r w:rsidRPr="008006A0">
          <w:rPr>
            <w:rStyle w:val="Hyperlink"/>
            <w:rFonts w:ascii="Arial" w:hAnsi="Arial" w:cs="Arial"/>
          </w:rPr>
          <w:t>https://doi.org/10.1016/j.jbusvent.2006.01.004</w:t>
        </w:r>
      </w:hyperlink>
    </w:p>
    <w:p w14:paraId="11080091" w14:textId="5879088F" w:rsidR="00F05AC7" w:rsidRDefault="00F05AC7" w:rsidP="00F05AC7">
      <w:pPr>
        <w:spacing w:line="480" w:lineRule="auto"/>
        <w:jc w:val="both"/>
        <w:rPr>
          <w:rFonts w:ascii="Arial" w:hAnsi="Arial" w:cs="Arial"/>
        </w:rPr>
      </w:pPr>
      <w:r w:rsidRPr="00F05AC7">
        <w:rPr>
          <w:rFonts w:ascii="Arial" w:hAnsi="Arial" w:cs="Arial"/>
        </w:rPr>
        <w:lastRenderedPageBreak/>
        <w:t xml:space="preserve">Westley, F., &amp; Antadze, N. (2010). Making a difference: Strategies for scaling social innovation for greater impact. The Innovation Journal: </w:t>
      </w:r>
      <w:r w:rsidRPr="00F05AC7">
        <w:rPr>
          <w:rFonts w:ascii="Arial" w:hAnsi="Arial" w:cs="Arial"/>
          <w:i/>
          <w:iCs/>
        </w:rPr>
        <w:t>The Public Sector Innovation</w:t>
      </w:r>
      <w:r w:rsidRPr="00F05AC7">
        <w:rPr>
          <w:rFonts w:ascii="Arial" w:hAnsi="Arial" w:cs="Arial"/>
        </w:rPr>
        <w:t xml:space="preserve"> </w:t>
      </w:r>
      <w:r w:rsidRPr="00F05AC7">
        <w:rPr>
          <w:rFonts w:ascii="Arial" w:hAnsi="Arial" w:cs="Arial"/>
          <w:i/>
          <w:iCs/>
        </w:rPr>
        <w:t>Journal, 15</w:t>
      </w:r>
      <w:r w:rsidRPr="00F05AC7">
        <w:rPr>
          <w:rFonts w:ascii="Arial" w:hAnsi="Arial" w:cs="Arial"/>
        </w:rPr>
        <w:t xml:space="preserve">(2). Retrieved from </w:t>
      </w:r>
      <w:hyperlink r:id="rId11" w:history="1">
        <w:r w:rsidRPr="008006A0">
          <w:rPr>
            <w:rStyle w:val="Hyperlink"/>
            <w:rFonts w:ascii="Arial" w:hAnsi="Arial" w:cs="Arial"/>
          </w:rPr>
          <w:t>http://www.innovation.cc/</w:t>
        </w:r>
      </w:hyperlink>
    </w:p>
    <w:p w14:paraId="5305AFCE" w14:textId="76F59F95" w:rsidR="00F05AC7" w:rsidRDefault="00F05AC7" w:rsidP="00F05AC7">
      <w:pPr>
        <w:spacing w:line="480" w:lineRule="auto"/>
        <w:jc w:val="both"/>
        <w:rPr>
          <w:rFonts w:ascii="Arial" w:hAnsi="Arial" w:cs="Arial"/>
        </w:rPr>
      </w:pPr>
      <w:r w:rsidRPr="00F05AC7">
        <w:rPr>
          <w:rFonts w:ascii="Arial" w:hAnsi="Arial" w:cs="Arial"/>
        </w:rPr>
        <w:t xml:space="preserve">Yunus, M., </w:t>
      </w:r>
      <w:proofErr w:type="spellStart"/>
      <w:r w:rsidRPr="00F05AC7">
        <w:rPr>
          <w:rFonts w:ascii="Arial" w:hAnsi="Arial" w:cs="Arial"/>
        </w:rPr>
        <w:t>Moingeon</w:t>
      </w:r>
      <w:proofErr w:type="spellEnd"/>
      <w:r w:rsidRPr="00F05AC7">
        <w:rPr>
          <w:rFonts w:ascii="Arial" w:hAnsi="Arial" w:cs="Arial"/>
        </w:rPr>
        <w:t xml:space="preserve">, B., &amp; Lehmann, F. (2010). Building social business models: Lessons from the Grameen experience. </w:t>
      </w:r>
      <w:r w:rsidRPr="00F05AC7">
        <w:rPr>
          <w:rFonts w:ascii="Arial" w:hAnsi="Arial" w:cs="Arial"/>
          <w:i/>
          <w:iCs/>
        </w:rPr>
        <w:t>Long Range Planning, 43</w:t>
      </w:r>
      <w:r w:rsidRPr="00F05AC7">
        <w:rPr>
          <w:rFonts w:ascii="Arial" w:hAnsi="Arial" w:cs="Arial"/>
        </w:rPr>
        <w:t xml:space="preserve">(2-3), 308–325. </w:t>
      </w:r>
      <w:hyperlink r:id="rId12" w:history="1">
        <w:r w:rsidRPr="008006A0">
          <w:rPr>
            <w:rStyle w:val="Hyperlink"/>
            <w:rFonts w:ascii="Arial" w:hAnsi="Arial" w:cs="Arial"/>
          </w:rPr>
          <w:t>https://doi.org/10.1016/j.lrp.2009.07.012</w:t>
        </w:r>
      </w:hyperlink>
    </w:p>
    <w:p w14:paraId="19E6A65E" w14:textId="1F852C6A" w:rsidR="00DA4AB3" w:rsidRPr="00FD6F10" w:rsidRDefault="00F05AC7" w:rsidP="00F05AC7">
      <w:pPr>
        <w:spacing w:line="480" w:lineRule="auto"/>
        <w:jc w:val="both"/>
        <w:rPr>
          <w:rFonts w:ascii="Arial" w:hAnsi="Arial" w:cs="Arial"/>
        </w:rPr>
      </w:pPr>
      <w:r w:rsidRPr="00F05AC7">
        <w:rPr>
          <w:rFonts w:ascii="Arial" w:hAnsi="Arial" w:cs="Arial"/>
        </w:rPr>
        <w:t xml:space="preserve">Nicholls, A. (2006). </w:t>
      </w:r>
      <w:r w:rsidRPr="00F05AC7">
        <w:rPr>
          <w:rFonts w:ascii="Arial" w:hAnsi="Arial" w:cs="Arial"/>
          <w:i/>
          <w:iCs/>
        </w:rPr>
        <w:t>Social entrepreneurship: New models of sustainable social change.</w:t>
      </w:r>
      <w:r w:rsidRPr="00F05AC7">
        <w:rPr>
          <w:rFonts w:ascii="Arial" w:hAnsi="Arial" w:cs="Arial"/>
        </w:rPr>
        <w:t xml:space="preserve"> Oxford University Press.</w:t>
      </w:r>
    </w:p>
    <w:sectPr w:rsidR="00DA4AB3" w:rsidRPr="00FD6F10" w:rsidSect="00DA4AB3">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5AE733" w14:textId="77777777" w:rsidR="00B74B4C" w:rsidRDefault="00B74B4C" w:rsidP="00F05AC7">
      <w:pPr>
        <w:spacing w:after="0" w:line="240" w:lineRule="auto"/>
      </w:pPr>
      <w:r>
        <w:separator/>
      </w:r>
    </w:p>
  </w:endnote>
  <w:endnote w:type="continuationSeparator" w:id="0">
    <w:p w14:paraId="414E0DCC" w14:textId="77777777" w:rsidR="00B74B4C" w:rsidRDefault="00B74B4C" w:rsidP="00F0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E03C66" w14:textId="77777777" w:rsidR="00B74B4C" w:rsidRDefault="00B74B4C" w:rsidP="00F05AC7">
      <w:pPr>
        <w:spacing w:after="0" w:line="240" w:lineRule="auto"/>
      </w:pPr>
      <w:r>
        <w:separator/>
      </w:r>
    </w:p>
  </w:footnote>
  <w:footnote w:type="continuationSeparator" w:id="0">
    <w:p w14:paraId="3A4FF30B" w14:textId="77777777" w:rsidR="00B74B4C" w:rsidRDefault="00B74B4C" w:rsidP="00F05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454449"/>
      <w:docPartObj>
        <w:docPartGallery w:val="Page Numbers (Top of Page)"/>
        <w:docPartUnique/>
      </w:docPartObj>
    </w:sdtPr>
    <w:sdtEndPr>
      <w:rPr>
        <w:noProof/>
      </w:rPr>
    </w:sdtEndPr>
    <w:sdtContent>
      <w:p w14:paraId="7C58E3D8" w14:textId="55DFCEAE" w:rsidR="00F05AC7" w:rsidRDefault="00F05AC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B3ED8AD" w14:textId="77777777" w:rsidR="00F05AC7" w:rsidRDefault="00F05A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F10"/>
    <w:rsid w:val="00930CF1"/>
    <w:rsid w:val="00B74B4C"/>
    <w:rsid w:val="00DA4AB3"/>
    <w:rsid w:val="00F05AC7"/>
    <w:rsid w:val="00F40A72"/>
    <w:rsid w:val="00FD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990F9"/>
  <w15:chartTrackingRefBased/>
  <w15:docId w15:val="{94BB4DA4-F993-4C91-9F1C-4CDF60D43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6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6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F10"/>
    <w:rPr>
      <w:rFonts w:eastAsiaTheme="majorEastAsia" w:cstheme="majorBidi"/>
      <w:color w:val="272727" w:themeColor="text1" w:themeTint="D8"/>
    </w:rPr>
  </w:style>
  <w:style w:type="paragraph" w:styleId="Title">
    <w:name w:val="Title"/>
    <w:basedOn w:val="Normal"/>
    <w:next w:val="Normal"/>
    <w:link w:val="TitleChar"/>
    <w:uiPriority w:val="10"/>
    <w:qFormat/>
    <w:rsid w:val="00FD6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F10"/>
    <w:pPr>
      <w:spacing w:before="160"/>
      <w:jc w:val="center"/>
    </w:pPr>
    <w:rPr>
      <w:i/>
      <w:iCs/>
      <w:color w:val="404040" w:themeColor="text1" w:themeTint="BF"/>
    </w:rPr>
  </w:style>
  <w:style w:type="character" w:customStyle="1" w:styleId="QuoteChar">
    <w:name w:val="Quote Char"/>
    <w:basedOn w:val="DefaultParagraphFont"/>
    <w:link w:val="Quote"/>
    <w:uiPriority w:val="29"/>
    <w:rsid w:val="00FD6F10"/>
    <w:rPr>
      <w:i/>
      <w:iCs/>
      <w:color w:val="404040" w:themeColor="text1" w:themeTint="BF"/>
    </w:rPr>
  </w:style>
  <w:style w:type="paragraph" w:styleId="ListParagraph">
    <w:name w:val="List Paragraph"/>
    <w:basedOn w:val="Normal"/>
    <w:uiPriority w:val="34"/>
    <w:qFormat/>
    <w:rsid w:val="00FD6F10"/>
    <w:pPr>
      <w:ind w:left="720"/>
      <w:contextualSpacing/>
    </w:pPr>
  </w:style>
  <w:style w:type="character" w:styleId="IntenseEmphasis">
    <w:name w:val="Intense Emphasis"/>
    <w:basedOn w:val="DefaultParagraphFont"/>
    <w:uiPriority w:val="21"/>
    <w:qFormat/>
    <w:rsid w:val="00FD6F10"/>
    <w:rPr>
      <w:i/>
      <w:iCs/>
      <w:color w:val="0F4761" w:themeColor="accent1" w:themeShade="BF"/>
    </w:rPr>
  </w:style>
  <w:style w:type="paragraph" w:styleId="IntenseQuote">
    <w:name w:val="Intense Quote"/>
    <w:basedOn w:val="Normal"/>
    <w:next w:val="Normal"/>
    <w:link w:val="IntenseQuoteChar"/>
    <w:uiPriority w:val="30"/>
    <w:qFormat/>
    <w:rsid w:val="00FD6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F10"/>
    <w:rPr>
      <w:i/>
      <w:iCs/>
      <w:color w:val="0F4761" w:themeColor="accent1" w:themeShade="BF"/>
    </w:rPr>
  </w:style>
  <w:style w:type="character" w:styleId="IntenseReference">
    <w:name w:val="Intense Reference"/>
    <w:basedOn w:val="DefaultParagraphFont"/>
    <w:uiPriority w:val="32"/>
    <w:qFormat/>
    <w:rsid w:val="00FD6F10"/>
    <w:rPr>
      <w:b/>
      <w:bCs/>
      <w:smallCaps/>
      <w:color w:val="0F4761" w:themeColor="accent1" w:themeShade="BF"/>
      <w:spacing w:val="5"/>
    </w:rPr>
  </w:style>
  <w:style w:type="paragraph" w:styleId="NoSpacing">
    <w:name w:val="No Spacing"/>
    <w:link w:val="NoSpacingChar"/>
    <w:uiPriority w:val="1"/>
    <w:qFormat/>
    <w:rsid w:val="00DA4AB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A4AB3"/>
    <w:rPr>
      <w:rFonts w:eastAsiaTheme="minorEastAsia"/>
      <w:kern w:val="0"/>
      <w:sz w:val="22"/>
      <w:szCs w:val="22"/>
      <w:lang w:val="en-US"/>
      <w14:ligatures w14:val="none"/>
    </w:rPr>
  </w:style>
  <w:style w:type="character" w:styleId="Hyperlink">
    <w:name w:val="Hyperlink"/>
    <w:basedOn w:val="DefaultParagraphFont"/>
    <w:uiPriority w:val="99"/>
    <w:unhideWhenUsed/>
    <w:rsid w:val="00F05AC7"/>
    <w:rPr>
      <w:color w:val="467886" w:themeColor="hyperlink"/>
      <w:u w:val="single"/>
    </w:rPr>
  </w:style>
  <w:style w:type="character" w:styleId="UnresolvedMention">
    <w:name w:val="Unresolved Mention"/>
    <w:basedOn w:val="DefaultParagraphFont"/>
    <w:uiPriority w:val="99"/>
    <w:semiHidden/>
    <w:unhideWhenUsed/>
    <w:rsid w:val="00F05AC7"/>
    <w:rPr>
      <w:color w:val="605E5C"/>
      <w:shd w:val="clear" w:color="auto" w:fill="E1DFDD"/>
    </w:rPr>
  </w:style>
  <w:style w:type="paragraph" w:styleId="Header">
    <w:name w:val="header"/>
    <w:basedOn w:val="Normal"/>
    <w:link w:val="HeaderChar"/>
    <w:uiPriority w:val="99"/>
    <w:unhideWhenUsed/>
    <w:rsid w:val="00F05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AC7"/>
  </w:style>
  <w:style w:type="paragraph" w:styleId="Footer">
    <w:name w:val="footer"/>
    <w:basedOn w:val="Normal"/>
    <w:link w:val="FooterChar"/>
    <w:uiPriority w:val="99"/>
    <w:unhideWhenUsed/>
    <w:rsid w:val="00F0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BF02386307"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ntrepreneurship.org/content.aspx?ContentID=172" TargetMode="External"/><Relationship Id="rId12" Type="http://schemas.openxmlformats.org/officeDocument/2006/relationships/hyperlink" Target="https://doi.org/10.1016/j.lrp.2009.07.01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287/orsc.1090.0385" TargetMode="External"/><Relationship Id="rId11" Type="http://schemas.openxmlformats.org/officeDocument/2006/relationships/hyperlink" Target="http://www.innovation.cc/"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016/j.jbusvent.2006.01.004" TargetMode="External"/><Relationship Id="rId4" Type="http://schemas.openxmlformats.org/officeDocument/2006/relationships/footnotes" Target="footnotes.xml"/><Relationship Id="rId9" Type="http://schemas.openxmlformats.org/officeDocument/2006/relationships/hyperlink" Target="https://doi.org/10.1177/104225871988536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11</Pages>
  <Words>2127</Words>
  <Characters>12126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Fanica Raducan (2328354)</Company>
  <LinksUpToDate>false</LinksUpToDate>
  <CharactersWithSpaces>14225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Opportunities and Threats to Social Enterprise</dc:title>
  <dc:subject/>
  <dc:creator>Mirabela Voican (1907947)</dc:creator>
  <cp:keywords/>
  <dc:description/>
  <cp:lastModifiedBy>Mirabela Voican (1907947)</cp:lastModifiedBy>
  <cp:revision>1</cp:revision>
  <dcterms:created xsi:type="dcterms:W3CDTF">2024-11-02T18:33:00Z</dcterms:created>
  <dcterms:modified xsi:type="dcterms:W3CDTF">2024-11-02T19:34:00Z</dcterms:modified>
  <cp:category>Social Enterprise Management</cp:category>
</cp:coreProperties>
</file>