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281FE" w14:textId="77777777" w:rsidR="00833BD6" w:rsidRPr="00821A4E" w:rsidRDefault="00833BD6" w:rsidP="00833BD6">
      <w:pPr>
        <w:spacing w:line="600" w:lineRule="auto"/>
        <w:jc w:val="center"/>
        <w:rPr>
          <w:rFonts w:ascii="Arial" w:hAnsi="Arial" w:cs="Arial"/>
          <w:b/>
          <w:bCs/>
          <w:sz w:val="40"/>
          <w:szCs w:val="40"/>
        </w:rPr>
      </w:pPr>
      <w:r w:rsidRPr="00821A4E">
        <w:rPr>
          <w:rFonts w:ascii="Arial" w:hAnsi="Arial" w:cs="Arial"/>
          <w:b/>
          <w:bCs/>
          <w:sz w:val="40"/>
          <w:szCs w:val="40"/>
        </w:rPr>
        <w:t>Module Title:</w:t>
      </w:r>
      <w:r w:rsidRPr="00F23CA5">
        <w:rPr>
          <w:rFonts w:ascii="Arial" w:hAnsi="Arial" w:cs="Arial"/>
          <w:b/>
          <w:bCs/>
          <w:sz w:val="40"/>
          <w:szCs w:val="40"/>
        </w:rPr>
        <w:t xml:space="preserve"> Introduction to Health and Social Care</w:t>
      </w:r>
      <w:r w:rsidRPr="00821A4E">
        <w:rPr>
          <w:rFonts w:ascii="Arial" w:hAnsi="Arial" w:cs="Arial"/>
          <w:b/>
          <w:bCs/>
          <w:sz w:val="40"/>
          <w:szCs w:val="40"/>
        </w:rPr>
        <w:t xml:space="preserve"> </w:t>
      </w:r>
      <w:r w:rsidRPr="00F23CA5">
        <w:rPr>
          <w:rFonts w:ascii="Arial" w:hAnsi="Arial" w:cs="Arial"/>
          <w:b/>
          <w:bCs/>
          <w:sz w:val="40"/>
          <w:szCs w:val="40"/>
        </w:rPr>
        <w:t>Module</w:t>
      </w:r>
      <w:r w:rsidRPr="00821A4E">
        <w:rPr>
          <w:rFonts w:ascii="Arial" w:hAnsi="Arial" w:cs="Arial"/>
          <w:b/>
          <w:bCs/>
          <w:sz w:val="40"/>
          <w:szCs w:val="40"/>
        </w:rPr>
        <w:t xml:space="preserve"> Code</w:t>
      </w:r>
      <w:r w:rsidRPr="00F23CA5">
        <w:rPr>
          <w:rFonts w:ascii="Arial" w:hAnsi="Arial" w:cs="Arial"/>
          <w:b/>
          <w:bCs/>
          <w:sz w:val="40"/>
          <w:szCs w:val="40"/>
        </w:rPr>
        <w:t>: LCHS4003</w:t>
      </w:r>
    </w:p>
    <w:p w14:paraId="6301A697" w14:textId="77777777" w:rsidR="00833BD6" w:rsidRPr="00F23CA5" w:rsidRDefault="00833BD6" w:rsidP="00833BD6">
      <w:pPr>
        <w:spacing w:line="600" w:lineRule="auto"/>
        <w:jc w:val="center"/>
        <w:rPr>
          <w:rFonts w:ascii="Arial" w:hAnsi="Arial" w:cs="Arial"/>
          <w:b/>
          <w:bCs/>
          <w:sz w:val="40"/>
          <w:szCs w:val="40"/>
        </w:rPr>
      </w:pPr>
      <w:r w:rsidRPr="00F23CA5">
        <w:rPr>
          <w:rFonts w:ascii="Arial" w:hAnsi="Arial" w:cs="Arial"/>
          <w:b/>
          <w:bCs/>
          <w:sz w:val="40"/>
          <w:szCs w:val="40"/>
        </w:rPr>
        <w:t xml:space="preserve">Assignment Title: </w:t>
      </w:r>
      <w:r w:rsidRPr="00821A4E">
        <w:rPr>
          <w:rFonts w:ascii="Arial" w:hAnsi="Arial" w:cs="Arial"/>
          <w:b/>
          <w:bCs/>
          <w:sz w:val="40"/>
          <w:szCs w:val="40"/>
        </w:rPr>
        <w:t>Written Assignment</w:t>
      </w:r>
      <w:r w:rsidRPr="00F23CA5">
        <w:rPr>
          <w:rFonts w:ascii="Arial" w:hAnsi="Arial" w:cs="Arial"/>
          <w:b/>
          <w:bCs/>
          <w:sz w:val="40"/>
          <w:szCs w:val="40"/>
        </w:rPr>
        <w:br/>
        <w:t xml:space="preserve">Student Name: </w:t>
      </w:r>
      <w:r w:rsidRPr="00821A4E">
        <w:rPr>
          <w:rFonts w:ascii="Arial" w:hAnsi="Arial" w:cs="Arial"/>
          <w:b/>
          <w:bCs/>
          <w:sz w:val="40"/>
          <w:szCs w:val="40"/>
        </w:rPr>
        <w:t xml:space="preserve">Romeenah Akhtar </w:t>
      </w:r>
      <w:r w:rsidRPr="00F23CA5">
        <w:rPr>
          <w:rFonts w:ascii="Arial" w:hAnsi="Arial" w:cs="Arial"/>
          <w:b/>
          <w:bCs/>
          <w:sz w:val="40"/>
          <w:szCs w:val="40"/>
        </w:rPr>
        <w:br/>
        <w:t xml:space="preserve">Student Number: </w:t>
      </w:r>
      <w:r w:rsidRPr="00821A4E">
        <w:rPr>
          <w:rFonts w:ascii="Arial" w:hAnsi="Arial" w:cs="Arial"/>
          <w:b/>
          <w:bCs/>
          <w:sz w:val="40"/>
          <w:szCs w:val="40"/>
        </w:rPr>
        <w:t>243375</w:t>
      </w:r>
      <w:r w:rsidRPr="00F23CA5">
        <w:rPr>
          <w:rFonts w:ascii="Arial" w:hAnsi="Arial" w:cs="Arial"/>
          <w:b/>
          <w:bCs/>
          <w:sz w:val="40"/>
          <w:szCs w:val="40"/>
        </w:rPr>
        <w:br/>
        <w:t>Lecturer</w:t>
      </w:r>
      <w:r w:rsidRPr="00821A4E">
        <w:rPr>
          <w:rFonts w:ascii="Arial" w:hAnsi="Arial" w:cs="Arial"/>
          <w:b/>
          <w:bCs/>
          <w:sz w:val="40"/>
          <w:szCs w:val="40"/>
        </w:rPr>
        <w:t>’s Name</w:t>
      </w:r>
      <w:r w:rsidRPr="00F23CA5">
        <w:rPr>
          <w:rFonts w:ascii="Arial" w:hAnsi="Arial" w:cs="Arial"/>
          <w:b/>
          <w:bCs/>
          <w:sz w:val="40"/>
          <w:szCs w:val="40"/>
        </w:rPr>
        <w:t xml:space="preserve">: </w:t>
      </w:r>
      <w:r w:rsidRPr="00821A4E">
        <w:rPr>
          <w:rFonts w:ascii="Arial" w:hAnsi="Arial" w:cs="Arial"/>
          <w:b/>
          <w:bCs/>
          <w:sz w:val="40"/>
          <w:szCs w:val="40"/>
        </w:rPr>
        <w:t>Mumtaz Begum</w:t>
      </w:r>
      <w:r w:rsidRPr="00F23CA5">
        <w:rPr>
          <w:rFonts w:ascii="Arial" w:hAnsi="Arial" w:cs="Arial"/>
          <w:b/>
          <w:bCs/>
          <w:sz w:val="40"/>
          <w:szCs w:val="40"/>
        </w:rPr>
        <w:br/>
        <w:t xml:space="preserve">Submission Date: </w:t>
      </w:r>
      <w:r w:rsidRPr="00821A4E">
        <w:rPr>
          <w:rFonts w:ascii="Arial" w:hAnsi="Arial" w:cs="Arial"/>
          <w:b/>
          <w:bCs/>
          <w:sz w:val="40"/>
          <w:szCs w:val="40"/>
        </w:rPr>
        <w:t>21</w:t>
      </w:r>
      <w:r w:rsidRPr="00821A4E">
        <w:rPr>
          <w:rFonts w:ascii="Arial" w:hAnsi="Arial" w:cs="Arial"/>
          <w:b/>
          <w:bCs/>
          <w:sz w:val="40"/>
          <w:szCs w:val="40"/>
          <w:vertAlign w:val="superscript"/>
        </w:rPr>
        <w:t>st</w:t>
      </w:r>
      <w:r w:rsidRPr="00821A4E">
        <w:rPr>
          <w:rFonts w:ascii="Arial" w:hAnsi="Arial" w:cs="Arial"/>
          <w:b/>
          <w:bCs/>
          <w:sz w:val="40"/>
          <w:szCs w:val="40"/>
        </w:rPr>
        <w:t xml:space="preserve"> November 2025</w:t>
      </w:r>
    </w:p>
    <w:p w14:paraId="5160ED55" w14:textId="77777777" w:rsidR="00833BD6" w:rsidRPr="00821A4E" w:rsidRDefault="00833BD6" w:rsidP="00833BD6">
      <w:pPr>
        <w:rPr>
          <w:sz w:val="40"/>
          <w:szCs w:val="40"/>
        </w:rPr>
      </w:pPr>
    </w:p>
    <w:p w14:paraId="0E7DC719" w14:textId="77777777" w:rsidR="00833BD6" w:rsidRPr="00821A4E" w:rsidRDefault="00833BD6" w:rsidP="00833BD6">
      <w:pPr>
        <w:rPr>
          <w:sz w:val="40"/>
          <w:szCs w:val="40"/>
        </w:rPr>
      </w:pPr>
    </w:p>
    <w:p w14:paraId="0A4BCF2B" w14:textId="77777777" w:rsidR="00833BD6" w:rsidRDefault="00833BD6" w:rsidP="00833BD6"/>
    <w:p w14:paraId="19576A3B" w14:textId="77777777" w:rsidR="00833BD6" w:rsidRDefault="00833BD6" w:rsidP="00833BD6"/>
    <w:p w14:paraId="49932975" w14:textId="77777777" w:rsidR="00833BD6" w:rsidRDefault="00833BD6" w:rsidP="00833BD6"/>
    <w:p w14:paraId="2DAA470B" w14:textId="77777777" w:rsidR="00833BD6" w:rsidRDefault="00833BD6" w:rsidP="00833BD6"/>
    <w:p w14:paraId="78744D28" w14:textId="77777777" w:rsidR="00833BD6" w:rsidRDefault="00833BD6" w:rsidP="00833BD6"/>
    <w:p w14:paraId="20C0E168" w14:textId="77777777" w:rsidR="00833BD6" w:rsidRDefault="00833BD6" w:rsidP="00833BD6"/>
    <w:p w14:paraId="22941F96" w14:textId="77777777" w:rsidR="00833BD6" w:rsidRDefault="00833BD6" w:rsidP="00833BD6"/>
    <w:p w14:paraId="52E1FFBD" w14:textId="77777777" w:rsidR="00833BD6" w:rsidRDefault="00833BD6" w:rsidP="00833BD6"/>
    <w:p w14:paraId="431CCF6D" w14:textId="77777777" w:rsidR="00833BD6" w:rsidRPr="00821A4E" w:rsidRDefault="00833BD6" w:rsidP="00833BD6">
      <w:pPr>
        <w:rPr>
          <w:rFonts w:ascii="Arial" w:hAnsi="Arial" w:cs="Arial"/>
          <w:sz w:val="28"/>
          <w:szCs w:val="28"/>
        </w:rPr>
      </w:pPr>
    </w:p>
    <w:p w14:paraId="434E534D" w14:textId="77777777" w:rsidR="00833BD6" w:rsidRPr="00821A4E" w:rsidRDefault="00833BD6" w:rsidP="00833BD6">
      <w:pPr>
        <w:rPr>
          <w:rFonts w:ascii="Arial" w:hAnsi="Arial" w:cs="Arial"/>
          <w:sz w:val="28"/>
          <w:szCs w:val="28"/>
        </w:rPr>
      </w:pPr>
    </w:p>
    <w:p w14:paraId="2EDE8E7C" w14:textId="77777777" w:rsidR="00833BD6" w:rsidRPr="00821A4E" w:rsidRDefault="00833BD6" w:rsidP="00833BD6">
      <w:pPr>
        <w:rPr>
          <w:rFonts w:ascii="Arial" w:hAnsi="Arial" w:cs="Arial"/>
          <w:b/>
          <w:bCs/>
          <w:sz w:val="28"/>
          <w:szCs w:val="28"/>
          <w:u w:val="single"/>
        </w:rPr>
      </w:pPr>
      <w:r w:rsidRPr="00821A4E">
        <w:rPr>
          <w:rFonts w:ascii="Arial" w:hAnsi="Arial" w:cs="Arial"/>
          <w:b/>
          <w:bCs/>
          <w:sz w:val="28"/>
          <w:szCs w:val="28"/>
          <w:u w:val="single"/>
        </w:rPr>
        <w:t xml:space="preserve">Contents </w:t>
      </w:r>
    </w:p>
    <w:p w14:paraId="2B0CF8E6" w14:textId="77777777" w:rsidR="00833BD6" w:rsidRPr="00821A4E" w:rsidRDefault="00833BD6" w:rsidP="00833BD6">
      <w:pPr>
        <w:rPr>
          <w:rFonts w:ascii="Arial" w:hAnsi="Arial" w:cs="Arial"/>
          <w:b/>
          <w:bCs/>
          <w:sz w:val="28"/>
          <w:szCs w:val="28"/>
          <w:u w:val="single"/>
        </w:rPr>
      </w:pPr>
    </w:p>
    <w:p w14:paraId="2BB55ED5" w14:textId="77777777" w:rsidR="00833BD6" w:rsidRPr="00821A4E" w:rsidRDefault="00833BD6" w:rsidP="00833BD6">
      <w:pPr>
        <w:pStyle w:val="ListParagraph"/>
        <w:numPr>
          <w:ilvl w:val="0"/>
          <w:numId w:val="1"/>
        </w:numPr>
        <w:spacing w:line="720" w:lineRule="auto"/>
        <w:rPr>
          <w:rFonts w:ascii="Arial" w:hAnsi="Arial" w:cs="Arial"/>
          <w:sz w:val="28"/>
          <w:szCs w:val="28"/>
        </w:rPr>
      </w:pPr>
      <w:r w:rsidRPr="00821A4E">
        <w:rPr>
          <w:rFonts w:ascii="Arial" w:hAnsi="Arial" w:cs="Arial"/>
          <w:sz w:val="28"/>
          <w:szCs w:val="28"/>
        </w:rPr>
        <w:t>Introduction</w:t>
      </w:r>
    </w:p>
    <w:p w14:paraId="6803CB99" w14:textId="77777777" w:rsidR="00833BD6" w:rsidRPr="00821A4E" w:rsidRDefault="00833BD6" w:rsidP="00833BD6">
      <w:pPr>
        <w:pStyle w:val="ListParagraph"/>
        <w:numPr>
          <w:ilvl w:val="0"/>
          <w:numId w:val="1"/>
        </w:numPr>
        <w:spacing w:line="720" w:lineRule="auto"/>
        <w:rPr>
          <w:rFonts w:ascii="Arial" w:hAnsi="Arial" w:cs="Arial"/>
          <w:sz w:val="28"/>
          <w:szCs w:val="28"/>
        </w:rPr>
      </w:pPr>
      <w:r w:rsidRPr="00821A4E">
        <w:rPr>
          <w:rFonts w:ascii="Arial" w:hAnsi="Arial" w:cs="Arial"/>
          <w:sz w:val="28"/>
          <w:szCs w:val="28"/>
        </w:rPr>
        <w:t>Section 1: Effective Communication</w:t>
      </w:r>
    </w:p>
    <w:p w14:paraId="74A68B97" w14:textId="77777777" w:rsidR="00833BD6" w:rsidRPr="00821A4E" w:rsidRDefault="00833BD6" w:rsidP="00833BD6">
      <w:pPr>
        <w:pStyle w:val="ListParagraph"/>
        <w:numPr>
          <w:ilvl w:val="0"/>
          <w:numId w:val="1"/>
        </w:numPr>
        <w:spacing w:line="720" w:lineRule="auto"/>
        <w:rPr>
          <w:rFonts w:ascii="Arial" w:hAnsi="Arial" w:cs="Arial"/>
          <w:sz w:val="28"/>
          <w:szCs w:val="28"/>
        </w:rPr>
      </w:pPr>
      <w:r w:rsidRPr="00821A4E">
        <w:rPr>
          <w:rFonts w:ascii="Arial" w:hAnsi="Arial" w:cs="Arial"/>
          <w:sz w:val="28"/>
          <w:szCs w:val="28"/>
        </w:rPr>
        <w:t>Section 2: administration skills &amp; record keeping</w:t>
      </w:r>
    </w:p>
    <w:p w14:paraId="344605FC" w14:textId="77777777" w:rsidR="00833BD6" w:rsidRPr="00821A4E" w:rsidRDefault="00833BD6" w:rsidP="00833BD6">
      <w:pPr>
        <w:pStyle w:val="ListParagraph"/>
        <w:numPr>
          <w:ilvl w:val="0"/>
          <w:numId w:val="1"/>
        </w:numPr>
        <w:spacing w:line="720" w:lineRule="auto"/>
        <w:rPr>
          <w:rFonts w:ascii="Arial" w:hAnsi="Arial" w:cs="Arial"/>
          <w:sz w:val="28"/>
          <w:szCs w:val="28"/>
        </w:rPr>
      </w:pPr>
      <w:r w:rsidRPr="00821A4E">
        <w:rPr>
          <w:rFonts w:ascii="Arial" w:hAnsi="Arial" w:cs="Arial"/>
          <w:sz w:val="28"/>
          <w:szCs w:val="28"/>
        </w:rPr>
        <w:t>section 3: collaborative working</w:t>
      </w:r>
    </w:p>
    <w:p w14:paraId="7D605E33" w14:textId="77777777" w:rsidR="00833BD6" w:rsidRPr="00821A4E" w:rsidRDefault="00833BD6" w:rsidP="00833BD6">
      <w:pPr>
        <w:pStyle w:val="ListParagraph"/>
        <w:numPr>
          <w:ilvl w:val="0"/>
          <w:numId w:val="1"/>
        </w:numPr>
        <w:spacing w:line="720" w:lineRule="auto"/>
        <w:rPr>
          <w:rFonts w:ascii="Arial" w:hAnsi="Arial" w:cs="Arial"/>
          <w:sz w:val="28"/>
          <w:szCs w:val="28"/>
        </w:rPr>
      </w:pPr>
      <w:r w:rsidRPr="00821A4E">
        <w:rPr>
          <w:rFonts w:ascii="Arial" w:hAnsi="Arial" w:cs="Arial"/>
          <w:sz w:val="28"/>
          <w:szCs w:val="28"/>
        </w:rPr>
        <w:t>conclusion</w:t>
      </w:r>
    </w:p>
    <w:p w14:paraId="750AB991" w14:textId="77777777" w:rsidR="00833BD6" w:rsidRPr="00821A4E" w:rsidRDefault="00833BD6" w:rsidP="00833BD6">
      <w:pPr>
        <w:pStyle w:val="ListParagraph"/>
        <w:numPr>
          <w:ilvl w:val="0"/>
          <w:numId w:val="1"/>
        </w:numPr>
        <w:spacing w:line="720" w:lineRule="auto"/>
        <w:rPr>
          <w:rFonts w:ascii="Arial" w:hAnsi="Arial" w:cs="Arial"/>
          <w:sz w:val="28"/>
          <w:szCs w:val="28"/>
        </w:rPr>
      </w:pPr>
      <w:r w:rsidRPr="00821A4E">
        <w:rPr>
          <w:rFonts w:ascii="Arial" w:hAnsi="Arial" w:cs="Arial"/>
          <w:sz w:val="28"/>
          <w:szCs w:val="28"/>
        </w:rPr>
        <w:t xml:space="preserve">references </w:t>
      </w:r>
    </w:p>
    <w:p w14:paraId="558BD836" w14:textId="77777777" w:rsidR="00AC67D9" w:rsidRDefault="00AC67D9">
      <w:pPr>
        <w:rPr>
          <w:rFonts w:ascii="Times New Roman" w:eastAsia="Times New Roman" w:hAnsi="Times New Roman" w:cs="Times New Roman"/>
          <w:b/>
          <w:bCs/>
          <w:kern w:val="36"/>
          <w:sz w:val="48"/>
          <w:szCs w:val="48"/>
          <w:lang w:eastAsia="en-GB"/>
          <w14:ligatures w14:val="none"/>
        </w:rPr>
      </w:pPr>
    </w:p>
    <w:p w14:paraId="4D2C2605"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0110C0D7"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228E391E"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2E5516F7"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7FCC79B0"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27385788"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2D852D0C"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604899E0" w14:textId="77777777" w:rsidR="004F6423" w:rsidRDefault="004F6423" w:rsidP="000E6E00">
      <w:pPr>
        <w:spacing w:before="100" w:beforeAutospacing="1" w:after="100" w:afterAutospacing="1" w:line="360" w:lineRule="auto"/>
        <w:rPr>
          <w:rFonts w:ascii="Arial" w:eastAsia="Times New Roman" w:hAnsi="Arial" w:cs="Arial"/>
          <w:b/>
          <w:bCs/>
          <w:kern w:val="0"/>
          <w:u w:val="single"/>
          <w:lang w:eastAsia="en-GB"/>
          <w14:ligatures w14:val="none"/>
        </w:rPr>
      </w:pPr>
    </w:p>
    <w:p w14:paraId="35D7025E" w14:textId="78F814F3" w:rsidR="000E6E00" w:rsidRPr="000E6E00" w:rsidRDefault="000E6E00" w:rsidP="000E6E00">
      <w:pPr>
        <w:spacing w:before="100" w:beforeAutospacing="1" w:after="100" w:afterAutospacing="1" w:line="360" w:lineRule="auto"/>
        <w:rPr>
          <w:rFonts w:ascii="Arial" w:eastAsia="Times New Roman" w:hAnsi="Arial" w:cs="Arial"/>
          <w:kern w:val="0"/>
          <w:u w:val="single"/>
          <w:lang w:eastAsia="en-GB"/>
          <w14:ligatures w14:val="none"/>
        </w:rPr>
      </w:pPr>
      <w:r w:rsidRPr="000E6E00">
        <w:rPr>
          <w:rFonts w:ascii="Arial" w:eastAsia="Times New Roman" w:hAnsi="Arial" w:cs="Arial"/>
          <w:b/>
          <w:bCs/>
          <w:kern w:val="0"/>
          <w:u w:val="single"/>
          <w:lang w:eastAsia="en-GB"/>
          <w14:ligatures w14:val="none"/>
        </w:rPr>
        <w:t>Introduction</w:t>
      </w:r>
    </w:p>
    <w:p w14:paraId="1482A771"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lastRenderedPageBreak/>
        <w:t>Mrs Mann is a 72-year-old woman who has recently returned home following hip replacement surgery. She lives independently but receives home care twice daily to support her personal care and mobility needs. English is her second language, with Urdu being her first, and her daughter regularly assists with translation during care activities. Her care involves collaboration between a home care agency, her GP, and a community physiotherapist. A recent lapse in communication and documentation resulted in a delayed adjustment to her medication, highlighting vulnerabilities within her care management.</w:t>
      </w:r>
    </w:p>
    <w:p w14:paraId="735E64FA" w14:textId="331443E6"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 xml:space="preserve">This report examines three key areas of her care: effective communication, record keeping, and multi-professional collaboration. By combining structured communication models, professional standards, and legal frameworks, this assessment aims to provide practical recommendations for improving the quality, safety, and person-centred nature of Mrs Mann’s care. </w:t>
      </w:r>
    </w:p>
    <w:p w14:paraId="58EC8EB9" w14:textId="77777777" w:rsidR="000E6E00" w:rsidRPr="000E6E00" w:rsidRDefault="000E6E00" w:rsidP="000E6E00">
      <w:pPr>
        <w:spacing w:before="100" w:beforeAutospacing="1" w:after="100" w:afterAutospacing="1" w:line="360" w:lineRule="auto"/>
        <w:rPr>
          <w:rFonts w:ascii="Arial" w:eastAsia="Times New Roman" w:hAnsi="Arial" w:cs="Arial"/>
          <w:kern w:val="0"/>
          <w:u w:val="single"/>
          <w:lang w:eastAsia="en-GB"/>
          <w14:ligatures w14:val="none"/>
        </w:rPr>
      </w:pPr>
      <w:r w:rsidRPr="000E6E00">
        <w:rPr>
          <w:rFonts w:ascii="Arial" w:eastAsia="Times New Roman" w:hAnsi="Arial" w:cs="Arial"/>
          <w:b/>
          <w:bCs/>
          <w:kern w:val="0"/>
          <w:u w:val="single"/>
          <w:lang w:eastAsia="en-GB"/>
          <w14:ligatures w14:val="none"/>
        </w:rPr>
        <w:t>Section 1: Effective Communication</w:t>
      </w:r>
    </w:p>
    <w:p w14:paraId="062C2694" w14:textId="3886042C"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Effective communication is critical in providing safe and person-centred care, especially when language differences exist. For Mrs Mann, the limited ability in English requires the use of clear, concise, and culturally appropriate communication strategies (Gulam, Week 6). Berlo’s SMCR model provides a systematic framework to guide interactions.</w:t>
      </w:r>
    </w:p>
    <w:p w14:paraId="66D0A74C" w14:textId="216C2A1F"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As the “source,” carers should use plain language, short sentences, and a calm, respectful tone. The “message” should be structured to focus on single ideas at a time, with repetition, as necessary. The “channel” can include visual aids, demonstrations, gestures, and non-verbal cues to support understanding. The “receiver,” Mrs Mann, benefits from having adequate time to process information, with her daughter available to provide clarification when needed (Berlo, 1960).</w:t>
      </w:r>
    </w:p>
    <w:p w14:paraId="6DAEFCE7"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Non-verbal communication plays a crucial role in reducing anxiety and establishing trust. Maintaining appropriate eye contact, using culturally sensitive gestures, and demonstrating tasks slowly can help carers assess comprehension without relying solely on verbal explanation. Recording Mrs Mann’s communication preferences in her care plan ensures consistency and continuity across her care team (Gulam, Week 6).</w:t>
      </w:r>
    </w:p>
    <w:p w14:paraId="6D291224"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 xml:space="preserve">Legal obligations support these practices. The Equality Act 2010 requires reasonable adjustments for service users with protected characteristics, such as language needs (Government of the United Kingdom, 2010). The Accessible Information Standard also </w:t>
      </w:r>
      <w:r w:rsidRPr="000E6E00">
        <w:rPr>
          <w:rFonts w:ascii="Arial" w:eastAsia="Times New Roman" w:hAnsi="Arial" w:cs="Arial"/>
          <w:kern w:val="0"/>
          <w:lang w:eastAsia="en-GB"/>
          <w14:ligatures w14:val="none"/>
        </w:rPr>
        <w:lastRenderedPageBreak/>
        <w:t>mandates that healthcare providers identify communication needs and provide information in accessible formats (CQC, 2024).</w:t>
      </w:r>
    </w:p>
    <w:p w14:paraId="5BA9E264" w14:textId="497FBCF1"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Monitoring feedback from both Mrs Mann and her daughter allows carers to adapt communication strategies over time. Combining verbal explanations with demonstrations for mobility exercises, followed by a brief recap, improves understanding. Training in active listening and cultural expertise further improves the effectiveness of interactions (Müller et al., 2018). Clear written documentation, free of unclear abbreviations, is also an essential component of effective communication.</w:t>
      </w:r>
      <w:r w:rsidRPr="000E6E00">
        <w:t xml:space="preserve"> </w:t>
      </w:r>
      <w:r w:rsidRPr="000E6E00">
        <w:rPr>
          <w:rFonts w:ascii="Arial" w:hAnsi="Arial" w:cs="Arial"/>
        </w:rPr>
        <w:t>In addition to verbal and non-verbal strategies, using teach-back techniques allows carers to confirm understanding by asking Mrs Mann to repeat instructions in her own words. This method reduces misunderstandings and empowers her to take an active role in her care. Encouraging carers to document preferred communication methods and reviewing these preferences regularly promotes stability across shifts.</w:t>
      </w:r>
    </w:p>
    <w:p w14:paraId="1B554F16" w14:textId="77777777" w:rsidR="000E6E00" w:rsidRPr="000E6E00" w:rsidRDefault="000E6E00" w:rsidP="000E6E00">
      <w:pPr>
        <w:spacing w:before="100" w:beforeAutospacing="1" w:after="100" w:afterAutospacing="1" w:line="360" w:lineRule="auto"/>
        <w:rPr>
          <w:rFonts w:ascii="Arial" w:eastAsia="Times New Roman" w:hAnsi="Arial" w:cs="Arial"/>
          <w:kern w:val="0"/>
          <w:u w:val="single"/>
          <w:lang w:eastAsia="en-GB"/>
          <w14:ligatures w14:val="none"/>
        </w:rPr>
      </w:pPr>
      <w:r w:rsidRPr="000E6E00">
        <w:rPr>
          <w:rFonts w:ascii="Arial" w:eastAsia="Times New Roman" w:hAnsi="Arial" w:cs="Arial"/>
          <w:b/>
          <w:bCs/>
          <w:kern w:val="0"/>
          <w:u w:val="single"/>
          <w:lang w:eastAsia="en-GB"/>
          <w14:ligatures w14:val="none"/>
        </w:rPr>
        <w:t>Section 2: Administrative Skills &amp; Record Keeping</w:t>
      </w:r>
    </w:p>
    <w:p w14:paraId="32C7AF06" w14:textId="08301ECC"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Accurate and comprehensive record keeping is essential for patient safety, responsibility, and continuity of care. For Mrs Mann, records should include mobility progress, personal care assistance, medication administration, pain assessments, and behavioural observations. These documents allow carers and healthcare professionals to identify changes in her condition and respond promptly.</w:t>
      </w:r>
    </w:p>
    <w:p w14:paraId="31923D37"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The Data Protection Act 2018 and GDPR require that sensitive personal data be collected and managed securely, accurately, and only shared with authorised individuals (Legislation.gov.uk, 2018). Digital record systems offer benefits such as secure cloud storage, real-time updates, and audit trails. For instance, electronic care plans allow multiple professionals to access and update records simultaneously, reducing errors from fragmented paper-based documentation (Gulam, Week 7).</w:t>
      </w:r>
    </w:p>
    <w:p w14:paraId="52433E1F" w14:textId="64D0F10C"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Incident reporting is vital for risk management. Structured reports should be completed right away after events such as falls, missed medications, or sudden pain episodes. Reviewing these reports regularly enables patterns to be identified and preventive strategies implemented (Nguyen, 2021).</w:t>
      </w:r>
    </w:p>
    <w:p w14:paraId="78B30E9D"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 xml:space="preserve">Applying the Caldicott Principles ensures that only necessary information is shared, and that Mrs Mann is informed about how her data is used (National Data Guardian, 2020). Maintaining logs of who accesses her records and for what purpose strengthens </w:t>
      </w:r>
      <w:r w:rsidRPr="000E6E00">
        <w:rPr>
          <w:rFonts w:ascii="Arial" w:eastAsia="Times New Roman" w:hAnsi="Arial" w:cs="Arial"/>
          <w:kern w:val="0"/>
          <w:lang w:eastAsia="en-GB"/>
          <w14:ligatures w14:val="none"/>
        </w:rPr>
        <w:lastRenderedPageBreak/>
        <w:t>accountability (ICO, 2023). Regular audits of records help organisations monitor compliance with legal and professional standards and identify training needs.</w:t>
      </w:r>
    </w:p>
    <w:p w14:paraId="023315F1" w14:textId="3455B30B" w:rsid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Digital tools also support communication with Mrs Mann and her family. For example, shared electronic logs can inform her daughter of medication changes or adjustments to mobility exercises, ensuring alignment across formal and informal carers. Properly maintained records underpin safe clinical decision-making, facilitate risk management, and support high-quality care delivery.</w:t>
      </w:r>
      <w:r w:rsidRPr="000E6E00">
        <w:t xml:space="preserve"> </w:t>
      </w:r>
      <w:r w:rsidRPr="000E6E00">
        <w:rPr>
          <w:rFonts w:ascii="Arial" w:hAnsi="Arial" w:cs="Arial"/>
        </w:rPr>
        <w:t>Moreover, integrating risk assessments and care audits into record-keeping provides an initiative-taking approach to safety. Regular review of these documents can identify trends, enabling preventative measures for falls, medication errors, or pressure injuries. Structured handover notes during shift changes further strengthen accountability and reduce errors caused by miscommunication.</w:t>
      </w:r>
    </w:p>
    <w:p w14:paraId="1CF54EBC" w14:textId="410544F4" w:rsidR="000E6E00" w:rsidRPr="000E6E00" w:rsidRDefault="000E6E00" w:rsidP="000E6E00">
      <w:pPr>
        <w:spacing w:before="100" w:beforeAutospacing="1" w:after="100" w:afterAutospacing="1" w:line="360" w:lineRule="auto"/>
        <w:rPr>
          <w:rFonts w:ascii="Arial" w:eastAsia="Times New Roman" w:hAnsi="Arial" w:cs="Arial"/>
          <w:kern w:val="0"/>
          <w:u w:val="single"/>
          <w:lang w:eastAsia="en-GB"/>
          <w14:ligatures w14:val="none"/>
        </w:rPr>
      </w:pPr>
      <w:r w:rsidRPr="000E6E00">
        <w:rPr>
          <w:rFonts w:ascii="Arial" w:eastAsia="Times New Roman" w:hAnsi="Arial" w:cs="Arial"/>
          <w:b/>
          <w:bCs/>
          <w:kern w:val="0"/>
          <w:u w:val="single"/>
          <w:lang w:eastAsia="en-GB"/>
          <w14:ligatures w14:val="none"/>
        </w:rPr>
        <w:t>Section 3: Collaborative Working</w:t>
      </w:r>
    </w:p>
    <w:p w14:paraId="09DA30AE"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Collaboration among carers, healthcare professionals, and family members is essential for effective rehabilitation. Coordinated working ensures that Mrs Mann’s mobility support, medication management, and daily living needs are addressed efficiently. Shared care plans provide a framework outlining responsibilities, intervention goals, and timelines, which are reviewed regularly to remain responsive to her evolving needs (Gulam, Week 7).</w:t>
      </w:r>
    </w:p>
    <w:p w14:paraId="128A4766"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Structured tools such as SBAR (Situation, Background, Assessment, Recommendation) standardise communication between professionals and reduce the risk of errors (Velji et al., 2008; Alruwaily, 2021). For example, a physiotherapist reporting new mobility challenges can communicate the issue clearly and concisely to carers or her GP using SBAR.</w:t>
      </w:r>
    </w:p>
    <w:p w14:paraId="5DE1D2C5" w14:textId="1CA631D9"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 xml:space="preserve">Collaboration challenges can include </w:t>
      </w:r>
      <w:r w:rsidR="007D5747" w:rsidRPr="000E6E00">
        <w:rPr>
          <w:rFonts w:ascii="Arial" w:eastAsia="Times New Roman" w:hAnsi="Arial" w:cs="Arial"/>
          <w:kern w:val="0"/>
          <w:lang w:eastAsia="en-GB"/>
          <w14:ligatures w14:val="none"/>
        </w:rPr>
        <w:t>differing</w:t>
      </w:r>
      <w:r w:rsidRPr="000E6E00">
        <w:rPr>
          <w:rFonts w:ascii="Arial" w:eastAsia="Times New Roman" w:hAnsi="Arial" w:cs="Arial"/>
          <w:kern w:val="0"/>
          <w:lang w:eastAsia="en-GB"/>
          <w14:ligatures w14:val="none"/>
        </w:rPr>
        <w:t xml:space="preserve"> working hours, </w:t>
      </w:r>
      <w:r w:rsidR="007D5747" w:rsidRPr="000E6E00">
        <w:rPr>
          <w:rFonts w:ascii="Arial" w:eastAsia="Times New Roman" w:hAnsi="Arial" w:cs="Arial"/>
          <w:kern w:val="0"/>
          <w:lang w:eastAsia="en-GB"/>
          <w14:ligatures w14:val="none"/>
        </w:rPr>
        <w:t>inconsistent</w:t>
      </w:r>
      <w:r w:rsidRPr="000E6E00">
        <w:rPr>
          <w:rFonts w:ascii="Arial" w:eastAsia="Times New Roman" w:hAnsi="Arial" w:cs="Arial"/>
          <w:kern w:val="0"/>
          <w:lang w:eastAsia="en-GB"/>
          <w14:ligatures w14:val="none"/>
        </w:rPr>
        <w:t xml:space="preserve"> priorities, or unclear role boundaries. Digital care platforms and routine team meetings help overcome these barriers by promoting consistent information sharing, clarifying responsibilities, and fostering accountability (Shahid &amp; Thomas, 2018).</w:t>
      </w:r>
    </w:p>
    <w:p w14:paraId="6023AA41" w14:textId="2844718E"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Family involvement strengthens the care process. Mrs Mann’s daughter provides translation, shares insights into her mother’s preferences, and observes subtle changes in behaviour. Involving family members in goal setting promotes trust and ensures care aligns with the patient’s values.</w:t>
      </w:r>
      <w:r w:rsidR="007D5747">
        <w:rPr>
          <w:rFonts w:ascii="Arial" w:eastAsia="Times New Roman" w:hAnsi="Arial" w:cs="Arial"/>
          <w:kern w:val="0"/>
          <w:lang w:eastAsia="en-GB"/>
          <w14:ligatures w14:val="none"/>
        </w:rPr>
        <w:t xml:space="preserve"> </w:t>
      </w:r>
      <w:r w:rsidRPr="000E6E00">
        <w:rPr>
          <w:rFonts w:ascii="Arial" w:eastAsia="Times New Roman" w:hAnsi="Arial" w:cs="Arial"/>
          <w:kern w:val="0"/>
          <w:lang w:eastAsia="en-GB"/>
          <w14:ligatures w14:val="none"/>
        </w:rPr>
        <w:t>Coordinated planning also supports initiative-taking risk management. Sharing information about medication interactions, mobility limitations, and potential triggers for falls or confusion allows the care team to prioritise interventions, respond quickly to changes, and maintain safety.</w:t>
      </w:r>
    </w:p>
    <w:p w14:paraId="742E1E13" w14:textId="77777777" w:rsidR="000E6E00" w:rsidRPr="000E6E00" w:rsidRDefault="000E6E00" w:rsidP="000E6E00">
      <w:pPr>
        <w:spacing w:before="100" w:beforeAutospacing="1" w:after="100" w:afterAutospacing="1" w:line="360" w:lineRule="auto"/>
        <w:rPr>
          <w:rFonts w:ascii="Arial" w:eastAsia="Times New Roman" w:hAnsi="Arial" w:cs="Arial"/>
          <w:kern w:val="0"/>
          <w:u w:val="single"/>
          <w:lang w:eastAsia="en-GB"/>
          <w14:ligatures w14:val="none"/>
        </w:rPr>
      </w:pPr>
      <w:r w:rsidRPr="000E6E00">
        <w:rPr>
          <w:rFonts w:ascii="Arial" w:eastAsia="Times New Roman" w:hAnsi="Arial" w:cs="Arial"/>
          <w:b/>
          <w:bCs/>
          <w:kern w:val="0"/>
          <w:u w:val="single"/>
          <w:lang w:eastAsia="en-GB"/>
          <w14:ligatures w14:val="none"/>
        </w:rPr>
        <w:lastRenderedPageBreak/>
        <w:t>Conclusion</w:t>
      </w:r>
    </w:p>
    <w:p w14:paraId="2844C1E1" w14:textId="15C35604"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 xml:space="preserve">Mrs Mann’s case </w:t>
      </w:r>
      <w:r w:rsidR="007D5747" w:rsidRPr="000E6E00">
        <w:rPr>
          <w:rFonts w:ascii="Arial" w:eastAsia="Times New Roman" w:hAnsi="Arial" w:cs="Arial"/>
          <w:kern w:val="0"/>
          <w:lang w:eastAsia="en-GB"/>
          <w14:ligatures w14:val="none"/>
        </w:rPr>
        <w:t>demonstrates</w:t>
      </w:r>
      <w:r w:rsidRPr="000E6E00">
        <w:rPr>
          <w:rFonts w:ascii="Arial" w:eastAsia="Times New Roman" w:hAnsi="Arial" w:cs="Arial"/>
          <w:kern w:val="0"/>
          <w:lang w:eastAsia="en-GB"/>
          <w14:ligatures w14:val="none"/>
        </w:rPr>
        <w:t xml:space="preserve"> the </w:t>
      </w:r>
      <w:r w:rsidR="007D5747" w:rsidRPr="000E6E00">
        <w:rPr>
          <w:rFonts w:ascii="Arial" w:eastAsia="Times New Roman" w:hAnsi="Arial" w:cs="Arial"/>
          <w:kern w:val="0"/>
          <w:lang w:eastAsia="en-GB"/>
          <w14:ligatures w14:val="none"/>
        </w:rPr>
        <w:t>connection</w:t>
      </w:r>
      <w:r w:rsidRPr="000E6E00">
        <w:rPr>
          <w:rFonts w:ascii="Arial" w:eastAsia="Times New Roman" w:hAnsi="Arial" w:cs="Arial"/>
          <w:kern w:val="0"/>
          <w:lang w:eastAsia="en-GB"/>
          <w14:ligatures w14:val="none"/>
        </w:rPr>
        <w:t xml:space="preserve"> of communication, record keeping, and collaborative working in delivering safe, person-centred care. Berlo’s SMCR model enhances clarity and understanding, while legal frameworks such as the Data Protection Act 2018 and the Caldicott Principles safeguard personal data. Maintaining accurate records ensures continuity, accountability, and effective decision-making. Collaborative working, underpinned by SBAR, shared care plans, and family engagement, aligns all stakeholders toward shared rehabilitation goals.</w:t>
      </w:r>
    </w:p>
    <w:p w14:paraId="70CE9BB1" w14:textId="77777777" w:rsidR="000E6E00" w:rsidRPr="000E6E00" w:rsidRDefault="000E6E00" w:rsidP="000E6E00">
      <w:pPr>
        <w:spacing w:before="100" w:beforeAutospacing="1" w:after="100" w:afterAutospacing="1" w:line="360" w:lineRule="auto"/>
        <w:rPr>
          <w:rFonts w:ascii="Arial" w:eastAsia="Times New Roman" w:hAnsi="Arial" w:cs="Arial"/>
          <w:kern w:val="0"/>
          <w:lang w:eastAsia="en-GB"/>
          <w14:ligatures w14:val="none"/>
        </w:rPr>
      </w:pPr>
      <w:r w:rsidRPr="000E6E00">
        <w:rPr>
          <w:rFonts w:ascii="Arial" w:eastAsia="Times New Roman" w:hAnsi="Arial" w:cs="Arial"/>
          <w:kern w:val="0"/>
          <w:lang w:eastAsia="en-GB"/>
          <w14:ligatures w14:val="none"/>
        </w:rPr>
        <w:t>Integrating structured communication, robust record-keeping, and multi-professional collaboration allows the care team to provide safe, dignified, and effective support tailored to Mrs Mann’s specific needs. Continuous professional reflection, ongoing training, and adherence to legal standards ensure that care remains responsive, respectful, and high-quality.</w:t>
      </w:r>
    </w:p>
    <w:p w14:paraId="161AA6C8" w14:textId="102DC3C3" w:rsidR="000E6E00" w:rsidRPr="007D5747" w:rsidRDefault="007D5747" w:rsidP="000E6E00">
      <w:pPr>
        <w:spacing w:before="100" w:beforeAutospacing="1" w:after="100" w:afterAutospacing="1" w:line="360" w:lineRule="auto"/>
        <w:rPr>
          <w:rFonts w:ascii="Arial" w:eastAsia="Times New Roman" w:hAnsi="Arial" w:cs="Arial"/>
          <w:b/>
          <w:bCs/>
          <w:kern w:val="0"/>
          <w:u w:val="single"/>
          <w:lang w:eastAsia="en-GB"/>
          <w14:ligatures w14:val="none"/>
        </w:rPr>
      </w:pPr>
      <w:r w:rsidRPr="007D5747">
        <w:rPr>
          <w:rFonts w:ascii="Arial" w:eastAsia="Times New Roman" w:hAnsi="Arial" w:cs="Arial"/>
          <w:b/>
          <w:bCs/>
          <w:kern w:val="0"/>
          <w:u w:val="single"/>
          <w:lang w:eastAsia="en-GB"/>
          <w14:ligatures w14:val="none"/>
        </w:rPr>
        <w:t>R</w:t>
      </w:r>
      <w:r w:rsidR="000E6E00" w:rsidRPr="007D5747">
        <w:rPr>
          <w:rFonts w:ascii="Arial" w:eastAsia="Times New Roman" w:hAnsi="Arial" w:cs="Arial"/>
          <w:b/>
          <w:bCs/>
          <w:kern w:val="0"/>
          <w:u w:val="single"/>
          <w:lang w:eastAsia="en-GB"/>
          <w14:ligatures w14:val="none"/>
        </w:rPr>
        <w:t>eferences List</w:t>
      </w:r>
    </w:p>
    <w:p w14:paraId="3E5D2B4B" w14:textId="538B6580"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Alruwaily, A. K. K. (2021) ‘The effectiveness of the situation, background, assessment and recommendation (SBAR) framework in improving patient safety outcomes in the nursing context’, </w:t>
      </w:r>
      <w:r w:rsidRPr="000E6E00">
        <w:rPr>
          <w:rStyle w:val="Emphasis"/>
          <w:rFonts w:ascii="Arial" w:eastAsiaTheme="majorEastAsia" w:hAnsi="Arial" w:cs="Arial"/>
          <w:sz w:val="22"/>
          <w:szCs w:val="22"/>
        </w:rPr>
        <w:t>Diversity &amp; Equality in Health and Care</w:t>
      </w:r>
      <w:r w:rsidRPr="000E6E00">
        <w:rPr>
          <w:rFonts w:ascii="Arial" w:hAnsi="Arial" w:cs="Arial"/>
          <w:sz w:val="22"/>
          <w:szCs w:val="22"/>
        </w:rPr>
        <w:t xml:space="preserve">, 18(9). Available at: </w:t>
      </w:r>
      <w:hyperlink r:id="rId5" w:history="1">
        <w:r w:rsidRPr="000E6E00">
          <w:rPr>
            <w:rStyle w:val="Hyperlink"/>
            <w:rFonts w:ascii="Arial" w:eastAsiaTheme="majorEastAsia" w:hAnsi="Arial" w:cs="Arial"/>
            <w:color w:val="auto"/>
            <w:sz w:val="22"/>
            <w:szCs w:val="22"/>
            <w:u w:val="none"/>
          </w:rPr>
          <w:t>The Effectiveness of the Situation, Background, Assessment and Re</w:t>
        </w:r>
      </w:hyperlink>
    </w:p>
    <w:p w14:paraId="17529FD6" w14:textId="77777777"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Berlo, D. K. (1960) </w:t>
      </w:r>
      <w:r w:rsidRPr="000E6E00">
        <w:rPr>
          <w:rStyle w:val="Emphasis"/>
          <w:rFonts w:ascii="Arial" w:eastAsiaTheme="majorEastAsia" w:hAnsi="Arial" w:cs="Arial"/>
          <w:sz w:val="22"/>
          <w:szCs w:val="22"/>
        </w:rPr>
        <w:t>The Process of Communication</w:t>
      </w:r>
      <w:r w:rsidRPr="000E6E00">
        <w:rPr>
          <w:rFonts w:ascii="Arial" w:hAnsi="Arial" w:cs="Arial"/>
          <w:sz w:val="22"/>
          <w:szCs w:val="22"/>
        </w:rPr>
        <w:t>. New York: Holt, Rinehart &amp; Winston.</w:t>
      </w:r>
    </w:p>
    <w:p w14:paraId="57CA9913" w14:textId="13205A6F"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CQC (2024) Accessible Information Standard. Available at: </w:t>
      </w:r>
      <w:hyperlink r:id="rId6" w:history="1">
        <w:r w:rsidR="007C78CF" w:rsidRPr="007C78CF">
          <w:rPr>
            <w:rFonts w:asciiTheme="minorHAnsi" w:eastAsiaTheme="minorHAnsi" w:hAnsiTheme="minorHAnsi" w:cstheme="minorBidi"/>
            <w:color w:val="0000FF"/>
            <w:kern w:val="2"/>
            <w:sz w:val="22"/>
            <w:szCs w:val="22"/>
            <w:u w:val="single"/>
            <w:lang w:eastAsia="en-US"/>
            <w14:ligatures w14:val="standardContextual"/>
          </w:rPr>
          <w:t>Meeting the Accessible Information Standard - Care Quality Comm</w:t>
        </w:r>
        <w:r w:rsidR="007C78CF" w:rsidRPr="007C78CF">
          <w:rPr>
            <w:rFonts w:asciiTheme="minorHAnsi" w:eastAsiaTheme="minorHAnsi" w:hAnsiTheme="minorHAnsi" w:cstheme="minorBidi"/>
            <w:color w:val="0000FF"/>
            <w:kern w:val="2"/>
            <w:sz w:val="22"/>
            <w:szCs w:val="22"/>
            <w:u w:val="single"/>
            <w:lang w:eastAsia="en-US"/>
            <w14:ligatures w14:val="standardContextual"/>
          </w:rPr>
          <w:t>ission</w:t>
        </w:r>
      </w:hyperlink>
    </w:p>
    <w:p w14:paraId="125F60EC" w14:textId="36E397A0"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Gulam, M. (2025) </w:t>
      </w:r>
      <w:r w:rsidRPr="000E6E00">
        <w:rPr>
          <w:rStyle w:val="Emphasis"/>
          <w:rFonts w:ascii="Arial" w:eastAsiaTheme="majorEastAsia" w:hAnsi="Arial" w:cs="Arial"/>
          <w:sz w:val="22"/>
          <w:szCs w:val="22"/>
        </w:rPr>
        <w:t>Introduction to Health &amp; Social Care, LCHS4003 – Week 6 lecture slides</w:t>
      </w:r>
      <w:r w:rsidRPr="000E6E00">
        <w:rPr>
          <w:rFonts w:ascii="Arial" w:hAnsi="Arial" w:cs="Arial"/>
          <w:sz w:val="22"/>
          <w:szCs w:val="22"/>
        </w:rPr>
        <w:t xml:space="preserve">. University of Wales Trinity Saint David. </w:t>
      </w:r>
    </w:p>
    <w:p w14:paraId="7015EA3D" w14:textId="265AF53B"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Gulam, M. (2025) </w:t>
      </w:r>
      <w:r w:rsidRPr="000E6E00">
        <w:rPr>
          <w:rStyle w:val="Emphasis"/>
          <w:rFonts w:ascii="Arial" w:eastAsiaTheme="majorEastAsia" w:hAnsi="Arial" w:cs="Arial"/>
          <w:sz w:val="22"/>
          <w:szCs w:val="22"/>
        </w:rPr>
        <w:t>Introduction to Health &amp; Social Care, LCHS4003 – Week 7 lecture slides</w:t>
      </w:r>
      <w:r w:rsidRPr="000E6E00">
        <w:rPr>
          <w:rFonts w:ascii="Arial" w:hAnsi="Arial" w:cs="Arial"/>
          <w:sz w:val="22"/>
          <w:szCs w:val="22"/>
        </w:rPr>
        <w:t xml:space="preserve">. University of Wales Trinity Saint David. </w:t>
      </w:r>
    </w:p>
    <w:p w14:paraId="13C82252" w14:textId="1679749A"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Government of the United Kingdom (2010) </w:t>
      </w:r>
      <w:r w:rsidRPr="000E6E00">
        <w:rPr>
          <w:rStyle w:val="Emphasis"/>
          <w:rFonts w:ascii="Arial" w:eastAsiaTheme="majorEastAsia" w:hAnsi="Arial" w:cs="Arial"/>
          <w:sz w:val="22"/>
          <w:szCs w:val="22"/>
        </w:rPr>
        <w:t>Equality Act 2010</w:t>
      </w:r>
      <w:r w:rsidRPr="000E6E00">
        <w:rPr>
          <w:rFonts w:ascii="Arial" w:hAnsi="Arial" w:cs="Arial"/>
          <w:sz w:val="22"/>
          <w:szCs w:val="22"/>
        </w:rPr>
        <w:t xml:space="preserve">. Available at: </w:t>
      </w:r>
      <w:hyperlink r:id="rId7" w:tgtFrame="_new" w:history="1">
        <w:r w:rsidRPr="000E6E00">
          <w:rPr>
            <w:rStyle w:val="Hyperlink"/>
            <w:rFonts w:ascii="Arial" w:eastAsiaTheme="majorEastAsia" w:hAnsi="Arial" w:cs="Arial"/>
            <w:color w:val="auto"/>
            <w:sz w:val="22"/>
            <w:szCs w:val="22"/>
            <w:u w:val="none"/>
          </w:rPr>
          <w:t>https://www.legislation.gov.uk/ukpga/2010/15/contents</w:t>
        </w:r>
      </w:hyperlink>
      <w:r w:rsidRPr="000E6E00">
        <w:rPr>
          <w:rFonts w:ascii="Arial" w:hAnsi="Arial" w:cs="Arial"/>
          <w:sz w:val="22"/>
          <w:szCs w:val="22"/>
        </w:rPr>
        <w:t xml:space="preserve"> </w:t>
      </w:r>
    </w:p>
    <w:p w14:paraId="7FD95683" w14:textId="079185FC"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ICO (2023) </w:t>
      </w:r>
      <w:r w:rsidRPr="000E6E00">
        <w:rPr>
          <w:rStyle w:val="Emphasis"/>
          <w:rFonts w:ascii="Arial" w:eastAsiaTheme="majorEastAsia" w:hAnsi="Arial" w:cs="Arial"/>
          <w:sz w:val="22"/>
          <w:szCs w:val="22"/>
        </w:rPr>
        <w:t>Guide to the General Data Protection Regulation (GDPR)</w:t>
      </w:r>
      <w:r w:rsidRPr="000E6E00">
        <w:rPr>
          <w:rFonts w:ascii="Arial" w:hAnsi="Arial" w:cs="Arial"/>
          <w:sz w:val="22"/>
          <w:szCs w:val="22"/>
        </w:rPr>
        <w:t xml:space="preserve">. Available at: </w:t>
      </w:r>
      <w:hyperlink r:id="rId8" w:tgtFrame="_new" w:history="1">
        <w:r w:rsidRPr="000E6E00">
          <w:rPr>
            <w:rStyle w:val="Hyperlink"/>
            <w:rFonts w:ascii="Arial" w:eastAsiaTheme="majorEastAsia" w:hAnsi="Arial" w:cs="Arial"/>
            <w:color w:val="auto"/>
            <w:sz w:val="22"/>
            <w:szCs w:val="22"/>
            <w:u w:val="none"/>
          </w:rPr>
          <w:t>https://ico.org.uk/for-organisations/guide-to-data-protection/</w:t>
        </w:r>
      </w:hyperlink>
      <w:r w:rsidRPr="000E6E00">
        <w:rPr>
          <w:rFonts w:ascii="Arial" w:hAnsi="Arial" w:cs="Arial"/>
          <w:sz w:val="22"/>
          <w:szCs w:val="22"/>
        </w:rPr>
        <w:t xml:space="preserve"> </w:t>
      </w:r>
    </w:p>
    <w:p w14:paraId="4FD8DEAB" w14:textId="6CA66A98"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Legislation.gov.uk (2018) </w:t>
      </w:r>
      <w:r w:rsidRPr="000E6E00">
        <w:rPr>
          <w:rStyle w:val="Emphasis"/>
          <w:rFonts w:ascii="Arial" w:eastAsiaTheme="majorEastAsia" w:hAnsi="Arial" w:cs="Arial"/>
          <w:sz w:val="22"/>
          <w:szCs w:val="22"/>
        </w:rPr>
        <w:t>Data Protection Act 2018</w:t>
      </w:r>
      <w:r w:rsidRPr="000E6E00">
        <w:rPr>
          <w:rFonts w:ascii="Arial" w:hAnsi="Arial" w:cs="Arial"/>
          <w:sz w:val="22"/>
          <w:szCs w:val="22"/>
        </w:rPr>
        <w:t xml:space="preserve">. Available at: </w:t>
      </w:r>
      <w:hyperlink r:id="rId9" w:tgtFrame="_new" w:history="1">
        <w:r w:rsidRPr="000E6E00">
          <w:rPr>
            <w:rStyle w:val="Hyperlink"/>
            <w:rFonts w:ascii="Arial" w:eastAsiaTheme="majorEastAsia" w:hAnsi="Arial" w:cs="Arial"/>
            <w:color w:val="auto"/>
            <w:sz w:val="22"/>
            <w:szCs w:val="22"/>
            <w:u w:val="none"/>
          </w:rPr>
          <w:t>https://www.legislation.gov.uk/ukpga/2018/12/contents</w:t>
        </w:r>
      </w:hyperlink>
      <w:r w:rsidRPr="000E6E00">
        <w:rPr>
          <w:rFonts w:ascii="Arial" w:hAnsi="Arial" w:cs="Arial"/>
          <w:sz w:val="22"/>
          <w:szCs w:val="22"/>
        </w:rPr>
        <w:t xml:space="preserve"> </w:t>
      </w:r>
    </w:p>
    <w:p w14:paraId="4DE3225B" w14:textId="6CB40028"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Müller, M., Jürgens, J., Redaèlli, M., Klingberg, K., Hautz, W. E. &amp; Stock, S. (2018) ‘Impact of the communication and patient hand</w:t>
      </w:r>
      <w:r w:rsidRPr="000E6E00">
        <w:rPr>
          <w:rFonts w:ascii="Arial" w:hAnsi="Arial" w:cs="Arial"/>
          <w:sz w:val="22"/>
          <w:szCs w:val="22"/>
        </w:rPr>
        <w:noBreakHyphen/>
        <w:t xml:space="preserve">off tool SBAR on patient safety: a </w:t>
      </w:r>
      <w:r w:rsidRPr="000E6E00">
        <w:rPr>
          <w:rFonts w:ascii="Arial" w:hAnsi="Arial" w:cs="Arial"/>
          <w:sz w:val="22"/>
          <w:szCs w:val="22"/>
        </w:rPr>
        <w:lastRenderedPageBreak/>
        <w:t xml:space="preserve">systematic review’, </w:t>
      </w:r>
      <w:r w:rsidRPr="000E6E00">
        <w:rPr>
          <w:rStyle w:val="Emphasis"/>
          <w:rFonts w:ascii="Arial" w:eastAsiaTheme="majorEastAsia" w:hAnsi="Arial" w:cs="Arial"/>
          <w:sz w:val="22"/>
          <w:szCs w:val="22"/>
        </w:rPr>
        <w:t>BMJ Open</w:t>
      </w:r>
      <w:r w:rsidRPr="000E6E00">
        <w:rPr>
          <w:rFonts w:ascii="Arial" w:hAnsi="Arial" w:cs="Arial"/>
          <w:sz w:val="22"/>
          <w:szCs w:val="22"/>
        </w:rPr>
        <w:t xml:space="preserve">, 8(8), e022202. Available at: </w:t>
      </w:r>
      <w:hyperlink r:id="rId10" w:history="1">
        <w:r w:rsidRPr="000E6E00">
          <w:rPr>
            <w:rStyle w:val="Hyperlink"/>
            <w:rFonts w:ascii="Arial" w:eastAsiaTheme="majorEastAsia" w:hAnsi="Arial" w:cs="Arial"/>
            <w:color w:val="auto"/>
            <w:sz w:val="22"/>
            <w:szCs w:val="22"/>
            <w:u w:val="none"/>
          </w:rPr>
          <w:t>Impact of the communication and patient hand-off tool SBAR on patient safety: a systematic review - PMC</w:t>
        </w:r>
      </w:hyperlink>
    </w:p>
    <w:p w14:paraId="1DA9EDE7" w14:textId="7408AEA1"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National Data Guardian (2020) </w:t>
      </w:r>
      <w:r w:rsidRPr="000E6E00">
        <w:rPr>
          <w:rStyle w:val="Emphasis"/>
          <w:rFonts w:ascii="Arial" w:eastAsiaTheme="majorEastAsia" w:hAnsi="Arial" w:cs="Arial"/>
          <w:sz w:val="22"/>
          <w:szCs w:val="22"/>
        </w:rPr>
        <w:t>The Caldicott Principles</w:t>
      </w:r>
      <w:r w:rsidRPr="000E6E00">
        <w:rPr>
          <w:rFonts w:ascii="Arial" w:hAnsi="Arial" w:cs="Arial"/>
          <w:sz w:val="22"/>
          <w:szCs w:val="22"/>
        </w:rPr>
        <w:t xml:space="preserve">. Available at: </w:t>
      </w:r>
      <w:hyperlink r:id="rId11" w:history="1">
        <w:r w:rsidRPr="000E6E00">
          <w:rPr>
            <w:rStyle w:val="Hyperlink"/>
            <w:rFonts w:ascii="Arial" w:eastAsiaTheme="majorEastAsia" w:hAnsi="Arial" w:cs="Arial"/>
            <w:color w:val="auto"/>
            <w:sz w:val="22"/>
            <w:szCs w:val="22"/>
            <w:u w:val="none"/>
          </w:rPr>
          <w:t>The Caldicott Principles - G</w:t>
        </w:r>
        <w:r w:rsidRPr="000E6E00">
          <w:rPr>
            <w:rStyle w:val="Hyperlink"/>
            <w:rFonts w:ascii="Arial" w:eastAsiaTheme="majorEastAsia" w:hAnsi="Arial" w:cs="Arial"/>
            <w:color w:val="auto"/>
            <w:sz w:val="22"/>
            <w:szCs w:val="22"/>
            <w:u w:val="none"/>
          </w:rPr>
          <w:t>OV.UK</w:t>
        </w:r>
      </w:hyperlink>
      <w:r w:rsidRPr="000E6E00">
        <w:rPr>
          <w:rFonts w:ascii="Arial" w:hAnsi="Arial" w:cs="Arial"/>
          <w:sz w:val="22"/>
          <w:szCs w:val="22"/>
        </w:rPr>
        <w:t xml:space="preserve"> </w:t>
      </w:r>
    </w:p>
    <w:p w14:paraId="1B187F87" w14:textId="530A099B"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Nguyen, T. D. (2021) ‘Effectiveness of SBAR communication tool on patient safety: an integrative review’, </w:t>
      </w:r>
      <w:r w:rsidRPr="000E6E00">
        <w:rPr>
          <w:rStyle w:val="Emphasis"/>
          <w:rFonts w:ascii="Arial" w:eastAsiaTheme="majorEastAsia" w:hAnsi="Arial" w:cs="Arial"/>
          <w:sz w:val="22"/>
          <w:szCs w:val="22"/>
        </w:rPr>
        <w:t>Tạp chí Khoa học Điều dưỡng</w:t>
      </w:r>
      <w:r w:rsidRPr="000E6E00">
        <w:rPr>
          <w:rFonts w:ascii="Arial" w:hAnsi="Arial" w:cs="Arial"/>
          <w:sz w:val="22"/>
          <w:szCs w:val="22"/>
        </w:rPr>
        <w:t xml:space="preserve">, 4(1). Available at: </w:t>
      </w:r>
      <w:hyperlink r:id="rId12" w:history="1">
        <w:r w:rsidRPr="000E6E00">
          <w:rPr>
            <w:rStyle w:val="Hyperlink"/>
            <w:rFonts w:ascii="Arial" w:eastAsiaTheme="majorEastAsia" w:hAnsi="Arial" w:cs="Arial"/>
            <w:color w:val="auto"/>
            <w:sz w:val="22"/>
            <w:szCs w:val="22"/>
            <w:u w:val="none"/>
          </w:rPr>
          <w:t>Effectiveness of sbar communication tool on patient safety: an integrative review | Tạp chí Khoa học Điều dưỡng</w:t>
        </w:r>
      </w:hyperlink>
    </w:p>
    <w:p w14:paraId="15E111E5" w14:textId="060E2114"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Shahid, S. &amp; Thomas, S. (2018) ‘Situation, Background, Assessment, Recommendation (SBAR) communication tool for handoff in health care: a narrative review’, </w:t>
      </w:r>
      <w:r w:rsidRPr="000E6E00">
        <w:rPr>
          <w:rStyle w:val="Emphasis"/>
          <w:rFonts w:ascii="Arial" w:eastAsiaTheme="majorEastAsia" w:hAnsi="Arial" w:cs="Arial"/>
          <w:sz w:val="22"/>
          <w:szCs w:val="22"/>
        </w:rPr>
        <w:t>Safety in Health</w:t>
      </w:r>
      <w:r w:rsidRPr="000E6E00">
        <w:rPr>
          <w:rFonts w:ascii="Arial" w:hAnsi="Arial" w:cs="Arial"/>
          <w:sz w:val="22"/>
          <w:szCs w:val="22"/>
        </w:rPr>
        <w:t xml:space="preserve">, 4:7. Available at: </w:t>
      </w:r>
      <w:hyperlink r:id="rId13" w:history="1">
        <w:r w:rsidRPr="000E6E00">
          <w:rPr>
            <w:rStyle w:val="Hyperlink"/>
            <w:rFonts w:ascii="Arial" w:eastAsiaTheme="majorEastAsia" w:hAnsi="Arial" w:cs="Arial"/>
            <w:color w:val="auto"/>
            <w:sz w:val="22"/>
            <w:szCs w:val="22"/>
            <w:u w:val="none"/>
          </w:rPr>
          <w:t>Situation, Background, Assessment, Recommendation (SBAR) Communication Tool for Handoff in Health Care – A Narrative Review | Safety in Health | Full Text</w:t>
        </w:r>
      </w:hyperlink>
    </w:p>
    <w:p w14:paraId="76784C57" w14:textId="2B30B7D1" w:rsidR="000E6E00" w:rsidRPr="000E6E00" w:rsidRDefault="000E6E00" w:rsidP="000E6E00">
      <w:pPr>
        <w:pStyle w:val="NormalWeb"/>
        <w:numPr>
          <w:ilvl w:val="0"/>
          <w:numId w:val="6"/>
        </w:numPr>
        <w:spacing w:line="360" w:lineRule="auto"/>
        <w:rPr>
          <w:rFonts w:ascii="Arial" w:hAnsi="Arial" w:cs="Arial"/>
          <w:sz w:val="22"/>
          <w:szCs w:val="22"/>
        </w:rPr>
      </w:pPr>
      <w:r w:rsidRPr="000E6E00">
        <w:rPr>
          <w:rFonts w:ascii="Arial" w:hAnsi="Arial" w:cs="Arial"/>
          <w:sz w:val="22"/>
          <w:szCs w:val="22"/>
        </w:rPr>
        <w:t xml:space="preserve">Velji, K., Baker, G. R., Fancott, C., Andreoli, A., Boaro, N., Tardif, G., Aimone, E. &amp; Sinclair, L. (2008) ‘Effectiveness of an adapted SBAR communication tool for a rehabilitation setting’, </w:t>
      </w:r>
      <w:r w:rsidRPr="000E6E00">
        <w:rPr>
          <w:rStyle w:val="Emphasis"/>
          <w:rFonts w:ascii="Arial" w:eastAsiaTheme="majorEastAsia" w:hAnsi="Arial" w:cs="Arial"/>
          <w:sz w:val="22"/>
          <w:szCs w:val="22"/>
        </w:rPr>
        <w:t>Healthcare Quarterly</w:t>
      </w:r>
      <w:r w:rsidRPr="000E6E00">
        <w:rPr>
          <w:rFonts w:ascii="Arial" w:hAnsi="Arial" w:cs="Arial"/>
          <w:sz w:val="22"/>
          <w:szCs w:val="22"/>
        </w:rPr>
        <w:t xml:space="preserve">, 11(Special), pp. 72–79. DOI: 10.12927/hcq.2008.19653 </w:t>
      </w:r>
    </w:p>
    <w:p w14:paraId="37E6E72A" w14:textId="77777777" w:rsidR="00AC67D9" w:rsidRPr="000E6E00" w:rsidRDefault="00AC67D9" w:rsidP="000E6E00">
      <w:pPr>
        <w:pStyle w:val="ListParagraph"/>
        <w:ind w:left="360"/>
        <w:rPr>
          <w:rFonts w:ascii="Arial" w:hAnsi="Arial" w:cs="Arial"/>
        </w:rPr>
      </w:pPr>
    </w:p>
    <w:sectPr w:rsidR="00AC67D9" w:rsidRPr="000E6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04A41"/>
    <w:multiLevelType w:val="hybridMultilevel"/>
    <w:tmpl w:val="C77673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9004CDE"/>
    <w:multiLevelType w:val="hybridMultilevel"/>
    <w:tmpl w:val="40A42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33FB7"/>
    <w:multiLevelType w:val="hybridMultilevel"/>
    <w:tmpl w:val="40A42B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2F13475"/>
    <w:multiLevelType w:val="hybridMultilevel"/>
    <w:tmpl w:val="49EE9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CE5718"/>
    <w:multiLevelType w:val="hybridMultilevel"/>
    <w:tmpl w:val="13CE2EF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1A0351"/>
    <w:multiLevelType w:val="hybridMultilevel"/>
    <w:tmpl w:val="CF14DD92"/>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15183745">
    <w:abstractNumId w:val="1"/>
  </w:num>
  <w:num w:numId="2" w16cid:durableId="277494477">
    <w:abstractNumId w:val="0"/>
  </w:num>
  <w:num w:numId="3" w16cid:durableId="1320839839">
    <w:abstractNumId w:val="3"/>
  </w:num>
  <w:num w:numId="4" w16cid:durableId="328563188">
    <w:abstractNumId w:val="2"/>
  </w:num>
  <w:num w:numId="5" w16cid:durableId="1065254799">
    <w:abstractNumId w:val="5"/>
  </w:num>
  <w:num w:numId="6" w16cid:durableId="1282059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BD6"/>
    <w:rsid w:val="000E6E00"/>
    <w:rsid w:val="00291AE0"/>
    <w:rsid w:val="002D6E6B"/>
    <w:rsid w:val="00485226"/>
    <w:rsid w:val="004F6423"/>
    <w:rsid w:val="005921A9"/>
    <w:rsid w:val="007C78CF"/>
    <w:rsid w:val="007D5747"/>
    <w:rsid w:val="00833BD6"/>
    <w:rsid w:val="00871C46"/>
    <w:rsid w:val="00AC67D9"/>
    <w:rsid w:val="00BD10E7"/>
    <w:rsid w:val="00C75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A4E89"/>
  <w15:chartTrackingRefBased/>
  <w15:docId w15:val="{4EB95207-318D-4A11-A0D8-82E16EFA8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B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B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B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B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B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B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B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B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B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B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B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B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B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B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B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B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B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BD6"/>
    <w:rPr>
      <w:rFonts w:eastAsiaTheme="majorEastAsia" w:cstheme="majorBidi"/>
      <w:color w:val="272727" w:themeColor="text1" w:themeTint="D8"/>
    </w:rPr>
  </w:style>
  <w:style w:type="paragraph" w:styleId="Title">
    <w:name w:val="Title"/>
    <w:basedOn w:val="Normal"/>
    <w:next w:val="Normal"/>
    <w:link w:val="TitleChar"/>
    <w:uiPriority w:val="10"/>
    <w:qFormat/>
    <w:rsid w:val="00833B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B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B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B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BD6"/>
    <w:pPr>
      <w:spacing w:before="160"/>
      <w:jc w:val="center"/>
    </w:pPr>
    <w:rPr>
      <w:i/>
      <w:iCs/>
      <w:color w:val="404040" w:themeColor="text1" w:themeTint="BF"/>
    </w:rPr>
  </w:style>
  <w:style w:type="character" w:customStyle="1" w:styleId="QuoteChar">
    <w:name w:val="Quote Char"/>
    <w:basedOn w:val="DefaultParagraphFont"/>
    <w:link w:val="Quote"/>
    <w:uiPriority w:val="29"/>
    <w:rsid w:val="00833BD6"/>
    <w:rPr>
      <w:i/>
      <w:iCs/>
      <w:color w:val="404040" w:themeColor="text1" w:themeTint="BF"/>
    </w:rPr>
  </w:style>
  <w:style w:type="paragraph" w:styleId="ListParagraph">
    <w:name w:val="List Paragraph"/>
    <w:basedOn w:val="Normal"/>
    <w:uiPriority w:val="34"/>
    <w:qFormat/>
    <w:rsid w:val="00833BD6"/>
    <w:pPr>
      <w:ind w:left="720"/>
      <w:contextualSpacing/>
    </w:pPr>
  </w:style>
  <w:style w:type="character" w:styleId="IntenseEmphasis">
    <w:name w:val="Intense Emphasis"/>
    <w:basedOn w:val="DefaultParagraphFont"/>
    <w:uiPriority w:val="21"/>
    <w:qFormat/>
    <w:rsid w:val="00833BD6"/>
    <w:rPr>
      <w:i/>
      <w:iCs/>
      <w:color w:val="0F4761" w:themeColor="accent1" w:themeShade="BF"/>
    </w:rPr>
  </w:style>
  <w:style w:type="paragraph" w:styleId="IntenseQuote">
    <w:name w:val="Intense Quote"/>
    <w:basedOn w:val="Normal"/>
    <w:next w:val="Normal"/>
    <w:link w:val="IntenseQuoteChar"/>
    <w:uiPriority w:val="30"/>
    <w:qFormat/>
    <w:rsid w:val="00833B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BD6"/>
    <w:rPr>
      <w:i/>
      <w:iCs/>
      <w:color w:val="0F4761" w:themeColor="accent1" w:themeShade="BF"/>
    </w:rPr>
  </w:style>
  <w:style w:type="character" w:styleId="IntenseReference">
    <w:name w:val="Intense Reference"/>
    <w:basedOn w:val="DefaultParagraphFont"/>
    <w:uiPriority w:val="32"/>
    <w:qFormat/>
    <w:rsid w:val="00833BD6"/>
    <w:rPr>
      <w:b/>
      <w:bCs/>
      <w:smallCaps/>
      <w:color w:val="0F4761" w:themeColor="accent1" w:themeShade="BF"/>
      <w:spacing w:val="5"/>
    </w:rPr>
  </w:style>
  <w:style w:type="paragraph" w:styleId="NormalWeb">
    <w:name w:val="Normal (Web)"/>
    <w:basedOn w:val="Normal"/>
    <w:uiPriority w:val="99"/>
    <w:semiHidden/>
    <w:unhideWhenUsed/>
    <w:rsid w:val="000E6E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E6E00"/>
    <w:rPr>
      <w:i/>
      <w:iCs/>
    </w:rPr>
  </w:style>
  <w:style w:type="character" w:styleId="Hyperlink">
    <w:name w:val="Hyperlink"/>
    <w:basedOn w:val="DefaultParagraphFont"/>
    <w:uiPriority w:val="99"/>
    <w:semiHidden/>
    <w:unhideWhenUsed/>
    <w:rsid w:val="000E6E00"/>
    <w:rPr>
      <w:color w:val="0000FF"/>
      <w:u w:val="single"/>
    </w:rPr>
  </w:style>
  <w:style w:type="character" w:styleId="FollowedHyperlink">
    <w:name w:val="FollowedHyperlink"/>
    <w:basedOn w:val="DefaultParagraphFont"/>
    <w:uiPriority w:val="99"/>
    <w:semiHidden/>
    <w:unhideWhenUsed/>
    <w:rsid w:val="000E6E0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 TargetMode="External"/><Relationship Id="rId13" Type="http://schemas.openxmlformats.org/officeDocument/2006/relationships/hyperlink" Target="https://safetyinhealth.biomedcentral.com/articles/10.1186/s40886-018-0073-1"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s://jns.vn/index.php/journal/article/view/3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guidance-providers/meeting-accessible-information-standard" TargetMode="External"/><Relationship Id="rId11" Type="http://schemas.openxmlformats.org/officeDocument/2006/relationships/hyperlink" Target="https://www.gov.uk/government/publications/the-caldicott-principles" TargetMode="External"/><Relationship Id="rId5" Type="http://schemas.openxmlformats.org/officeDocument/2006/relationships/hyperlink" Target="https://www.primescholars.com/articles/the-effectiveness-of-the-situation-background-assessment-and-recommendations-sbar-framework-in-improving-patient-safety--95099.html?" TargetMode="External"/><Relationship Id="rId15" Type="http://schemas.openxmlformats.org/officeDocument/2006/relationships/theme" Target="theme/theme1.xml"/><Relationship Id="rId10" Type="http://schemas.openxmlformats.org/officeDocument/2006/relationships/hyperlink" Target="https://pmc.ncbi.nlm.nih.gov/articles/PMC6112409/"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1839</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Romeenah Akhtar</dc:creator>
  <cp:keywords/>
  <dc:description/>
  <cp:lastModifiedBy>Romeenah Akhtar</cp:lastModifiedBy>
  <cp:revision>5</cp:revision>
  <dcterms:created xsi:type="dcterms:W3CDTF">2025-11-21T06:10:00Z</dcterms:created>
  <dcterms:modified xsi:type="dcterms:W3CDTF">2025-11-21T07:53:00Z</dcterms:modified>
</cp:coreProperties>
</file>