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32C9F" w14:textId="77777777" w:rsidR="00127B49" w:rsidRPr="00DD3911" w:rsidRDefault="00127B49" w:rsidP="00127B49">
      <w:pPr>
        <w:jc w:val="center"/>
        <w:rPr>
          <w:b/>
          <w:i/>
          <w:sz w:val="44"/>
          <w:szCs w:val="44"/>
        </w:rPr>
      </w:pPr>
      <w:r>
        <w:rPr>
          <w:b/>
          <w:i/>
          <w:sz w:val="44"/>
          <w:szCs w:val="44"/>
        </w:rPr>
        <w:t>LCBB-5004</w:t>
      </w:r>
    </w:p>
    <w:p w14:paraId="7743BAC2" w14:textId="77777777" w:rsidR="00127B49" w:rsidRPr="00DD3911" w:rsidRDefault="00127B49" w:rsidP="00127B49">
      <w:pPr>
        <w:jc w:val="center"/>
        <w:rPr>
          <w:b/>
          <w:i/>
          <w:sz w:val="44"/>
          <w:szCs w:val="44"/>
        </w:rPr>
      </w:pPr>
      <w:r w:rsidRPr="00DD3911">
        <w:rPr>
          <w:b/>
          <w:i/>
          <w:sz w:val="44"/>
          <w:szCs w:val="44"/>
        </w:rPr>
        <w:t>BA Business Management</w:t>
      </w:r>
    </w:p>
    <w:p w14:paraId="7C608D00" w14:textId="77777777" w:rsidR="00127B49" w:rsidRPr="00DD3911" w:rsidRDefault="00127B49" w:rsidP="00127B49">
      <w:pPr>
        <w:jc w:val="center"/>
        <w:rPr>
          <w:b/>
          <w:i/>
          <w:sz w:val="44"/>
          <w:szCs w:val="44"/>
        </w:rPr>
      </w:pPr>
      <w:r w:rsidRPr="00DD3911">
        <w:rPr>
          <w:b/>
          <w:i/>
          <w:sz w:val="44"/>
          <w:szCs w:val="44"/>
        </w:rPr>
        <w:t>Managing People</w:t>
      </w:r>
    </w:p>
    <w:p w14:paraId="1F0E21D4" w14:textId="77777777" w:rsidR="00127B49" w:rsidRDefault="00127B49" w:rsidP="00127B49">
      <w:pPr>
        <w:jc w:val="center"/>
      </w:pPr>
    </w:p>
    <w:p w14:paraId="7C3479FC" w14:textId="1ABC8503" w:rsidR="00127B49" w:rsidRDefault="00127B49" w:rsidP="00127B49">
      <w:pPr>
        <w:jc w:val="center"/>
      </w:pPr>
      <w:r>
        <w:t>Submitted by:</w:t>
      </w:r>
      <w:r w:rsidRPr="00DD3911">
        <w:t xml:space="preserve"> </w:t>
      </w:r>
      <w:r>
        <w:t>LUCRETIA DIACONU</w:t>
      </w:r>
    </w:p>
    <w:p w14:paraId="5EEBD63A" w14:textId="4C356B27" w:rsidR="00082269" w:rsidRDefault="00127B49" w:rsidP="00127B49">
      <w:pPr>
        <w:jc w:val="center"/>
      </w:pPr>
      <w:r>
        <w:t>Student id: 2126928</w:t>
      </w:r>
    </w:p>
    <w:p w14:paraId="1A8F037B" w14:textId="77777777" w:rsidR="00127B49" w:rsidRDefault="00127B49" w:rsidP="00082269"/>
    <w:p w14:paraId="43D72A12" w14:textId="77777777" w:rsidR="00127B49" w:rsidRDefault="00127B49" w:rsidP="00082269"/>
    <w:p w14:paraId="557B25A2" w14:textId="77777777" w:rsidR="00127B49" w:rsidRDefault="00127B49" w:rsidP="00082269"/>
    <w:p w14:paraId="20F71BD9" w14:textId="77777777" w:rsidR="00127B49" w:rsidRDefault="00127B49" w:rsidP="00082269"/>
    <w:p w14:paraId="2B8BFC8A" w14:textId="77777777" w:rsidR="00127B49" w:rsidRDefault="00127B49" w:rsidP="00082269"/>
    <w:p w14:paraId="7B28EE1D" w14:textId="77777777" w:rsidR="00127B49" w:rsidRDefault="00127B49" w:rsidP="00082269"/>
    <w:p w14:paraId="7EB58D8B" w14:textId="77777777" w:rsidR="00127B49" w:rsidRDefault="00127B49" w:rsidP="00082269"/>
    <w:p w14:paraId="34F5D91F" w14:textId="77777777" w:rsidR="00127B49" w:rsidRDefault="00127B49" w:rsidP="00082269"/>
    <w:p w14:paraId="0280094A" w14:textId="77777777" w:rsidR="00127B49" w:rsidRDefault="00127B49" w:rsidP="00082269"/>
    <w:p w14:paraId="337265CA" w14:textId="16FF7C31" w:rsidR="00127B49" w:rsidRPr="00850123" w:rsidRDefault="00127B49" w:rsidP="00082269">
      <w:pPr>
        <w:rPr>
          <w:b/>
          <w:bCs/>
          <w:u w:val="single"/>
        </w:rPr>
      </w:pPr>
      <w:r w:rsidRPr="00850123">
        <w:rPr>
          <w:b/>
          <w:bCs/>
          <w:u w:val="single"/>
        </w:rPr>
        <w:t>INTRODUCTION</w:t>
      </w:r>
    </w:p>
    <w:p w14:paraId="134BFCF0" w14:textId="77777777" w:rsidR="00127B49" w:rsidRDefault="00127B49" w:rsidP="00082269"/>
    <w:p w14:paraId="40DF6F93" w14:textId="1B73987C" w:rsidR="003C292B" w:rsidRPr="00127B49" w:rsidRDefault="00082269">
      <w:r w:rsidRPr="00127B49">
        <w:t xml:space="preserve">Agricultural equipment, referred to as technological innovation in agriculture, is a critical tool for increasing agricultural output. It enables farmers to grow more crops in less time and more efficiently. To keep up whit the changes from of post-pandemic period </w:t>
      </w:r>
      <w:proofErr w:type="spellStart"/>
      <w:r w:rsidRPr="00127B49">
        <w:t>Gre</w:t>
      </w:r>
      <w:r w:rsidR="00127B49" w:rsidRPr="00127B49">
        <w:t>en</w:t>
      </w:r>
      <w:r w:rsidRPr="00127B49">
        <w:t>co</w:t>
      </w:r>
      <w:proofErr w:type="spellEnd"/>
      <w:r w:rsidRPr="00127B49">
        <w:t xml:space="preserve">, the producer and seller of agriculture equipment </w:t>
      </w:r>
      <w:r w:rsidR="00127B49" w:rsidRPr="00127B49">
        <w:t>must</w:t>
      </w:r>
      <w:r w:rsidRPr="00127B49">
        <w:t xml:space="preserve"> develop a </w:t>
      </w:r>
      <w:r w:rsidR="00127B49" w:rsidRPr="00127B49">
        <w:t>plan</w:t>
      </w:r>
      <w:r w:rsidRPr="00127B49">
        <w:t xml:space="preserve"> for </w:t>
      </w:r>
      <w:r w:rsidR="00127B49" w:rsidRPr="00127B49">
        <w:t>flexible working time.</w:t>
      </w:r>
    </w:p>
    <w:p w14:paraId="1D7CD6A7" w14:textId="190247B6" w:rsidR="00676717" w:rsidRDefault="003C292B">
      <w:r w:rsidRPr="00127B49">
        <w:t xml:space="preserve">Flexibility is becoming a key dimension of a firm's competitive priorities, alongside cost, quality, and delivery time. The need for explicit flexibility necessitates the development of measurements for various types of manufacturing flexibility and the analysis of their tactical and/or economic value for enhancing production efficiency. Many studies have defined various types of manufacturing flexibility and provided methods for improving flexibility across the past ten years. The report focuses on outlining the advantages of implementing flexible working strategies at the business, with particular emphasis on knowing all elements that the office of human resources must </w:t>
      </w:r>
      <w:proofErr w:type="gramStart"/>
      <w:r w:rsidRPr="00127B49">
        <w:t>take into account</w:t>
      </w:r>
      <w:proofErr w:type="gramEnd"/>
      <w:r w:rsidRPr="00127B49">
        <w:t xml:space="preserve"> before implementing flexible working </w:t>
      </w:r>
      <w:r w:rsidR="00850123">
        <w:t>in</w:t>
      </w:r>
      <w:r w:rsidRPr="00127B49">
        <w:t xml:space="preserve"> the employee workforce. There includes a review of the wage system that needs to be revised, as well as an evaluation of strategies to promote employee engagement and the enactment of a variety of work situations.</w:t>
      </w:r>
    </w:p>
    <w:p w14:paraId="285787E4" w14:textId="77777777" w:rsidR="00127B49" w:rsidRDefault="00127B49"/>
    <w:p w14:paraId="76CD0C1B" w14:textId="77777777" w:rsidR="00127B49" w:rsidRDefault="00127B49"/>
    <w:p w14:paraId="5B5B3D4F" w14:textId="282C3F9D" w:rsidR="000F0400" w:rsidRPr="00DE2AFA" w:rsidRDefault="00127B49" w:rsidP="000F0400">
      <w:pPr>
        <w:pStyle w:val="Heading2"/>
        <w:rPr>
          <w:rStyle w:val="eop"/>
          <w:rFonts w:asciiTheme="minorHAnsi" w:hAnsiTheme="minorHAnsi" w:cstheme="minorHAnsi"/>
          <w:b/>
          <w:bCs w:val="0"/>
          <w:szCs w:val="24"/>
        </w:rPr>
      </w:pPr>
      <w:bookmarkStart w:id="0" w:name="_Toc140666016"/>
      <w:r w:rsidRPr="00DE2AFA">
        <w:rPr>
          <w:rStyle w:val="normaltextrun"/>
          <w:rFonts w:asciiTheme="minorHAnsi" w:hAnsiTheme="minorHAnsi" w:cstheme="minorHAnsi"/>
          <w:b/>
          <w:bCs w:val="0"/>
          <w:szCs w:val="24"/>
          <w:lang w:val="en-IN"/>
        </w:rPr>
        <w:t>Benefits of implementation of flexible working strategies</w:t>
      </w:r>
      <w:bookmarkEnd w:id="0"/>
      <w:r w:rsidRPr="00DE2AFA">
        <w:rPr>
          <w:rStyle w:val="eop"/>
          <w:rFonts w:asciiTheme="minorHAnsi" w:hAnsiTheme="minorHAnsi" w:cstheme="minorHAnsi"/>
          <w:b/>
          <w:bCs w:val="0"/>
          <w:szCs w:val="24"/>
        </w:rPr>
        <w:t> </w:t>
      </w:r>
    </w:p>
    <w:p w14:paraId="1230CDB5" w14:textId="77777777" w:rsidR="000F0400" w:rsidRPr="000F0400" w:rsidRDefault="000F0400" w:rsidP="000F0400">
      <w:pPr>
        <w:rPr>
          <w:lang w:eastAsia="zh-CN"/>
        </w:rPr>
      </w:pPr>
    </w:p>
    <w:p w14:paraId="7E66F8FB" w14:textId="564BF530" w:rsidR="00127B49" w:rsidRDefault="000F0400" w:rsidP="000F0400">
      <w:r w:rsidRPr="000F0400">
        <w:t>Flexible working strategies can provide numerous benefits to both employees and employers. Here are some of the key benefits:</w:t>
      </w:r>
    </w:p>
    <w:p w14:paraId="1544FD1C" w14:textId="77777777" w:rsidR="000F0400" w:rsidRDefault="000F0400" w:rsidP="000F0400">
      <w:pPr>
        <w:rPr>
          <w:b/>
          <w:bCs/>
        </w:rPr>
      </w:pPr>
    </w:p>
    <w:p w14:paraId="2DC40B6D" w14:textId="77777777" w:rsidR="00637C5C" w:rsidRPr="000F0400" w:rsidRDefault="00637C5C" w:rsidP="000F0400"/>
    <w:p w14:paraId="6818A4A7" w14:textId="737EA2D4" w:rsidR="003D5D5E" w:rsidRPr="00A907FE" w:rsidRDefault="000F0400" w:rsidP="000F0400">
      <w:r w:rsidRPr="000F0400">
        <w:rPr>
          <w:b/>
          <w:bCs/>
        </w:rPr>
        <w:t>Employee Productivity Increases</w:t>
      </w:r>
      <w:r w:rsidRPr="000F0400">
        <w:t>: When employees have the flexibility to choose their work hours and environment, they are more likely to be productive during their most productive times. This can lead to increased efficiency and output</w:t>
      </w:r>
      <w:r w:rsidR="00F03B8A">
        <w:t>.</w:t>
      </w:r>
      <w:r w:rsidR="00F03B8A" w:rsidRPr="00F03B8A">
        <w:t xml:space="preserve"> By providing employees with the ability to choose when and where they work, organizations </w:t>
      </w:r>
      <w:r w:rsidR="00F03B8A" w:rsidRPr="00F03B8A">
        <w:t>can</w:t>
      </w:r>
      <w:r w:rsidR="00F03B8A" w:rsidRPr="00F03B8A">
        <w:t xml:space="preserve"> create an environment that fosters increased motivation, engagement, and efficiency.</w:t>
      </w:r>
    </w:p>
    <w:p w14:paraId="72BB84B9" w14:textId="393FF88D" w:rsidR="00F03B8A" w:rsidRPr="00A907FE" w:rsidRDefault="00F03B8A" w:rsidP="00F03B8A">
      <w:r w:rsidRPr="00F03B8A">
        <w:rPr>
          <w:b/>
          <w:bCs/>
        </w:rPr>
        <w:t>Work-Life Balance</w:t>
      </w:r>
      <w:r w:rsidRPr="00F03B8A">
        <w:t xml:space="preserve">: Offering flexible working hours allows employees to better balance their personal and professional responsibilities. When employees feel they have time for their </w:t>
      </w:r>
      <w:r w:rsidRPr="00F03B8A">
        <w:lastRenderedPageBreak/>
        <w:t>personal lives, they experience reduced stress and burnout, leading to improved focus and productivity during work hours.</w:t>
      </w:r>
    </w:p>
    <w:p w14:paraId="0BCA8C06" w14:textId="222774A6" w:rsidR="00F03B8A" w:rsidRDefault="00F03B8A" w:rsidP="00F03B8A">
      <w:r w:rsidRPr="00F03B8A">
        <w:rPr>
          <w:b/>
          <w:bCs/>
        </w:rPr>
        <w:t>Personalized Work Schedules:</w:t>
      </w:r>
      <w:r w:rsidRPr="00F03B8A">
        <w:t xml:space="preserve"> Different individuals have varying productivity peaks throughout the day. With flexible working hours, employees can tailor their schedules to align with their most productive times. This results in better utilization of their energy and focus on tasks, leading to increased </w:t>
      </w:r>
      <w:r w:rsidR="00605185" w:rsidRPr="00F03B8A">
        <w:t>productivity</w:t>
      </w:r>
      <w:r w:rsidR="00605185">
        <w:t xml:space="preserve"> (</w:t>
      </w:r>
      <w:r w:rsidR="00605185">
        <w:t>Torrington, D. 2020)</w:t>
      </w:r>
    </w:p>
    <w:p w14:paraId="58A8BEF7" w14:textId="5A06282C" w:rsidR="00C67CBF" w:rsidRPr="000F0400" w:rsidRDefault="003D5D5E" w:rsidP="000F0400">
      <w:r w:rsidRPr="00C67CBF">
        <w:rPr>
          <w:b/>
          <w:bCs/>
        </w:rPr>
        <w:t>Employee Well-Being:</w:t>
      </w:r>
      <w:r w:rsidRPr="003D5D5E">
        <w:t xml:space="preserve"> Flexible working strategies can improve employees' physical and mental health. Employees can live healthier and less stressful lives by reducing commuting time and giving them more control over their schedules.</w:t>
      </w:r>
    </w:p>
    <w:p w14:paraId="0067C4BD" w14:textId="77777777" w:rsidR="000F0400" w:rsidRPr="000F0400" w:rsidRDefault="000F0400" w:rsidP="000F0400">
      <w:r w:rsidRPr="000F0400">
        <w:rPr>
          <w:b/>
          <w:bCs/>
        </w:rPr>
        <w:t>Attracting and Retaining Talent</w:t>
      </w:r>
      <w:r w:rsidRPr="000F0400">
        <w:t>: Offering flexible working options can make a company more appealing to job seekers. It also aids in the retention of existing talent because employees are more likely to stay in a job that allows for a healthy work-life balance.</w:t>
      </w:r>
    </w:p>
    <w:p w14:paraId="517810CA" w14:textId="42AB1BB2" w:rsidR="000F0400" w:rsidRDefault="000F0400" w:rsidP="000F0400">
      <w:r w:rsidRPr="000F0400">
        <w:t>Another study conducted by the Organisation for Human Resource Management (SHRM) found that companies that provide flexible work options have higher employee retention rates and increased productivity (</w:t>
      </w:r>
      <w:r w:rsidR="00200E92">
        <w:t>SHRM</w:t>
      </w:r>
      <w:r w:rsidRPr="000F0400">
        <w:t>, 2020).</w:t>
      </w:r>
    </w:p>
    <w:p w14:paraId="6C3E7EBD" w14:textId="2CA60306" w:rsidR="00DE2AFA" w:rsidRDefault="00DE2AFA" w:rsidP="00DE2AFA">
      <w:r w:rsidRPr="00DE2AFA">
        <w:rPr>
          <w:b/>
          <w:bCs/>
        </w:rPr>
        <w:t>Employee Motivation Increased</w:t>
      </w:r>
      <w:r w:rsidRPr="00DE2AFA">
        <w:t>: Employees who have control over their work schedule are more engaged and committed to their assignments. This has the potential to improve company culture and employee morale.</w:t>
      </w:r>
    </w:p>
    <w:p w14:paraId="5210AF89" w14:textId="249090A3" w:rsidR="00DE2AFA" w:rsidRDefault="00DE2AFA" w:rsidP="00DE2AFA">
      <w:r w:rsidRPr="00DE2AFA">
        <w:rPr>
          <w:b/>
          <w:bCs/>
        </w:rPr>
        <w:t>Business Continuity:</w:t>
      </w:r>
      <w:r w:rsidRPr="00DE2AFA">
        <w:t xml:space="preserve"> In the case of an unanticipated occurrence, such as a natural disaster or a health crisis (e.g., a pandemic), flexible working arrangements can help to ensure the survival of the company. Employees can work from home or other convenient locations, allowing operations to run smoothly.</w:t>
      </w:r>
    </w:p>
    <w:p w14:paraId="48A04D6A" w14:textId="77777777" w:rsidR="00F03B8A" w:rsidRPr="00F03B8A" w:rsidRDefault="00C67CBF" w:rsidP="00F03B8A">
      <w:pPr>
        <w:rPr>
          <w:rStyle w:val="normaltextrun"/>
          <w:bCs/>
          <w:iCs/>
          <w:lang w:val="en-IN"/>
        </w:rPr>
      </w:pPr>
      <w:r w:rsidRPr="00C67CBF">
        <w:rPr>
          <w:rStyle w:val="normaltextrun"/>
          <w:b/>
          <w:iCs/>
          <w:lang w:val="en-IN"/>
        </w:rPr>
        <w:t>Communication and training</w:t>
      </w:r>
      <w:r w:rsidR="00F03B8A">
        <w:rPr>
          <w:rStyle w:val="normaltextrun"/>
          <w:bCs/>
          <w:iCs/>
          <w:lang w:val="en-IN"/>
        </w:rPr>
        <w:t xml:space="preserve">: </w:t>
      </w:r>
      <w:r w:rsidR="00F03B8A" w:rsidRPr="00F03B8A">
        <w:rPr>
          <w:rStyle w:val="normaltextrun"/>
          <w:bCs/>
          <w:iCs/>
          <w:lang w:val="en-IN"/>
        </w:rPr>
        <w:t xml:space="preserve">Communication must be adaptable and accessible when employees work different hours or even remotely. Employee availability for meetings, discussions, or collaborations may vary as a result of work-hour flexibility. </w:t>
      </w:r>
    </w:p>
    <w:p w14:paraId="0D9D3932" w14:textId="7FD0BCCA" w:rsidR="00F03B8A" w:rsidRPr="00F03B8A" w:rsidRDefault="00F03B8A" w:rsidP="00F03B8A">
      <w:pPr>
        <w:rPr>
          <w:rFonts w:asciiTheme="minorHAnsi" w:hAnsiTheme="minorHAnsi" w:cstheme="minorBidi"/>
          <w:bCs/>
          <w:iCs/>
          <w:lang w:val="en-IN"/>
        </w:rPr>
      </w:pPr>
      <w:r w:rsidRPr="00F03B8A">
        <w:rPr>
          <w:rStyle w:val="normaltextrun"/>
          <w:bCs/>
          <w:iCs/>
          <w:lang w:val="en-IN"/>
        </w:rPr>
        <w:t xml:space="preserve">Use a variety of communication </w:t>
      </w:r>
      <w:r w:rsidRPr="00F03B8A">
        <w:rPr>
          <w:rStyle w:val="normaltextrun"/>
          <w:bCs/>
          <w:iCs/>
          <w:lang w:val="en-IN"/>
        </w:rPr>
        <w:t>channels. To</w:t>
      </w:r>
      <w:r w:rsidRPr="00F03B8A">
        <w:rPr>
          <w:rStyle w:val="normaltextrun"/>
          <w:bCs/>
          <w:iCs/>
          <w:lang w:val="en-IN"/>
        </w:rPr>
        <w:t xml:space="preserve"> facilitate communication regardless of time or location, use a combination of real-time messaging, email, video conferencing, and collaboration tools. Establish regular working </w:t>
      </w:r>
      <w:r w:rsidRPr="00F03B8A">
        <w:rPr>
          <w:rStyle w:val="normaltextrun"/>
          <w:bCs/>
          <w:iCs/>
          <w:lang w:val="en-IN"/>
        </w:rPr>
        <w:t>hours. While</w:t>
      </w:r>
      <w:r w:rsidRPr="00F03B8A">
        <w:rPr>
          <w:rStyle w:val="normaltextrun"/>
          <w:bCs/>
          <w:iCs/>
          <w:lang w:val="en-IN"/>
        </w:rPr>
        <w:t xml:space="preserve"> employees' schedules may be flexible, it is advantageous to set certain core hours during which everyone is available for important discussions or meetings. Encourage the use of asynchronous communication. Recognise that not everyone will be online at the same time and encourage the use of asynchronous communication methods, such as email or project management tools, to allow employees to respond when it is convenient for them.</w:t>
      </w:r>
    </w:p>
    <w:p w14:paraId="43DA99BF" w14:textId="77777777" w:rsidR="000F0400" w:rsidRPr="000F0400" w:rsidRDefault="000F0400" w:rsidP="000F0400"/>
    <w:p w14:paraId="1180E052" w14:textId="79A744D5" w:rsidR="000F0400" w:rsidRDefault="000F0400" w:rsidP="000F0400">
      <w:r w:rsidRPr="000F0400">
        <w:t xml:space="preserve">Additionally, </w:t>
      </w:r>
      <w:r w:rsidR="00A54043">
        <w:t xml:space="preserve">having </w:t>
      </w:r>
      <w:r w:rsidRPr="000F0400">
        <w:t>flexible work arrangements can result in cost savings for companies due to lower overhead expenses (</w:t>
      </w:r>
      <w:r w:rsidR="00CF73B2">
        <w:t xml:space="preserve">Sharma, N. </w:t>
      </w:r>
      <w:r w:rsidR="00CF73B2">
        <w:rPr>
          <w:i/>
          <w:iCs/>
        </w:rPr>
        <w:t>et al.</w:t>
      </w:r>
      <w:r w:rsidR="00CF73B2">
        <w:t xml:space="preserve"> 2019</w:t>
      </w:r>
      <w:r w:rsidRPr="000F0400">
        <w:t>).</w:t>
      </w:r>
    </w:p>
    <w:p w14:paraId="60C33410" w14:textId="77777777" w:rsidR="00DE2AFA" w:rsidRDefault="00DE2AFA" w:rsidP="00DE2AFA"/>
    <w:p w14:paraId="0F07997F" w14:textId="77777777" w:rsidR="00DE2AFA" w:rsidRPr="00DE2AFA" w:rsidRDefault="00DE2AFA" w:rsidP="00DE2AFA">
      <w:pPr>
        <w:pStyle w:val="Heading2"/>
        <w:rPr>
          <w:rFonts w:asciiTheme="minorHAnsi" w:hAnsiTheme="minorHAnsi" w:cstheme="minorHAnsi"/>
          <w:b/>
          <w:bCs w:val="0"/>
        </w:rPr>
      </w:pPr>
      <w:bookmarkStart w:id="1" w:name="_Toc140666018"/>
      <w:r w:rsidRPr="00DE2AFA">
        <w:rPr>
          <w:rStyle w:val="normaltextrun"/>
          <w:rFonts w:asciiTheme="minorHAnsi" w:hAnsiTheme="minorHAnsi" w:cstheme="minorHAnsi"/>
          <w:b/>
          <w:bCs w:val="0"/>
          <w:szCs w:val="24"/>
          <w:lang w:val="en-IN"/>
        </w:rPr>
        <w:t>Reconfiguring pay structure</w:t>
      </w:r>
      <w:bookmarkEnd w:id="1"/>
      <w:r w:rsidRPr="00DE2AFA">
        <w:rPr>
          <w:rStyle w:val="eop"/>
          <w:rFonts w:asciiTheme="minorHAnsi" w:hAnsiTheme="minorHAnsi" w:cstheme="minorHAnsi"/>
          <w:b/>
          <w:bCs w:val="0"/>
          <w:szCs w:val="24"/>
        </w:rPr>
        <w:t> </w:t>
      </w:r>
    </w:p>
    <w:p w14:paraId="1555937B" w14:textId="77777777" w:rsidR="00DE2AFA" w:rsidRPr="00DE2AFA" w:rsidRDefault="00DE2AFA" w:rsidP="00DE2AFA"/>
    <w:p w14:paraId="22A35597" w14:textId="3B289F46" w:rsidR="00DE2AFA" w:rsidRDefault="00DE2AFA" w:rsidP="00DE2AFA">
      <w:r w:rsidRPr="00DE2AFA">
        <w:t xml:space="preserve">Making changes or adjustments to the way employees are compensated within an organisation is referred to as reconfiguring </w:t>
      </w:r>
      <w:r>
        <w:t xml:space="preserve">the </w:t>
      </w:r>
      <w:r w:rsidRPr="00DE2AFA">
        <w:t xml:space="preserve">pay structure. This can include changes to the pay system's methods for determining salaries, bonuses, incentives, and other forms of compensation. </w:t>
      </w:r>
      <w:proofErr w:type="spellStart"/>
      <w:r w:rsidR="004571F5">
        <w:t>Greenco</w:t>
      </w:r>
      <w:proofErr w:type="spellEnd"/>
      <w:r w:rsidR="004571F5" w:rsidRPr="004571F5">
        <w:t xml:space="preserve"> must consider factors such as industry standards, legal compliance, budget constraints, and employee feedback when reorganising pay structures. Furthermore, open communication about the changes and their rationale is critical to ensuring a smooth transition and maintaining employee trust.</w:t>
      </w:r>
      <w:r w:rsidR="004571F5" w:rsidRPr="00DE2AFA">
        <w:t xml:space="preserve"> The</w:t>
      </w:r>
      <w:r w:rsidRPr="00DE2AFA">
        <w:t xml:space="preserve"> following are some of the aspects and potential benefits of reorganising pay structures:</w:t>
      </w:r>
    </w:p>
    <w:p w14:paraId="0329AFA9" w14:textId="77777777" w:rsidR="004571F5" w:rsidRPr="004571F5" w:rsidRDefault="004571F5" w:rsidP="004571F5">
      <w:pPr>
        <w:rPr>
          <w:b/>
          <w:bCs/>
        </w:rPr>
      </w:pPr>
    </w:p>
    <w:p w14:paraId="7B4AB4A8" w14:textId="36099831" w:rsidR="004571F5" w:rsidRDefault="004571F5" w:rsidP="004571F5">
      <w:r w:rsidRPr="004571F5">
        <w:rPr>
          <w:b/>
          <w:bCs/>
        </w:rPr>
        <w:lastRenderedPageBreak/>
        <w:t>Salary Bands and Levels:</w:t>
      </w:r>
      <w:r w:rsidRPr="004571F5">
        <w:t xml:space="preserve"> Establishing clear ranges of wages and the amount can aid in standardising pay across various positions and ensuring fair compensation based on experience, skills, and responsibilities.</w:t>
      </w:r>
      <w:r w:rsidR="00A907FE" w:rsidRPr="00A907FE">
        <w:t xml:space="preserve"> </w:t>
      </w:r>
      <w:r w:rsidR="00A907FE" w:rsidRPr="00A907FE">
        <w:t>Salary bands, also known as pay ranges or salary grades, are a grouping of pay levels based on similar job roles, responsibilities, and requirements. Each band represents a salary range, with a minimum, midpoint, and maximum salary. The salary band framework allows for salary setting adaptability.</w:t>
      </w:r>
    </w:p>
    <w:p w14:paraId="5A863FD1" w14:textId="578B56C4" w:rsidR="004571F5" w:rsidRDefault="004571F5" w:rsidP="004571F5">
      <w:r w:rsidRPr="004571F5">
        <w:rPr>
          <w:b/>
          <w:bCs/>
        </w:rPr>
        <w:t>Determine Specific Objectives:</w:t>
      </w:r>
      <w:r w:rsidRPr="004571F5">
        <w:t xml:space="preserve"> Determine the specific objectives and reasons for restructuring the pay structure. Improved employee satisfaction, attracting and retaining talent, aligning pay with performance, ensuring pay equity, and improving overall organisational performance are all common goals.</w:t>
      </w:r>
    </w:p>
    <w:p w14:paraId="2C7E1590" w14:textId="6BD27A76" w:rsidR="00366690" w:rsidRDefault="00366690" w:rsidP="00DE2AFA">
      <w:r w:rsidRPr="00366690">
        <w:rPr>
          <w:b/>
          <w:bCs/>
        </w:rPr>
        <w:t>Pay Equity:</w:t>
      </w:r>
      <w:r w:rsidRPr="00366690">
        <w:t xml:space="preserve"> Ensure that your restructured wage system encourages pay equity, which means that employees in similar roles with similar qualifications and performance are compensated fairly and equitably.</w:t>
      </w:r>
    </w:p>
    <w:p w14:paraId="10783B6E" w14:textId="08CDE48D" w:rsidR="00366690" w:rsidRDefault="00366690" w:rsidP="00DE2AFA">
      <w:r w:rsidRPr="00366690">
        <w:rPr>
          <w:b/>
          <w:bCs/>
        </w:rPr>
        <w:t>Performance-Based Pay</w:t>
      </w:r>
      <w:r w:rsidRPr="00366690">
        <w:t>:</w:t>
      </w:r>
      <w:r w:rsidR="00A907FE" w:rsidRPr="00A907FE">
        <w:t xml:space="preserve"> </w:t>
      </w:r>
      <w:r w:rsidR="00A907FE" w:rsidRPr="00A907FE">
        <w:t>Performance-based pay, also known as pay for performance or merit-based pay, is a type of compensation in which an employee's earnings are directly related to their individual performance and contributions to the organisation. Employees are rewarded in this type of pay structure based on their achievements, productivity, and meeting specific performance targets or objectives.</w:t>
      </w:r>
      <w:r w:rsidRPr="00366690">
        <w:t xml:space="preserve"> Consider incorporating performance-based pay elements such as bonuses, incentives, or commission structures. This can motivate employees to perform at their best and tie their compensation to their contributions.</w:t>
      </w:r>
    </w:p>
    <w:p w14:paraId="72CAC3C3" w14:textId="5C399C12" w:rsidR="00B425B9" w:rsidRDefault="00366690" w:rsidP="00366690">
      <w:r w:rsidRPr="00366690">
        <w:rPr>
          <w:b/>
          <w:bCs/>
        </w:rPr>
        <w:t>Monitor and Review</w:t>
      </w:r>
      <w:r>
        <w:t xml:space="preserve">: </w:t>
      </w:r>
      <w:r w:rsidR="00B425B9" w:rsidRPr="00B425B9">
        <w:t>Employees in this type of pay structure are rewarded based on their achievements, productivity, and achievement of specific performance targets or objectives.</w:t>
      </w:r>
    </w:p>
    <w:p w14:paraId="6220FDE0" w14:textId="04F2D464" w:rsidR="00366690" w:rsidRDefault="00366690" w:rsidP="00366690">
      <w:r>
        <w:t>Continuously monitor the effects of the new pay structure and solicit feedback from employees. Review its impact on employee morale, productivity, and overall organisational performance on a regular basis.</w:t>
      </w:r>
    </w:p>
    <w:p w14:paraId="0AB6FA4F" w14:textId="77777777" w:rsidR="00366690" w:rsidRDefault="00366690" w:rsidP="00366690">
      <w:r w:rsidRPr="00366690">
        <w:rPr>
          <w:b/>
          <w:bCs/>
        </w:rPr>
        <w:t>Legal and compliance:</w:t>
      </w:r>
      <w:r>
        <w:t xml:space="preserve"> Ensure that the restructured pay structure complies with all applicable labour laws, regulations, and employment contracts.</w:t>
      </w:r>
    </w:p>
    <w:p w14:paraId="2B4843E8" w14:textId="03F33A56" w:rsidR="00082269" w:rsidRDefault="00366690" w:rsidP="00366690">
      <w:r w:rsidRPr="00366690">
        <w:rPr>
          <w:b/>
          <w:bCs/>
        </w:rPr>
        <w:t>Flexibility and adaptability:</w:t>
      </w:r>
      <w:r w:rsidR="000A7222" w:rsidRPr="000A7222">
        <w:t xml:space="preserve"> </w:t>
      </w:r>
      <w:r w:rsidR="000A7222" w:rsidRPr="000A7222">
        <w:t xml:space="preserve">Payment structure flexibility and adaptability refer to the design of compensation systems that are responsive to changing business needs, employee preferences, and market conditions. Organisations can create compensation packages that align with their strategic goals, </w:t>
      </w:r>
      <w:r w:rsidR="000A7222" w:rsidRPr="000A7222">
        <w:t>attract,</w:t>
      </w:r>
      <w:r w:rsidR="000A7222" w:rsidRPr="000A7222">
        <w:t xml:space="preserve"> and retain top talent, and remain competitive in the market by incorporating flexibility and adaptability.</w:t>
      </w:r>
      <w:r>
        <w:t xml:space="preserve"> Keep in mind that the business environment may change, and your pay structure may need to adapt accordingly over time.</w:t>
      </w:r>
    </w:p>
    <w:p w14:paraId="5CC0D20E" w14:textId="77777777" w:rsidR="00082269" w:rsidRDefault="00082269"/>
    <w:p w14:paraId="19E24AB5" w14:textId="4758393A" w:rsidR="00331C06" w:rsidRPr="0007375A" w:rsidRDefault="00EE6E1E" w:rsidP="00331C06">
      <w:pPr>
        <w:rPr>
          <w:rFonts w:asciiTheme="minorHAnsi" w:hAnsiTheme="minorHAnsi" w:cstheme="minorHAnsi"/>
          <w:b/>
          <w:bCs/>
          <w:u w:val="single"/>
          <w:lang w:eastAsia="en-US"/>
        </w:rPr>
      </w:pPr>
      <w:r w:rsidRPr="0007375A">
        <w:rPr>
          <w:rFonts w:asciiTheme="minorHAnsi" w:hAnsiTheme="minorHAnsi" w:cstheme="minorHAnsi"/>
          <w:b/>
          <w:bCs/>
          <w:u w:val="single"/>
        </w:rPr>
        <w:t xml:space="preserve">Factors need to consider before </w:t>
      </w:r>
      <w:r w:rsidRPr="0007375A">
        <w:rPr>
          <w:rFonts w:asciiTheme="minorHAnsi" w:hAnsiTheme="minorHAnsi" w:cstheme="minorHAnsi"/>
          <w:b/>
          <w:bCs/>
          <w:u w:val="single"/>
          <w:lang w:eastAsia="en-US"/>
        </w:rPr>
        <w:t xml:space="preserve">implementing flexible working </w:t>
      </w:r>
      <w:r w:rsidRPr="0007375A">
        <w:rPr>
          <w:rFonts w:asciiTheme="minorHAnsi" w:hAnsiTheme="minorHAnsi" w:cstheme="minorHAnsi"/>
          <w:b/>
          <w:bCs/>
          <w:u w:val="single"/>
          <w:lang w:eastAsia="en-US"/>
        </w:rPr>
        <w:t>in</w:t>
      </w:r>
      <w:r w:rsidRPr="0007375A">
        <w:rPr>
          <w:rFonts w:asciiTheme="minorHAnsi" w:hAnsiTheme="minorHAnsi" w:cstheme="minorHAnsi"/>
          <w:b/>
          <w:bCs/>
          <w:u w:val="single"/>
          <w:lang w:eastAsia="en-US"/>
        </w:rPr>
        <w:t xml:space="preserve"> the employee workforce</w:t>
      </w:r>
      <w:r w:rsidRPr="0007375A">
        <w:rPr>
          <w:rFonts w:asciiTheme="minorHAnsi" w:hAnsiTheme="minorHAnsi" w:cstheme="minorHAnsi"/>
          <w:b/>
          <w:bCs/>
          <w:u w:val="single"/>
          <w:lang w:eastAsia="en-US"/>
        </w:rPr>
        <w:t>:</w:t>
      </w:r>
    </w:p>
    <w:p w14:paraId="4F7D7C3D" w14:textId="0F0FAA57" w:rsidR="0007375A" w:rsidRDefault="0007375A" w:rsidP="00331C06">
      <w:r w:rsidRPr="0007375A">
        <w:t>To ensure a successful and effective transition, the firm and the HR department should carefully consider several key factors before implementing flexible working arrangements in the employee workforce. Here are some key considerations</w:t>
      </w:r>
      <w:r>
        <w:t>:</w:t>
      </w:r>
    </w:p>
    <w:p w14:paraId="621EFA20" w14:textId="77777777" w:rsidR="0007375A" w:rsidRDefault="0007375A" w:rsidP="00331C06"/>
    <w:p w14:paraId="7F3CD722" w14:textId="77777777" w:rsidR="0007375A" w:rsidRDefault="0007375A" w:rsidP="0007375A">
      <w:r w:rsidRPr="0007375A">
        <w:rPr>
          <w:b/>
          <w:bCs/>
        </w:rPr>
        <w:t>Organisational Culture and Readiness</w:t>
      </w:r>
      <w:r>
        <w:t>: Evaluate the current culture of the company as well as its readiness for flexible work. Ascertain that the organisation places a premium on trust, autonomy, and results-oriented performance. Determine whether management is open to the idea and willing to support the necessary changes for flexible work arrangements.</w:t>
      </w:r>
    </w:p>
    <w:p w14:paraId="7EF6718A" w14:textId="77777777" w:rsidR="0007375A" w:rsidRDefault="0007375A" w:rsidP="0007375A">
      <w:r w:rsidRPr="0007375A">
        <w:rPr>
          <w:b/>
          <w:bCs/>
        </w:rPr>
        <w:t>L</w:t>
      </w:r>
      <w:r w:rsidRPr="0007375A">
        <w:rPr>
          <w:b/>
          <w:bCs/>
        </w:rPr>
        <w:t>egal and Regulatory Compliance</w:t>
      </w:r>
      <w:r>
        <w:t>: Understand and adhere to local labour laws, regulations, and employment contracts governing flexible working. Work hours, overtime, and remote work arrangements may be subject to specific requirements or restrictions in s</w:t>
      </w:r>
      <w:r>
        <w:t>a</w:t>
      </w:r>
      <w:r>
        <w:t>me jurisdictions.</w:t>
      </w:r>
    </w:p>
    <w:p w14:paraId="55613E8E" w14:textId="699E74DF" w:rsidR="0007375A" w:rsidRDefault="0007375A" w:rsidP="0007375A">
      <w:r w:rsidRPr="0007375A">
        <w:rPr>
          <w:b/>
          <w:bCs/>
        </w:rPr>
        <w:lastRenderedPageBreak/>
        <w:t>Technology and Infrastructure</w:t>
      </w:r>
      <w:r>
        <w:t>: Ensure that the organisation has the technology and infrastructure needed to support remote work, such as secure network access, collaboration tools, and communication platforms.</w:t>
      </w:r>
    </w:p>
    <w:p w14:paraId="2062F16C" w14:textId="77777777" w:rsidR="0007375A" w:rsidRDefault="0007375A" w:rsidP="0007375A">
      <w:r w:rsidRPr="0007375A">
        <w:rPr>
          <w:b/>
          <w:bCs/>
        </w:rPr>
        <w:t>Employee Preferences and Needs:</w:t>
      </w:r>
      <w:r>
        <w:t xml:space="preserve"> Conduct surveys or consult with employees to learn about their preferences and needs for flexible work. Consider personal factors such as childcare responsibilities, commuting distances, and health concerns.</w:t>
      </w:r>
    </w:p>
    <w:p w14:paraId="4E84E032" w14:textId="4F6EB5DD" w:rsidR="0007375A" w:rsidRDefault="0007375A" w:rsidP="0007375A">
      <w:r w:rsidRPr="0007375A">
        <w:rPr>
          <w:b/>
          <w:bCs/>
        </w:rPr>
        <w:t>Performance Metrics and Evaluation</w:t>
      </w:r>
      <w:r>
        <w:t>: Set clear performance metrics and expectations for employees who work under flexible conditions. Define the methods for measuring and evaluating performance to ensure accountability and productivity.</w:t>
      </w:r>
    </w:p>
    <w:p w14:paraId="00A4627B" w14:textId="087629DB" w:rsidR="0007375A" w:rsidRPr="00DF6EA5" w:rsidRDefault="0007375A" w:rsidP="0007375A">
      <w:r w:rsidRPr="0007375A">
        <w:rPr>
          <w:b/>
          <w:bCs/>
        </w:rPr>
        <w:t>Job Roles and Suitability:</w:t>
      </w:r>
      <w:r>
        <w:t xml:space="preserve"> Examine the nature of various job roles within the organisation to determine which are appropriate for flexible work arrangements. Some jobs may necessitate a physical presence in the office, while others can be done remotely.</w:t>
      </w:r>
    </w:p>
    <w:p w14:paraId="1958B502" w14:textId="77777777" w:rsidR="00331C06" w:rsidRDefault="00331C06" w:rsidP="00331C06">
      <w:pPr>
        <w:pStyle w:val="Heading2"/>
        <w:rPr>
          <w:rStyle w:val="eop"/>
          <w:rFonts w:asciiTheme="minorHAnsi" w:hAnsiTheme="minorHAnsi" w:cstheme="minorHAnsi"/>
          <w:b/>
          <w:bCs w:val="0"/>
          <w:szCs w:val="24"/>
        </w:rPr>
      </w:pPr>
      <w:bookmarkStart w:id="2" w:name="_Toc140666019"/>
      <w:r w:rsidRPr="00331C06">
        <w:rPr>
          <w:rStyle w:val="normaltextrun"/>
          <w:rFonts w:asciiTheme="minorHAnsi" w:hAnsiTheme="minorHAnsi" w:cstheme="minorHAnsi"/>
          <w:b/>
          <w:bCs w:val="0"/>
          <w:szCs w:val="24"/>
          <w:lang w:val="en-IN"/>
        </w:rPr>
        <w:t>Strategies to promote Employees engagement</w:t>
      </w:r>
      <w:bookmarkEnd w:id="2"/>
      <w:r w:rsidRPr="00331C06">
        <w:rPr>
          <w:rStyle w:val="eop"/>
          <w:rFonts w:asciiTheme="minorHAnsi" w:hAnsiTheme="minorHAnsi" w:cstheme="minorHAnsi"/>
          <w:b/>
          <w:bCs w:val="0"/>
          <w:szCs w:val="24"/>
        </w:rPr>
        <w:t> </w:t>
      </w:r>
    </w:p>
    <w:p w14:paraId="65F59D5C" w14:textId="77777777" w:rsidR="00331C06" w:rsidRDefault="00331C06" w:rsidP="00331C06">
      <w:pPr>
        <w:rPr>
          <w:lang w:eastAsia="zh-CN"/>
        </w:rPr>
      </w:pPr>
    </w:p>
    <w:p w14:paraId="6D819A14" w14:textId="77777777" w:rsidR="00331C06" w:rsidRDefault="00331C06" w:rsidP="00331C06">
      <w:pPr>
        <w:rPr>
          <w:lang w:eastAsia="zh-CN"/>
        </w:rPr>
      </w:pPr>
      <w:r>
        <w:rPr>
          <w:lang w:eastAsia="zh-CN"/>
        </w:rPr>
        <w:t>Employee engagement is critical for fostering a positive and productive work environment. Employees who are engaged are more committed, motivated, and satisfied with their jobs, which leads to increased efficiency and lower turnover. Here are some ideas for increasing employee engagement:</w:t>
      </w:r>
    </w:p>
    <w:p w14:paraId="2000DB4B" w14:textId="77777777" w:rsidR="00331C06" w:rsidRDefault="00331C06" w:rsidP="00331C06">
      <w:pPr>
        <w:rPr>
          <w:lang w:eastAsia="zh-CN"/>
        </w:rPr>
      </w:pPr>
    </w:p>
    <w:p w14:paraId="17831C2A" w14:textId="77777777" w:rsidR="00331C06" w:rsidRDefault="00331C06" w:rsidP="00331C06">
      <w:pPr>
        <w:rPr>
          <w:lang w:eastAsia="zh-CN"/>
        </w:rPr>
      </w:pPr>
      <w:r>
        <w:rPr>
          <w:lang w:eastAsia="zh-CN"/>
        </w:rPr>
        <w:t xml:space="preserve">  </w:t>
      </w:r>
    </w:p>
    <w:p w14:paraId="6ED3EB35" w14:textId="5A54D773" w:rsidR="00331C06" w:rsidRDefault="00331C06" w:rsidP="00331C06">
      <w:r w:rsidRPr="00331C06">
        <w:rPr>
          <w:b/>
          <w:bCs/>
          <w:lang w:eastAsia="zh-CN"/>
        </w:rPr>
        <w:t>Effective Communication</w:t>
      </w:r>
      <w:r>
        <w:rPr>
          <w:lang w:eastAsia="zh-CN"/>
        </w:rPr>
        <w:t>:</w:t>
      </w:r>
      <w:r>
        <w:rPr>
          <w:lang w:eastAsia="zh-CN"/>
        </w:rPr>
        <w:t xml:space="preserve">  </w:t>
      </w:r>
      <w:r w:rsidRPr="00331C06">
        <w:rPr>
          <w:lang w:eastAsia="zh-CN"/>
        </w:rPr>
        <w:t>Open and transparent communication channels are essential for effective communication. Share company updates, goals, and progress with employees on a regular basis. Encourage employee feedback and suggestions, and actively listen to their concerns.</w:t>
      </w:r>
      <w:r w:rsidRPr="00331C06">
        <w:t xml:space="preserve"> </w:t>
      </w:r>
      <w:r>
        <w:t>Effective communication is crucial for promoting employee engagement (</w:t>
      </w:r>
      <w:r w:rsidR="00A54043">
        <w:t>Irwin, D. 2001</w:t>
      </w:r>
      <w:r w:rsidR="00A54043">
        <w:t>)</w:t>
      </w:r>
    </w:p>
    <w:p w14:paraId="63A609DE" w14:textId="5B15C028" w:rsidR="00331C06" w:rsidRDefault="00331C06" w:rsidP="00331C06">
      <w:pPr>
        <w:rPr>
          <w:rStyle w:val="Strong"/>
          <w:b w:val="0"/>
          <w:bCs w:val="0"/>
        </w:rPr>
      </w:pPr>
      <w:r w:rsidRPr="00331C06">
        <w:rPr>
          <w:rStyle w:val="Strong"/>
        </w:rPr>
        <w:t>Recognition and Rewards</w:t>
      </w:r>
      <w:r w:rsidRPr="00331C06">
        <w:rPr>
          <w:rStyle w:val="Strong"/>
          <w:b w:val="0"/>
          <w:bCs w:val="0"/>
        </w:rPr>
        <w:t>:</w:t>
      </w:r>
      <w:r w:rsidRPr="00331C06">
        <w:rPr>
          <w:b/>
          <w:bCs/>
        </w:rPr>
        <w:t xml:space="preserve"> </w:t>
      </w:r>
      <w:r w:rsidRPr="00331C06">
        <w:rPr>
          <w:rStyle w:val="Strong"/>
          <w:b w:val="0"/>
          <w:bCs w:val="0"/>
        </w:rPr>
        <w:t xml:space="preserve">Recognise and appreciate your employees' efforts and accomplishments. Honour accomplishments and </w:t>
      </w:r>
      <w:r w:rsidRPr="00331C06">
        <w:rPr>
          <w:rStyle w:val="Strong"/>
          <w:b w:val="0"/>
          <w:bCs w:val="0"/>
        </w:rPr>
        <w:t>accomplishments and</w:t>
      </w:r>
      <w:r w:rsidRPr="00331C06">
        <w:rPr>
          <w:rStyle w:val="Strong"/>
          <w:b w:val="0"/>
          <w:bCs w:val="0"/>
        </w:rPr>
        <w:t xml:space="preserve"> think about implementing a reward and recognition programme to recognise outstanding performance.</w:t>
      </w:r>
    </w:p>
    <w:p w14:paraId="203533A6" w14:textId="421A4173" w:rsidR="000A7222" w:rsidRDefault="000A7222" w:rsidP="00331C06">
      <w:pPr>
        <w:rPr>
          <w:rStyle w:val="Strong"/>
          <w:b w:val="0"/>
          <w:bCs w:val="0"/>
        </w:rPr>
      </w:pPr>
      <w:r w:rsidRPr="000A7222">
        <w:rPr>
          <w:rStyle w:val="Strong"/>
          <w:b w:val="0"/>
          <w:bCs w:val="0"/>
        </w:rPr>
        <w:t>Employee motivation, engagement, and overall job satisfaction are all influenced by recognition and rewards in the workplace. Employees are more likely to be committed to their work and perform at their best when they feel appreciated and valued for their contributions.</w:t>
      </w:r>
      <w:r w:rsidR="00A54043">
        <w:rPr>
          <w:rStyle w:val="Strong"/>
          <w:b w:val="0"/>
          <w:bCs w:val="0"/>
        </w:rPr>
        <w:t xml:space="preserve"> </w:t>
      </w:r>
      <w:r w:rsidR="00A54043">
        <w:t>W</w:t>
      </w:r>
      <w:r w:rsidR="00A54043" w:rsidRPr="0091431F">
        <w:t>ork</w:t>
      </w:r>
      <w:r w:rsidR="00A54043">
        <w:t>place</w:t>
      </w:r>
      <w:r w:rsidR="0091431F" w:rsidRPr="0091431F">
        <w:t xml:space="preserve"> recognition and rewards are critical in motivating employees and increasing job satisfaction.</w:t>
      </w:r>
      <w:r w:rsidR="00A54043" w:rsidRPr="00A54043">
        <w:rPr>
          <w:i/>
          <w:iCs/>
        </w:rPr>
        <w:t xml:space="preserve"> </w:t>
      </w:r>
      <w:r w:rsidR="00A54043">
        <w:rPr>
          <w:i/>
          <w:iCs/>
        </w:rPr>
        <w:t>(</w:t>
      </w:r>
      <w:r w:rsidR="00A54043" w:rsidRPr="0091431F">
        <w:rPr>
          <w:i/>
          <w:iCs/>
        </w:rPr>
        <w:t>Ali, B. J., &amp; Anwar, G</w:t>
      </w:r>
      <w:r w:rsidR="00A54043" w:rsidRPr="0091431F">
        <w:t>. 2021</w:t>
      </w:r>
      <w:r w:rsidR="00A54043">
        <w:t>),</w:t>
      </w:r>
    </w:p>
    <w:p w14:paraId="1644DBB1" w14:textId="77777777" w:rsidR="00A907FE" w:rsidRDefault="00331C06" w:rsidP="00331C06">
      <w:r>
        <w:rPr>
          <w:rStyle w:val="Strong"/>
        </w:rPr>
        <w:t>Professional Development:</w:t>
      </w:r>
      <w:r>
        <w:rPr>
          <w:rStyle w:val="Strong"/>
        </w:rPr>
        <w:t xml:space="preserve"> </w:t>
      </w:r>
      <w:r w:rsidRPr="00331C06">
        <w:t>Offer opportunities for employees to grow and develop their skills. Provide training, workshops, seminars, and support career advancement within the organization.</w:t>
      </w:r>
    </w:p>
    <w:p w14:paraId="52A93565" w14:textId="0471A147" w:rsidR="00637C5C" w:rsidRPr="00637C5C" w:rsidRDefault="00331C06" w:rsidP="00331C06">
      <w:pPr>
        <w:rPr>
          <w:rStyle w:val="Strong"/>
          <w:b w:val="0"/>
          <w:bCs w:val="0"/>
        </w:rPr>
      </w:pPr>
      <w:r>
        <w:rPr>
          <w:rStyle w:val="Strong"/>
        </w:rPr>
        <w:t>Work-Life Balance:</w:t>
      </w:r>
      <w:r>
        <w:rPr>
          <w:rStyle w:val="Strong"/>
        </w:rPr>
        <w:t xml:space="preserve"> </w:t>
      </w:r>
      <w:r w:rsidRPr="00637C5C">
        <w:rPr>
          <w:rStyle w:val="Strong"/>
          <w:b w:val="0"/>
          <w:bCs w:val="0"/>
        </w:rPr>
        <w:t xml:space="preserve">Maintain a healthy work-life balance to avoid burnout and stress. </w:t>
      </w:r>
      <w:r w:rsidR="00637C5C" w:rsidRPr="00637C5C">
        <w:rPr>
          <w:rStyle w:val="Strong"/>
          <w:b w:val="0"/>
          <w:bCs w:val="0"/>
        </w:rPr>
        <w:t xml:space="preserve"> </w:t>
      </w:r>
      <w:proofErr w:type="spellStart"/>
      <w:r w:rsidR="00637C5C" w:rsidRPr="00637C5C">
        <w:rPr>
          <w:rStyle w:val="Strong"/>
          <w:b w:val="0"/>
          <w:bCs w:val="0"/>
        </w:rPr>
        <w:t>Greenco</w:t>
      </w:r>
      <w:proofErr w:type="spellEnd"/>
      <w:r w:rsidR="00637C5C" w:rsidRPr="00637C5C">
        <w:rPr>
          <w:rStyle w:val="Strong"/>
          <w:b w:val="0"/>
          <w:bCs w:val="0"/>
        </w:rPr>
        <w:t xml:space="preserve"> e</w:t>
      </w:r>
      <w:r w:rsidRPr="00637C5C">
        <w:rPr>
          <w:rStyle w:val="Strong"/>
          <w:b w:val="0"/>
          <w:bCs w:val="0"/>
        </w:rPr>
        <w:t>ncourage employees to take breaks and take advantage of their vacation days. When possible, consider offering flexible work arrangements or remote work options.</w:t>
      </w:r>
    </w:p>
    <w:p w14:paraId="114CBDE2" w14:textId="720EAB1F" w:rsidR="00A54043" w:rsidRPr="00637C5C" w:rsidRDefault="00637C5C" w:rsidP="00331C06">
      <w:r w:rsidRPr="00637C5C">
        <w:t xml:space="preserve">Achieving work-life balance is crucial because it directly impacts an individual's health, job satisfaction, productivity, and relationships. When people have time to relax and focus on personal activities, they can recharge and perform better in their professional </w:t>
      </w:r>
      <w:proofErr w:type="gramStart"/>
      <w:r w:rsidRPr="00637C5C">
        <w:t>roles</w:t>
      </w:r>
      <w:r w:rsidR="00A54043">
        <w:t>(</w:t>
      </w:r>
      <w:r w:rsidR="00A54043" w:rsidRPr="00A54043">
        <w:rPr>
          <w:i/>
          <w:iCs/>
        </w:rPr>
        <w:t xml:space="preserve"> </w:t>
      </w:r>
      <w:r w:rsidR="00A54043">
        <w:rPr>
          <w:i/>
          <w:iCs/>
        </w:rPr>
        <w:t>Work</w:t>
      </w:r>
      <w:proofErr w:type="gramEnd"/>
      <w:r w:rsidR="00A54043">
        <w:rPr>
          <w:i/>
          <w:iCs/>
        </w:rPr>
        <w:t>/Life Balance.</w:t>
      </w:r>
      <w:r w:rsidR="00A54043">
        <w:t>2005)</w:t>
      </w:r>
    </w:p>
    <w:p w14:paraId="39873E3F" w14:textId="77777777" w:rsidR="00D205E7" w:rsidRDefault="002F00C3">
      <w:r>
        <w:rPr>
          <w:rStyle w:val="Strong"/>
        </w:rPr>
        <w:t>Flexible Working Hours</w:t>
      </w:r>
      <w:r w:rsidRPr="00637C5C">
        <w:rPr>
          <w:rStyle w:val="Strong"/>
        </w:rPr>
        <w:t xml:space="preserve">: </w:t>
      </w:r>
      <w:r w:rsidRPr="00637C5C">
        <w:rPr>
          <w:rStyle w:val="Strong"/>
          <w:b w:val="0"/>
          <w:bCs w:val="0"/>
        </w:rPr>
        <w:t>Offering flexibility in work arrangements, including the implementation of core working hours, is one strategy for increasing employee engagement. This method recognises the importance of work-life balance and recognises that different employees possess various timetable needs and preferences.</w:t>
      </w:r>
      <w:r w:rsidRPr="00637C5C">
        <w:rPr>
          <w:b/>
          <w:bCs/>
        </w:rPr>
        <w:t xml:space="preserve"> </w:t>
      </w:r>
      <w:r w:rsidRPr="00637C5C">
        <w:t>In this approach, employees may have the option to set their own schedules to some extent or choose from predefined core working hours</w:t>
      </w:r>
      <w:r w:rsidR="00D205E7">
        <w:t>.</w:t>
      </w:r>
    </w:p>
    <w:p w14:paraId="328B4745" w14:textId="77777777" w:rsidR="00D205E7" w:rsidRDefault="00D205E7"/>
    <w:p w14:paraId="066CEA2B" w14:textId="0578B783" w:rsidR="00D205E7" w:rsidRDefault="00D205E7">
      <w:pPr>
        <w:rPr>
          <w:rFonts w:asciiTheme="minorHAnsi" w:hAnsiTheme="minorHAnsi" w:cstheme="minorHAnsi"/>
          <w:b/>
          <w:bCs/>
        </w:rPr>
      </w:pPr>
      <w:r w:rsidRPr="00D205E7">
        <w:rPr>
          <w:rFonts w:asciiTheme="minorHAnsi" w:hAnsiTheme="minorHAnsi" w:cstheme="minorHAnsi"/>
          <w:b/>
          <w:bCs/>
        </w:rPr>
        <w:t>Conclusion</w:t>
      </w:r>
    </w:p>
    <w:p w14:paraId="29DF5CB5" w14:textId="77777777" w:rsidR="00D205E7" w:rsidRDefault="00D205E7">
      <w:pPr>
        <w:rPr>
          <w:rFonts w:asciiTheme="minorHAnsi" w:hAnsiTheme="minorHAnsi" w:cstheme="minorHAnsi"/>
          <w:b/>
          <w:bCs/>
        </w:rPr>
      </w:pPr>
    </w:p>
    <w:p w14:paraId="72AC6A9A" w14:textId="0F9DE281" w:rsidR="00D205E7" w:rsidRDefault="00D205E7" w:rsidP="00D205E7">
      <w:r>
        <w:t>Flexible working can be extremely beneficial to both employees and employers. It allows for a more adaptable and inclusive work environment, which leads to higher job satisfaction and overall productivity. Flexible working can foster a better work-life balance, reduce stress, and boost employee morale by giving employees more control over their work schedules and locations.</w:t>
      </w:r>
    </w:p>
    <w:p w14:paraId="5B829CF7" w14:textId="77777777" w:rsidR="00D205E7" w:rsidRDefault="00D205E7" w:rsidP="00D205E7"/>
    <w:p w14:paraId="07ECF440" w14:textId="3CCC95DC" w:rsidR="00082269" w:rsidRDefault="00D205E7" w:rsidP="00D205E7">
      <w:r>
        <w:t xml:space="preserve">From the perspective of an employer, embracing flexible working can result in a more diverse and talented workforce by </w:t>
      </w:r>
      <w:proofErr w:type="gramStart"/>
      <w:r>
        <w:t>opening up</w:t>
      </w:r>
      <w:proofErr w:type="gramEnd"/>
      <w:r>
        <w:t xml:space="preserve"> opportunities for individuals who might not have been able to participate in traditional working arrangements due to a variety of personal circumstances. This can result in higher retention rates and lower recruitment costs.</w:t>
      </w:r>
    </w:p>
    <w:p w14:paraId="507D65D3" w14:textId="77777777" w:rsidR="00D205E7" w:rsidRDefault="00D205E7" w:rsidP="00D205E7"/>
    <w:p w14:paraId="363C0B83" w14:textId="77777777" w:rsidR="00D205E7" w:rsidRPr="00637C5C" w:rsidRDefault="00D205E7" w:rsidP="00D205E7"/>
    <w:p w14:paraId="5C487529" w14:textId="4C977222" w:rsidR="00082269" w:rsidRPr="00850123" w:rsidRDefault="00850123">
      <w:pPr>
        <w:rPr>
          <w:rFonts w:asciiTheme="minorHAnsi" w:hAnsiTheme="minorHAnsi" w:cstheme="minorHAnsi"/>
          <w:b/>
          <w:bCs/>
        </w:rPr>
      </w:pPr>
      <w:r w:rsidRPr="00850123">
        <w:rPr>
          <w:rFonts w:asciiTheme="minorHAnsi" w:hAnsiTheme="minorHAnsi" w:cstheme="minorHAnsi"/>
          <w:b/>
          <w:bCs/>
        </w:rPr>
        <w:t>Reference</w:t>
      </w:r>
    </w:p>
    <w:p w14:paraId="114DE2ED" w14:textId="77777777" w:rsidR="00850123" w:rsidRDefault="00850123"/>
    <w:p w14:paraId="717C3334" w14:textId="77777777" w:rsidR="00850123" w:rsidRDefault="00850123" w:rsidP="00850123">
      <w:r w:rsidRPr="0091431F">
        <w:t xml:space="preserve">Ali, </w:t>
      </w:r>
      <w:proofErr w:type="spellStart"/>
      <w:r w:rsidRPr="0091431F">
        <w:t>Bayad</w:t>
      </w:r>
      <w:proofErr w:type="spellEnd"/>
      <w:r w:rsidRPr="0091431F">
        <w:t xml:space="preserve"> Jamal and Anwar, </w:t>
      </w:r>
      <w:proofErr w:type="spellStart"/>
      <w:r w:rsidRPr="0091431F">
        <w:t>Govand</w:t>
      </w:r>
      <w:proofErr w:type="spellEnd"/>
      <w:r w:rsidRPr="0091431F">
        <w:t xml:space="preserve">, An Empirical Study of Employees’ Motivation and Its Influence Job Satisfaction (April 8, 2021). Ali, B. J., &amp; Anwar, G. (2021). An Empirical Study of Employees’ Motivation and its Influence Job Satisfaction. International Journal of Engineering, Business and Management, 5(2), 21–30. https://doi.org/10.22161/ijebm.5.2.3, Available at SSRN: </w:t>
      </w:r>
      <w:hyperlink r:id="rId5" w:tgtFrame="_blank" w:history="1">
        <w:r w:rsidRPr="0091431F">
          <w:rPr>
            <w:color w:val="0000FF"/>
            <w:u w:val="single"/>
          </w:rPr>
          <w:t>https://ssrn.com/abstract=3822723</w:t>
        </w:r>
      </w:hyperlink>
      <w:r w:rsidRPr="0091431F">
        <w:t xml:space="preserve"> </w:t>
      </w:r>
    </w:p>
    <w:p w14:paraId="5DB51974" w14:textId="77777777" w:rsidR="00850123" w:rsidRDefault="00850123" w:rsidP="00850123">
      <w:r>
        <w:t xml:space="preserve">Cooper, C.L., Robertson, I.T. and Cooper, C.L. (Cary L. (2003) </w:t>
      </w:r>
      <w:r>
        <w:rPr>
          <w:i/>
          <w:iCs/>
        </w:rPr>
        <w:t>International review of industrial and organizational psychology. Vol.18, 2003</w:t>
      </w:r>
      <w:r>
        <w:t>. Chichester: Wiley.</w:t>
      </w:r>
    </w:p>
    <w:p w14:paraId="5EF765F7" w14:textId="77777777" w:rsidR="00850123" w:rsidRDefault="00850123" w:rsidP="00850123">
      <w:r>
        <w:t xml:space="preserve">Irwin, D. (2001) </w:t>
      </w:r>
      <w:r>
        <w:rPr>
          <w:i/>
          <w:iCs/>
        </w:rPr>
        <w:t>Effective Business Communications</w:t>
      </w:r>
      <w:r>
        <w:t>. Place of publication not identified: Thorogood.</w:t>
      </w:r>
    </w:p>
    <w:p w14:paraId="7904AD59" w14:textId="77777777" w:rsidR="00850123" w:rsidRDefault="00850123" w:rsidP="00850123">
      <w:proofErr w:type="spellStart"/>
      <w:r>
        <w:t>Pilbeam</w:t>
      </w:r>
      <w:proofErr w:type="spellEnd"/>
      <w:r>
        <w:t xml:space="preserve">, S. (2010) </w:t>
      </w:r>
      <w:r>
        <w:rPr>
          <w:i/>
          <w:iCs/>
        </w:rPr>
        <w:t xml:space="preserve">People resourcing and talent </w:t>
      </w:r>
      <w:proofErr w:type="gramStart"/>
      <w:r>
        <w:rPr>
          <w:i/>
          <w:iCs/>
        </w:rPr>
        <w:t>planning :</w:t>
      </w:r>
      <w:proofErr w:type="gramEnd"/>
      <w:r>
        <w:rPr>
          <w:i/>
          <w:iCs/>
        </w:rPr>
        <w:t xml:space="preserve"> HRM in practice </w:t>
      </w:r>
      <w:r>
        <w:t xml:space="preserve">. Fourth edition. Harlow, </w:t>
      </w:r>
      <w:proofErr w:type="gramStart"/>
      <w:r>
        <w:t>England :</w:t>
      </w:r>
      <w:proofErr w:type="gramEnd"/>
      <w:r>
        <w:t>, Pearson Education Limited.</w:t>
      </w:r>
    </w:p>
    <w:p w14:paraId="6606E185" w14:textId="77777777" w:rsidR="00850123" w:rsidRDefault="00850123" w:rsidP="00850123">
      <w:r>
        <w:t xml:space="preserve">Safety Culture,29 March 2023, The benefit of using agricultural </w:t>
      </w:r>
      <w:proofErr w:type="spellStart"/>
      <w:proofErr w:type="gramStart"/>
      <w:r>
        <w:t>machinery,Paredes</w:t>
      </w:r>
      <w:proofErr w:type="spellEnd"/>
      <w:proofErr w:type="gramEnd"/>
      <w:r>
        <w:t>, R.(2023) Safety Culture. Available at:</w:t>
      </w:r>
      <w:r w:rsidRPr="00304003">
        <w:t xml:space="preserve"> </w:t>
      </w:r>
      <w:hyperlink r:id="rId6" w:history="1">
        <w:r w:rsidRPr="0086150A">
          <w:rPr>
            <w:rStyle w:val="Hyperlink"/>
          </w:rPr>
          <w:t>https://safetyculture.com/top</w:t>
        </w:r>
        <w:r w:rsidRPr="0086150A">
          <w:rPr>
            <w:rStyle w:val="Hyperlink"/>
          </w:rPr>
          <w:t>i</w:t>
        </w:r>
        <w:r w:rsidRPr="0086150A">
          <w:rPr>
            <w:rStyle w:val="Hyperlink"/>
          </w:rPr>
          <w:t>cs/agricultural-machinery</w:t>
        </w:r>
      </w:hyperlink>
      <w:r>
        <w:t xml:space="preserve">  </w:t>
      </w:r>
      <w:r>
        <w:rPr>
          <w:rStyle w:val="Hyperlink"/>
        </w:rPr>
        <w:t>(Accessed: 25 July 2023)</w:t>
      </w:r>
    </w:p>
    <w:p w14:paraId="1D3D1B67" w14:textId="77777777" w:rsidR="00850123" w:rsidRDefault="00850123" w:rsidP="00850123">
      <w:r>
        <w:t xml:space="preserve">Sharma, N. </w:t>
      </w:r>
      <w:r>
        <w:rPr>
          <w:i/>
          <w:iCs/>
        </w:rPr>
        <w:t>et al.</w:t>
      </w:r>
      <w:r>
        <w:t xml:space="preserve"> (2019) </w:t>
      </w:r>
      <w:r>
        <w:rPr>
          <w:i/>
          <w:iCs/>
        </w:rPr>
        <w:t>Management techniques for employee engagement in contemporary organizations</w:t>
      </w:r>
      <w:r>
        <w:t xml:space="preserve">. Edited by N. Sharma, N. Chaudhary, and V.K. Singh. Hershey, Pennsylvania: IGI Global. Available at: </w:t>
      </w:r>
      <w:hyperlink r:id="rId7" w:history="1">
        <w:r w:rsidRPr="0086150A">
          <w:rPr>
            <w:rStyle w:val="Hyperlink"/>
          </w:rPr>
          <w:t>https://doi.org/10.4018/978-1-5225-7799-7</w:t>
        </w:r>
      </w:hyperlink>
    </w:p>
    <w:p w14:paraId="5970A372" w14:textId="77777777" w:rsidR="00850123" w:rsidRDefault="00850123" w:rsidP="00850123">
      <w:proofErr w:type="gramStart"/>
      <w:r>
        <w:t>SHRM(</w:t>
      </w:r>
      <w:proofErr w:type="gramEnd"/>
      <w:r>
        <w:t xml:space="preserve">2020). Employee Benefits 2020.Available at: </w:t>
      </w:r>
      <w:hyperlink r:id="rId8" w:history="1">
        <w:r w:rsidRPr="0086150A">
          <w:rPr>
            <w:rStyle w:val="Hyperlink"/>
          </w:rPr>
          <w:t>https://shrm-res.cloudinary.com/image/upload/v1630503564/2020%20Employee%20Benefits/Benefits_Full_Report_FINAL_1.pdf</w:t>
        </w:r>
      </w:hyperlink>
      <w:r>
        <w:t xml:space="preserve"> </w:t>
      </w:r>
    </w:p>
    <w:p w14:paraId="6919F089" w14:textId="77777777" w:rsidR="00850123" w:rsidRDefault="00850123" w:rsidP="00850123">
      <w:r>
        <w:t xml:space="preserve">Torrington, D. (2020) </w:t>
      </w:r>
      <w:r>
        <w:rPr>
          <w:i/>
          <w:iCs/>
        </w:rPr>
        <w:t xml:space="preserve">Human resource </w:t>
      </w:r>
      <w:proofErr w:type="gramStart"/>
      <w:r>
        <w:rPr>
          <w:i/>
          <w:iCs/>
        </w:rPr>
        <w:t xml:space="preserve">management </w:t>
      </w:r>
      <w:r>
        <w:t>.</w:t>
      </w:r>
      <w:proofErr w:type="gramEnd"/>
      <w:r>
        <w:t xml:space="preserve"> 11th edition. </w:t>
      </w:r>
      <w:proofErr w:type="gramStart"/>
      <w:r>
        <w:t>Harlow :</w:t>
      </w:r>
      <w:proofErr w:type="gramEnd"/>
      <w:r>
        <w:t>, Pearson Education Limited.</w:t>
      </w:r>
    </w:p>
    <w:p w14:paraId="2AEF2907" w14:textId="77777777" w:rsidR="00850123" w:rsidRDefault="00850123" w:rsidP="00850123">
      <w:r>
        <w:rPr>
          <w:i/>
          <w:iCs/>
        </w:rPr>
        <w:t>Work/Life Balance.</w:t>
      </w:r>
      <w:r>
        <w:t xml:space="preserve"> (2005). Place of publication not identified: Teachers TV/UK Department of Education.</w:t>
      </w:r>
    </w:p>
    <w:p w14:paraId="5A272B2C" w14:textId="77777777" w:rsidR="00850123" w:rsidRDefault="00850123"/>
    <w:p w14:paraId="2E926A6D" w14:textId="77777777" w:rsidR="00850123" w:rsidRDefault="00850123"/>
    <w:p w14:paraId="0639E646" w14:textId="77777777" w:rsidR="00850123" w:rsidRDefault="00850123"/>
    <w:p w14:paraId="0227940A" w14:textId="77777777" w:rsidR="00082269" w:rsidRDefault="00082269"/>
    <w:p w14:paraId="618CEE8D" w14:textId="77777777" w:rsidR="00082269" w:rsidRDefault="00082269"/>
    <w:p w14:paraId="3753E0FE" w14:textId="77777777" w:rsidR="00082269" w:rsidRDefault="00082269"/>
    <w:p w14:paraId="7949BF7E" w14:textId="77777777" w:rsidR="00082269" w:rsidRDefault="00082269"/>
    <w:p w14:paraId="1B5ADFF8" w14:textId="77777777" w:rsidR="0091431F" w:rsidRDefault="0091431F"/>
    <w:p w14:paraId="0D1A237C" w14:textId="77777777" w:rsidR="0091431F" w:rsidRDefault="0091431F"/>
    <w:p w14:paraId="02B0DD98" w14:textId="77777777" w:rsidR="0091431F" w:rsidRDefault="0091431F"/>
    <w:p w14:paraId="4DD9F917" w14:textId="77777777" w:rsidR="0091431F" w:rsidRDefault="0091431F"/>
    <w:p w14:paraId="6822A58E" w14:textId="3C21FCA9" w:rsidR="00A54043" w:rsidRDefault="00A54043"/>
    <w:p w14:paraId="051C62BE" w14:textId="77777777" w:rsidR="00A54043" w:rsidRDefault="00A54043"/>
    <w:p w14:paraId="61386321" w14:textId="77777777" w:rsidR="00605185" w:rsidRDefault="00605185"/>
    <w:p w14:paraId="6B607A0A" w14:textId="77777777" w:rsidR="00605185" w:rsidRDefault="00605185"/>
    <w:p w14:paraId="3F76C947" w14:textId="77777777" w:rsidR="00A54043" w:rsidRDefault="00A54043"/>
    <w:p w14:paraId="37F7BA8B" w14:textId="77777777" w:rsidR="00200E92" w:rsidRDefault="00200E92"/>
    <w:sectPr w:rsidR="00200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334696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92B"/>
    <w:rsid w:val="0007375A"/>
    <w:rsid w:val="00082269"/>
    <w:rsid w:val="000A7222"/>
    <w:rsid w:val="000F0400"/>
    <w:rsid w:val="00127B49"/>
    <w:rsid w:val="00200E92"/>
    <w:rsid w:val="002F00C3"/>
    <w:rsid w:val="00304003"/>
    <w:rsid w:val="00331C06"/>
    <w:rsid w:val="00366690"/>
    <w:rsid w:val="003C292B"/>
    <w:rsid w:val="003D5D5E"/>
    <w:rsid w:val="004571F5"/>
    <w:rsid w:val="005E002A"/>
    <w:rsid w:val="00605185"/>
    <w:rsid w:val="00637C5C"/>
    <w:rsid w:val="00676717"/>
    <w:rsid w:val="00850123"/>
    <w:rsid w:val="008D7C45"/>
    <w:rsid w:val="0091431F"/>
    <w:rsid w:val="00A54043"/>
    <w:rsid w:val="00A907FE"/>
    <w:rsid w:val="00B425B9"/>
    <w:rsid w:val="00B805CB"/>
    <w:rsid w:val="00C67CBF"/>
    <w:rsid w:val="00CF73B2"/>
    <w:rsid w:val="00D205E7"/>
    <w:rsid w:val="00D438EC"/>
    <w:rsid w:val="00DE2AFA"/>
    <w:rsid w:val="00EE6E1E"/>
    <w:rsid w:val="00F03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D2D28"/>
  <w15:chartTrackingRefBased/>
  <w15:docId w15:val="{574DF991-AF71-8442-BC2D-D425EF6F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31F"/>
    <w:rPr>
      <w:rFonts w:ascii="Times New Roman" w:eastAsia="Times New Roman" w:hAnsi="Times New Roman" w:cs="Times New Roman"/>
      <w:lang w:eastAsia="en-GB"/>
    </w:rPr>
  </w:style>
  <w:style w:type="paragraph" w:styleId="Heading2">
    <w:name w:val="heading 2"/>
    <w:basedOn w:val="Normal"/>
    <w:next w:val="Normal"/>
    <w:link w:val="Heading2Char"/>
    <w:qFormat/>
    <w:rsid w:val="00127B49"/>
    <w:pPr>
      <w:keepNext/>
      <w:keepLines/>
      <w:numPr>
        <w:ilvl w:val="1"/>
        <w:numId w:val="1"/>
      </w:numPr>
      <w:suppressAutoHyphens/>
      <w:spacing w:before="113" w:line="360" w:lineRule="auto"/>
      <w:jc w:val="both"/>
      <w:outlineLvl w:val="1"/>
    </w:pPr>
    <w:rPr>
      <w:bCs/>
      <w:color w:val="000000"/>
      <w:szCs w:val="26"/>
      <w:u w:val="single"/>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269"/>
    <w:rPr>
      <w:color w:val="0563C1" w:themeColor="hyperlink"/>
      <w:u w:val="single"/>
    </w:rPr>
  </w:style>
  <w:style w:type="character" w:styleId="UnresolvedMention">
    <w:name w:val="Unresolved Mention"/>
    <w:basedOn w:val="DefaultParagraphFont"/>
    <w:uiPriority w:val="99"/>
    <w:semiHidden/>
    <w:unhideWhenUsed/>
    <w:rsid w:val="00082269"/>
    <w:rPr>
      <w:color w:val="605E5C"/>
      <w:shd w:val="clear" w:color="auto" w:fill="E1DFDD"/>
    </w:rPr>
  </w:style>
  <w:style w:type="character" w:customStyle="1" w:styleId="Heading2Char">
    <w:name w:val="Heading 2 Char"/>
    <w:basedOn w:val="DefaultParagraphFont"/>
    <w:link w:val="Heading2"/>
    <w:rsid w:val="00127B49"/>
    <w:rPr>
      <w:rFonts w:ascii="Times New Roman" w:eastAsia="Times New Roman" w:hAnsi="Times New Roman" w:cs="Times New Roman"/>
      <w:bCs/>
      <w:color w:val="000000"/>
      <w:szCs w:val="26"/>
      <w:u w:val="single"/>
      <w:lang w:eastAsia="zh-CN"/>
    </w:rPr>
  </w:style>
  <w:style w:type="character" w:customStyle="1" w:styleId="normaltextrun">
    <w:name w:val="normaltextrun"/>
    <w:basedOn w:val="DefaultParagraphFont"/>
    <w:rsid w:val="00127B49"/>
  </w:style>
  <w:style w:type="character" w:customStyle="1" w:styleId="eop">
    <w:name w:val="eop"/>
    <w:basedOn w:val="DefaultParagraphFont"/>
    <w:rsid w:val="00127B49"/>
  </w:style>
  <w:style w:type="character" w:styleId="Strong">
    <w:name w:val="Strong"/>
    <w:basedOn w:val="DefaultParagraphFont"/>
    <w:uiPriority w:val="22"/>
    <w:qFormat/>
    <w:rsid w:val="00331C06"/>
    <w:rPr>
      <w:b/>
      <w:bCs/>
    </w:rPr>
  </w:style>
  <w:style w:type="paragraph" w:styleId="NormalWeb">
    <w:name w:val="Normal (Web)"/>
    <w:basedOn w:val="Normal"/>
    <w:uiPriority w:val="99"/>
    <w:semiHidden/>
    <w:unhideWhenUsed/>
    <w:rsid w:val="00F03B8A"/>
    <w:pPr>
      <w:spacing w:before="100" w:beforeAutospacing="1" w:after="100" w:afterAutospacing="1"/>
    </w:pPr>
  </w:style>
  <w:style w:type="character" w:styleId="FollowedHyperlink">
    <w:name w:val="FollowedHyperlink"/>
    <w:basedOn w:val="DefaultParagraphFont"/>
    <w:uiPriority w:val="99"/>
    <w:semiHidden/>
    <w:unhideWhenUsed/>
    <w:rsid w:val="00914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67332">
      <w:bodyDiv w:val="1"/>
      <w:marLeft w:val="0"/>
      <w:marRight w:val="0"/>
      <w:marTop w:val="0"/>
      <w:marBottom w:val="0"/>
      <w:divBdr>
        <w:top w:val="none" w:sz="0" w:space="0" w:color="auto"/>
        <w:left w:val="none" w:sz="0" w:space="0" w:color="auto"/>
        <w:bottom w:val="none" w:sz="0" w:space="0" w:color="auto"/>
        <w:right w:val="none" w:sz="0" w:space="0" w:color="auto"/>
      </w:divBdr>
      <w:divsChild>
        <w:div w:id="36317968">
          <w:marLeft w:val="0"/>
          <w:marRight w:val="0"/>
          <w:marTop w:val="0"/>
          <w:marBottom w:val="0"/>
          <w:divBdr>
            <w:top w:val="none" w:sz="0" w:space="0" w:color="auto"/>
            <w:left w:val="none" w:sz="0" w:space="0" w:color="auto"/>
            <w:bottom w:val="none" w:sz="0" w:space="0" w:color="auto"/>
            <w:right w:val="none" w:sz="0" w:space="0" w:color="auto"/>
          </w:divBdr>
        </w:div>
      </w:divsChild>
    </w:div>
    <w:div w:id="1243292395">
      <w:bodyDiv w:val="1"/>
      <w:marLeft w:val="0"/>
      <w:marRight w:val="0"/>
      <w:marTop w:val="0"/>
      <w:marBottom w:val="0"/>
      <w:divBdr>
        <w:top w:val="none" w:sz="0" w:space="0" w:color="auto"/>
        <w:left w:val="none" w:sz="0" w:space="0" w:color="auto"/>
        <w:bottom w:val="none" w:sz="0" w:space="0" w:color="auto"/>
        <w:right w:val="none" w:sz="0" w:space="0" w:color="auto"/>
      </w:divBdr>
      <w:divsChild>
        <w:div w:id="1695689046">
          <w:marLeft w:val="0"/>
          <w:marRight w:val="0"/>
          <w:marTop w:val="0"/>
          <w:marBottom w:val="0"/>
          <w:divBdr>
            <w:top w:val="none" w:sz="0" w:space="0" w:color="auto"/>
            <w:left w:val="none" w:sz="0" w:space="0" w:color="auto"/>
            <w:bottom w:val="none" w:sz="0" w:space="0" w:color="auto"/>
            <w:right w:val="none" w:sz="0" w:space="0" w:color="auto"/>
          </w:divBdr>
          <w:divsChild>
            <w:div w:id="1177109708">
              <w:marLeft w:val="0"/>
              <w:marRight w:val="0"/>
              <w:marTop w:val="0"/>
              <w:marBottom w:val="0"/>
              <w:divBdr>
                <w:top w:val="none" w:sz="0" w:space="0" w:color="auto"/>
                <w:left w:val="none" w:sz="0" w:space="0" w:color="auto"/>
                <w:bottom w:val="none" w:sz="0" w:space="0" w:color="auto"/>
                <w:right w:val="none" w:sz="0" w:space="0" w:color="auto"/>
              </w:divBdr>
              <w:divsChild>
                <w:div w:id="99171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rm-res.cloudinary.com/image/upload/v1630503564/2020%20Employee%20Benefits/Benefits_Full_Report_FINAL_1.pdf" TargetMode="External"/><Relationship Id="rId3" Type="http://schemas.openxmlformats.org/officeDocument/2006/relationships/settings" Target="settings.xml"/><Relationship Id="rId7" Type="http://schemas.openxmlformats.org/officeDocument/2006/relationships/hyperlink" Target="https://doi.org/10.4018/978-1-5225-7799-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afetyculture.com/topics/agricultural-machinery" TargetMode="External"/><Relationship Id="rId5" Type="http://schemas.openxmlformats.org/officeDocument/2006/relationships/hyperlink" Target="https://ssrn.com/abstract=382272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6</Pages>
  <Words>2318</Words>
  <Characters>13215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2023-07-24T15:45:00Z</dcterms:created>
  <dcterms:modified xsi:type="dcterms:W3CDTF">2023-07-25T16:57:00Z</dcterms:modified>
</cp:coreProperties>
</file>