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4097"/>
        <w:spacing w:lineRule="auto" w:line="360"/>
        <w:jc w:val="center"/>
        <w:rPr>
          <w:rFonts w:ascii="Times New Roman" w:cs="Times New Roman" w:eastAsia="Times New Roman" w:hAnsi="Times New Roman"/>
          <w:b/>
          <w:sz w:val="32"/>
          <w:szCs w:val="32"/>
        </w:rPr>
      </w:pPr>
    </w:p>
    <w:p>
      <w:pPr>
        <w:pStyle w:val="style4097"/>
        <w:spacing w:lineRule="auto" w:line="360"/>
        <w:jc w:val="center"/>
        <w:rPr>
          <w:rFonts w:ascii="Times New Roman" w:cs="Times New Roman" w:eastAsia="Times New Roman" w:hAnsi="Times New Roman"/>
          <w:b/>
          <w:sz w:val="32"/>
          <w:szCs w:val="32"/>
        </w:rPr>
      </w:pPr>
    </w:p>
    <w:p>
      <w:pPr>
        <w:pStyle w:val="style4097"/>
        <w:spacing w:lineRule="auto" w:line="360"/>
        <w:jc w:val="center"/>
        <w:rPr>
          <w:rFonts w:ascii="Times New Roman" w:cs="Times New Roman" w:eastAsia="Times New Roman" w:hAnsi="Times New Roman"/>
          <w:b/>
          <w:sz w:val="32"/>
          <w:szCs w:val="32"/>
        </w:rPr>
      </w:pPr>
    </w:p>
    <w:p>
      <w:pPr>
        <w:pStyle w:val="style4097"/>
        <w:spacing w:lineRule="auto" w:line="360"/>
        <w:jc w:val="center"/>
        <w:rPr>
          <w:rFonts w:ascii="Times New Roman" w:cs="Times New Roman" w:eastAsia="Times New Roman" w:hAnsi="Times New Roman"/>
          <w:b/>
          <w:sz w:val="32"/>
          <w:szCs w:val="32"/>
        </w:rPr>
      </w:pPr>
    </w:p>
    <w:p>
      <w:pPr>
        <w:pStyle w:val="style4097"/>
        <w:spacing w:lineRule="auto" w:line="360"/>
        <w:jc w:val="center"/>
        <w:rPr>
          <w:rFonts w:ascii="Times New Roman" w:cs="Times New Roman" w:eastAsia="Times New Roman" w:hAnsi="Times New Roman"/>
          <w:b/>
          <w:sz w:val="32"/>
          <w:szCs w:val="32"/>
        </w:rPr>
      </w:pPr>
    </w:p>
    <w:p>
      <w:pPr>
        <w:pStyle w:val="style4097"/>
        <w:spacing w:lineRule="auto" w:line="360"/>
        <w:jc w:val="center"/>
        <w:rPr>
          <w:rFonts w:ascii="Times New Roman" w:cs="Times New Roman" w:eastAsia="Times New Roman" w:hAnsi="Times New Roman"/>
          <w:b/>
          <w:sz w:val="32"/>
          <w:szCs w:val="32"/>
        </w:rPr>
      </w:pPr>
      <w:r>
        <w:rPr>
          <w:rFonts w:ascii="Times New Roman" w:cs="Times New Roman" w:eastAsia="Times New Roman" w:hAnsi="Times New Roman"/>
          <w:b/>
          <w:sz w:val="32"/>
          <w:szCs w:val="32"/>
        </w:rPr>
        <w:t xml:space="preserve">     </w:t>
      </w:r>
      <w:r>
        <w:rPr>
          <w:rFonts w:ascii="Times New Roman" w:cs="Times New Roman" w:eastAsia="Times New Roman" w:hAnsi="Times New Roman"/>
          <w:b/>
          <w:sz w:val="32"/>
          <w:szCs w:val="32"/>
        </w:rPr>
        <w:t xml:space="preserve">   </w:t>
      </w:r>
    </w:p>
    <w:p>
      <w:pPr>
        <w:pStyle w:val="style4097"/>
        <w:spacing w:lineRule="auto" w:line="360"/>
        <w:jc w:val="center"/>
        <w:rPr>
          <w:rFonts w:ascii="Times New Roman" w:cs="Times New Roman" w:eastAsia="Times New Roman" w:hAnsi="Times New Roman"/>
          <w:b/>
          <w:sz w:val="32"/>
          <w:szCs w:val="32"/>
        </w:rPr>
      </w:pPr>
    </w:p>
    <w:p>
      <w:pPr>
        <w:pStyle w:val="style4097"/>
        <w:spacing w:lineRule="auto" w:line="360"/>
        <w:jc w:val="center"/>
        <w:rPr>
          <w:rFonts w:ascii="Times New Roman" w:cs="Times New Roman" w:eastAsia="Times New Roman" w:hAnsi="Times New Roman"/>
          <w:b/>
          <w:sz w:val="32"/>
          <w:szCs w:val="32"/>
        </w:rPr>
      </w:pPr>
    </w:p>
    <w:p>
      <w:pPr>
        <w:pStyle w:val="style4097"/>
        <w:spacing w:lineRule="auto" w:line="360"/>
        <w:jc w:val="center"/>
        <w:rPr>
          <w:rFonts w:ascii="Times New Roman" w:cs="Times New Roman" w:eastAsia="Times New Roman" w:hAnsi="Times New Roman"/>
          <w:b/>
          <w:sz w:val="32"/>
          <w:szCs w:val="32"/>
        </w:rPr>
      </w:pPr>
    </w:p>
    <w:p>
      <w:pPr>
        <w:pStyle w:val="style4097"/>
        <w:spacing w:lineRule="auto" w:line="360"/>
        <w:jc w:val="center"/>
        <w:rPr>
          <w:rFonts w:ascii="Times New Roman" w:cs="Times New Roman" w:eastAsia="Times New Roman" w:hAnsi="Times New Roman"/>
          <w:b/>
          <w:sz w:val="32"/>
          <w:szCs w:val="32"/>
        </w:rPr>
      </w:pPr>
    </w:p>
    <w:p>
      <w:pPr>
        <w:pStyle w:val="style4097"/>
        <w:spacing w:lineRule="auto" w:line="360"/>
        <w:jc w:val="left"/>
        <w:rPr>
          <w:rFonts w:ascii="Times New Roman" w:cs="Times New Roman" w:eastAsia="Times New Roman" w:hAnsi="Times New Roman"/>
          <w:b/>
          <w:sz w:val="32"/>
          <w:szCs w:val="32"/>
        </w:rPr>
      </w:pPr>
    </w:p>
    <w:p>
      <w:pPr>
        <w:pStyle w:val="style4097"/>
        <w:spacing w:lineRule="auto" w:line="360"/>
        <w:jc w:val="center"/>
        <w:rPr>
          <w:rFonts w:ascii="Times New Roman" w:cs="Times New Roman" w:eastAsia="Times New Roman" w:hAnsi="Times New Roman"/>
          <w:sz w:val="28"/>
          <w:szCs w:val="28"/>
        </w:rPr>
      </w:pPr>
    </w:p>
    <w:p>
      <w:pPr>
        <w:pStyle w:val="style4097"/>
        <w:spacing w:lineRule="auto" w:line="360"/>
        <w:jc w:val="center"/>
        <w:rPr>
          <w:rFonts w:ascii="Times New Roman" w:cs="Times New Roman" w:eastAsia="Times New Roman" w:hAnsi="Times New Roman"/>
          <w:sz w:val="28"/>
          <w:szCs w:val="28"/>
        </w:rPr>
      </w:pPr>
    </w:p>
    <w:p>
      <w:pPr>
        <w:pStyle w:val="style4097"/>
        <w:spacing w:lineRule="auto" w:line="360"/>
        <w:jc w:val="center"/>
        <w:rPr>
          <w:rFonts w:ascii="Times New Roman" w:cs="Times New Roman" w:eastAsia="Times New Roman" w:hAnsi="Times New Roman"/>
          <w:sz w:val="28"/>
          <w:szCs w:val="28"/>
        </w:rPr>
      </w:pPr>
      <w:r>
        <w:rPr>
          <w:rFonts w:ascii="Times New Roman" w:cs="Times New Roman" w:eastAsia="Times New Roman" w:hAnsi="Times New Roman"/>
          <w:sz w:val="28"/>
          <w:szCs w:val="28"/>
          <w:lang w:val="en-US"/>
        </w:rPr>
        <w:t xml:space="preserve"> </w:t>
      </w:r>
      <w:r>
        <w:rPr>
          <w:rFonts w:ascii="Times New Roman" w:cs="Times New Roman" w:eastAsia="Times New Roman" w:hAnsi="Times New Roman"/>
          <w:sz w:val="28"/>
          <w:szCs w:val="28"/>
        </w:rPr>
        <w:t xml:space="preserve">Student Name – </w:t>
      </w:r>
      <w:r>
        <w:rPr>
          <w:rFonts w:ascii="Times New Roman" w:cs="Times New Roman" w:eastAsia="Times New Roman" w:hAnsi="Times New Roman"/>
          <w:sz w:val="28"/>
          <w:szCs w:val="28"/>
          <w:lang w:val="en-US"/>
        </w:rPr>
        <w:t>Jaskaran singh</w:t>
      </w:r>
    </w:p>
    <w:p>
      <w:pPr>
        <w:pStyle w:val="style4097"/>
        <w:spacing w:lineRule="auto" w:line="360"/>
        <w:jc w:val="left"/>
        <w:rPr>
          <w:rFonts w:ascii="Times New Roman" w:cs="Times New Roman" w:eastAsia="Times New Roman" w:hAnsi="Times New Roman"/>
          <w:sz w:val="28"/>
          <w:szCs w:val="28"/>
        </w:rPr>
      </w:pPr>
      <w:r>
        <w:rPr>
          <w:rFonts w:ascii="Times New Roman" w:cs="Times New Roman" w:eastAsia="Times New Roman" w:hAnsi="Times New Roman"/>
          <w:sz w:val="28"/>
          <w:szCs w:val="28"/>
          <w:lang w:val="en-US"/>
        </w:rPr>
        <w:t xml:space="preserve">                                     </w:t>
      </w:r>
      <w:r>
        <w:rPr>
          <w:rFonts w:ascii="Times New Roman" w:cs="Times New Roman" w:eastAsia="Times New Roman" w:hAnsi="Times New Roman"/>
          <w:sz w:val="28"/>
          <w:szCs w:val="28"/>
        </w:rPr>
        <w:t>Student ID -</w:t>
      </w:r>
      <w:r>
        <w:rPr>
          <w:rFonts w:ascii="Times New Roman" w:cs="Times New Roman" w:eastAsia="Times New Roman" w:hAnsi="Times New Roman"/>
          <w:sz w:val="28"/>
          <w:szCs w:val="28"/>
          <w:lang w:val="en-US"/>
        </w:rPr>
        <w:t>2221903</w:t>
      </w:r>
    </w:p>
    <w:p>
      <w:pPr>
        <w:pStyle w:val="style4097"/>
        <w:spacing w:lineRule="auto" w:line="360"/>
        <w:jc w:val="center"/>
        <w:rPr>
          <w:rFonts w:ascii="Times New Roman" w:cs="Times New Roman" w:eastAsia="Times New Roman" w:hAnsi="Times New Roman"/>
          <w:sz w:val="28"/>
          <w:szCs w:val="28"/>
          <w:lang w:val="en-US"/>
        </w:rPr>
      </w:pPr>
      <w:r>
        <w:rPr>
          <w:rFonts w:ascii="Times New Roman" w:cs="Times New Roman" w:eastAsia="Times New Roman" w:hAnsi="Times New Roman"/>
          <w:sz w:val="28"/>
          <w:szCs w:val="28"/>
          <w:lang w:val="en-US"/>
        </w:rPr>
        <w:t xml:space="preserve">               Module name - Community Engagemen</w:t>
      </w:r>
    </w:p>
    <w:p>
      <w:pPr>
        <w:pStyle w:val="style4097"/>
        <w:spacing w:lineRule="auto" w:line="360"/>
        <w:jc w:val="left"/>
        <w:rPr>
          <w:rFonts w:ascii="Times New Roman" w:cs="Times New Roman" w:eastAsia="Times New Roman" w:hAnsi="Times New Roman"/>
          <w:sz w:val="28"/>
          <w:szCs w:val="28"/>
        </w:rPr>
      </w:pPr>
      <w:r>
        <w:rPr>
          <w:rFonts w:ascii="Times New Roman" w:cs="Times New Roman" w:eastAsia="Times New Roman" w:hAnsi="Times New Roman"/>
          <w:sz w:val="28"/>
          <w:szCs w:val="28"/>
          <w:lang w:val="en-US"/>
        </w:rPr>
        <w:t xml:space="preserve">                                     Module code- LCBB4002</w:t>
      </w:r>
    </w:p>
    <w:p>
      <w:pPr>
        <w:pStyle w:val="style0"/>
        <w:rPr>
          <w:rFonts w:ascii="Times New Roman" w:cs="Times New Roman" w:eastAsia="Times New Roman" w:hAnsi="Times New Roman"/>
          <w:b/>
          <w:sz w:val="32"/>
          <w:szCs w:val="32"/>
        </w:rPr>
      </w:pPr>
      <w:r>
        <w:rPr>
          <w:rFonts w:ascii="Times New Roman" w:cs="Times New Roman" w:eastAsia="Times New Roman" w:hAnsi="Times New Roman"/>
          <w:b/>
          <w:sz w:val="32"/>
          <w:szCs w:val="32"/>
        </w:rPr>
        <w:br w:type="page"/>
      </w:r>
      <w:r>
        <w:rPr>
          <w:rFonts w:ascii="Times New Roman" w:cs="Times New Roman" w:eastAsia="Times New Roman" w:hAnsi="Times New Roman"/>
          <w:b/>
          <w:sz w:val="32"/>
          <w:szCs w:val="32"/>
          <w:lang w:val="en-US"/>
        </w:rPr>
        <w:t xml:space="preserve">  </w:t>
      </w:r>
    </w:p>
    <w:p>
      <w:pPr>
        <w:pStyle w:val="style266"/>
        <w:jc w:val="center"/>
        <w:rPr/>
      </w:pPr>
      <w:r>
        <w:rPr>
          <w:rFonts w:ascii="Times New Roman" w:cs="Times New Roman" w:hAnsi="Times New Roman"/>
          <w:b/>
          <w:color w:val="auto"/>
        </w:rPr>
        <w:t>Table of Contents</w:t>
      </w:r>
    </w:p>
    <w:p>
      <w:pPr>
        <w:pStyle w:val="style19"/>
        <w:tabs>
          <w:tab w:val="right" w:leader="dot" w:pos="9019"/>
        </w:tabs>
        <w:spacing w:lineRule="auto" w:line="360"/>
        <w:jc w:val="both"/>
        <w:rPr>
          <w:rFonts w:ascii="Times New Roman" w:cs="Times New Roman" w:hAnsi="Times New Roman"/>
          <w:noProof/>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"_Toc141809875" </w:instrText>
      </w:r>
      <w:r>
        <w:rPr/>
        <w:fldChar w:fldCharType="separate"/>
      </w:r>
      <w:r>
        <w:rPr>
          <w:rStyle w:val="style85"/>
          <w:rFonts w:ascii="Times New Roman" w:cs="Times New Roman" w:hAnsi="Times New Roman"/>
          <w:noProof/>
          <w:sz w:val="24"/>
          <w:szCs w:val="24"/>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_Toc141809875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"_Toc141809876" </w:instrText>
      </w:r>
      <w:r>
        <w:rPr/>
        <w:fldChar w:fldCharType="separate"/>
      </w:r>
      <w:r>
        <w:rPr>
          <w:rStyle w:val="style85"/>
          <w:rFonts w:ascii="Times New Roman" w:cs="Times New Roman" w:hAnsi="Times New Roman"/>
          <w:noProof/>
          <w:sz w:val="24"/>
          <w:szCs w:val="24"/>
        </w:rPr>
        <w:t>Discussion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_Toc141809876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"_Toc141809877" </w:instrText>
      </w:r>
      <w:r>
        <w:rPr/>
        <w:fldChar w:fldCharType="separate"/>
      </w:r>
      <w:r>
        <w:rPr>
          <w:rStyle w:val="style85"/>
          <w:rFonts w:ascii="Times New Roman" w:cs="Times New Roman" w:hAnsi="Times New Roman"/>
          <w:noProof/>
          <w:sz w:val="24"/>
          <w:szCs w:val="24"/>
        </w:rPr>
        <w:t>Objectives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_Toc141809877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"_Toc141809878" </w:instrText>
      </w:r>
      <w:r>
        <w:rPr/>
        <w:fldChar w:fldCharType="separate"/>
      </w:r>
      <w:r>
        <w:rPr>
          <w:rStyle w:val="style85"/>
          <w:rFonts w:ascii="Times New Roman" w:cs="Times New Roman" w:hAnsi="Times New Roman"/>
          <w:noProof/>
          <w:sz w:val="24"/>
          <w:szCs w:val="24"/>
        </w:rPr>
        <w:t>Target Stakeholders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_Toc141809878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"_Toc141809879" </w:instrText>
      </w:r>
      <w:r>
        <w:rPr/>
        <w:fldChar w:fldCharType="separate"/>
      </w:r>
      <w:r>
        <w:rPr>
          <w:rStyle w:val="style85"/>
          <w:rFonts w:ascii="Times New Roman" w:cs="Times New Roman" w:hAnsi="Times New Roman"/>
          <w:noProof/>
          <w:sz w:val="24"/>
          <w:szCs w:val="24"/>
        </w:rPr>
        <w:t>Potential Benefits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_Toc141809879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"_Toc141809880" </w:instrText>
      </w:r>
      <w:r>
        <w:rPr/>
        <w:fldChar w:fldCharType="separate"/>
      </w:r>
      <w:r>
        <w:rPr>
          <w:rStyle w:val="style85"/>
          <w:rFonts w:ascii="Times New Roman" w:cs="Times New Roman" w:hAnsi="Times New Roman"/>
          <w:noProof/>
          <w:sz w:val="24"/>
          <w:szCs w:val="24"/>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_Toc141809880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"_Toc141809881" </w:instrText>
      </w:r>
      <w:r>
        <w:rPr/>
        <w:fldChar w:fldCharType="separate"/>
      </w:r>
      <w:r>
        <w:rPr>
          <w:rStyle w:val="style85"/>
          <w:rFonts w:ascii="Times New Roman" w:cs="Times New Roman" w:hAnsi="Times New Roman"/>
          <w:noProof/>
          <w:sz w:val="24"/>
          <w:szCs w:val="24"/>
        </w:rPr>
        <w:t>Reference List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_Toc141809881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10</w:t>
      </w:r>
      <w:r>
        <w:rPr>
          <w:rFonts w:ascii="Times New Roman" w:cs="Times New Roman" w:hAnsi="Times New Roman"/>
          <w:noProof/>
          <w:webHidden/>
          <w:sz w:val="24"/>
          <w:szCs w:val="24"/>
        </w:rPr>
        <w:fldChar w:fldCharType="end"/>
      </w:r>
      <w:r>
        <w:rPr/>
        <w:fldChar w:fldCharType="end"/>
      </w:r>
    </w:p>
    <w:p>
      <w:pPr>
        <w:pStyle w:val="style0"/>
        <w:spacing w:lineRule="auto" w:line="360"/>
        <w:jc w:val="both"/>
        <w:rPr/>
      </w:pPr>
      <w:r>
        <w:rPr>
          <w:rFonts w:ascii="Times New Roman" w:cs="Times New Roman" w:hAnsi="Times New Roman"/>
          <w:sz w:val="24"/>
          <w:szCs w:val="24"/>
        </w:rPr>
        <w:fldChar w:fldCharType="end"/>
      </w:r>
    </w:p>
    <w:p>
      <w:pPr>
        <w:pStyle w:val="style4097"/>
        <w:spacing w:lineRule="auto" w:line="360"/>
        <w:jc w:val="center"/>
        <w:rPr>
          <w:rFonts w:ascii="Times New Roman" w:cs="Times New Roman" w:eastAsia="Times New Roman" w:hAnsi="Times New Roman"/>
          <w:b/>
          <w:sz w:val="32"/>
          <w:szCs w:val="32"/>
        </w:rPr>
      </w:pPr>
      <w:r>
        <w:rPr>
          <w:b/>
        </w:rPr>
        <w:br w:type="page"/>
      </w:r>
    </w:p>
    <w:bookmarkStart w:id="0" w:name="_Toc141809875"/>
    <w:p>
      <w:pPr>
        <w:pStyle w:val="style1"/>
        <w:rPr/>
      </w:pPr>
      <w:r>
        <w:t>Introduction</w:t>
      </w:r>
      <w:bookmarkEnd w:id="0"/>
    </w:p>
    <w:p>
      <w:pPr>
        <w:pStyle w:val="style94"/>
        <w:spacing w:before="0" w:beforeAutospacing="false" w:after="0" w:afterAutospacing="false" w:lineRule="auto" w:line="360"/>
        <w:jc w:val="both"/>
        <w:rPr/>
      </w:pPr>
      <w:r>
        <w:t>St John's Wood Square is an aspiration and undoubtedly ambitious building project located in the heart of London's financial center in the United Kingdom. St. John's Wood is an affluent area of London, and this project aims to alter city life by setting new standards in cutting-edge architecture and design.</w:t>
      </w:r>
    </w:p>
    <w:p>
      <w:pPr>
        <w:pStyle w:val="style94"/>
        <w:spacing w:before="0" w:beforeAutospacing="false" w:after="0" w:afterAutospacing="false" w:lineRule="auto" w:line="360"/>
        <w:jc w:val="both"/>
        <w:rPr/>
      </w:pPr>
      <w:r>
        <w:t>Designed by an esteemed group of architects, developers, and inventors, St. John's Wood Square offers an ideal synthesis of luxurious apartments, state-of-the-art amenities, and unique public spaces. The project's primary objective is to provide for the wants and needs of the affluent local population via the harmonious integration of urban conveniences and scenic majesty.</w:t>
      </w:r>
    </w:p>
    <w:p>
      <w:pPr>
        <w:pStyle w:val="style94"/>
        <w:spacing w:before="0" w:beforeAutospacing="false" w:after="0" w:afterAutospacing="false" w:lineRule="auto" w:line="360"/>
        <w:jc w:val="both"/>
        <w:rPr/>
      </w:pPr>
      <w:r>
        <w:t>Each of the numerous flats and houses in the complex was designed to be comfortable and stylish. Using high-quality materials as well as sustainable design principles, this project will have a positive impact on the local community and the natural environment. St. John's Wood Square, however, offers a great deal more than simply stunning architecture, since it also has exclusive perks like private gardens, gyms, massage rooms, and a helpful concierge. The design also prioritizes green spaces, which encourage an active and healthy existence while also serving as peaceful havens for city dwellers who value a high quality of life and a strong feeling of community.</w:t>
      </w:r>
    </w:p>
    <w:p>
      <w:pPr>
        <w:pStyle w:val="style94"/>
        <w:spacing w:before="0" w:beforeAutospacing="false" w:after="0" w:afterAutospacing="false" w:lineRule="auto" w:line="360"/>
        <w:jc w:val="both"/>
        <w:rPr/>
      </w:pPr>
      <w:r>
        <w:t>St John's Wood Square is not only a development project; it provides a vision of modern urban life, blending architectural innovation, sustainability, and community engagement to create a landmark attraction in one of London's most attractive areas. As a symbol of beauty and elegance, this project is aimed at transforming the skyline and setting a model for future urban endeavors in the UK capital.</w:t>
      </w:r>
    </w:p>
    <w:bookmarkStart w:id="1" w:name="_Toc141809876"/>
    <w:p>
      <w:pPr>
        <w:pStyle w:val="style1"/>
        <w:rPr/>
      </w:pPr>
      <w:r>
        <w:t>Discussion</w:t>
      </w:r>
      <w:bookmarkEnd w:id="1"/>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St John’s Wood Square development project in London tries to handle many difficulties relating to urban expansion and housing:</w:t>
      </w:r>
    </w:p>
    <w:p>
      <w:pPr>
        <w:pStyle w:val="style4097"/>
        <w:numPr>
          <w:ilvl w:val="0"/>
          <w:numId w:val="1"/>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Housing shortage: London has been confronting a serious shortage of affordable re</w:t>
      </w:r>
      <w:r>
        <w:rPr>
          <w:rFonts w:ascii="Times New Roman" w:cs="Times New Roman" w:eastAsia="Times New Roman" w:hAnsi="Times New Roman"/>
          <w:sz w:val="24"/>
          <w:szCs w:val="24"/>
        </w:rPr>
        <w:t>sidences for its expanding population the project wants to generate additional residential units, contributing to the city’s efforts to boost the housing supply.</w:t>
      </w:r>
    </w:p>
    <w:p>
      <w:pPr>
        <w:pStyle w:val="style4097"/>
        <w:numPr>
          <w:ilvl w:val="0"/>
          <w:numId w:val="1"/>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Urban Regeneration: The project attempts to renew the St John’s Wood area by transforming unde</w:t>
      </w:r>
      <w:r>
        <w:rPr>
          <w:rFonts w:ascii="Times New Roman" w:cs="Times New Roman" w:eastAsia="Times New Roman" w:hAnsi="Times New Roman"/>
          <w:sz w:val="24"/>
          <w:szCs w:val="24"/>
        </w:rPr>
        <w:t>rused or outdated structures into fresh and dynamic residential spaces. This restoration may increase the overall quality of life for people and visitors.</w:t>
      </w:r>
    </w:p>
    <w:p>
      <w:pPr>
        <w:pStyle w:val="style4097"/>
        <w:numPr>
          <w:ilvl w:val="0"/>
          <w:numId w:val="1"/>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Community Infrastructure: The project may also focus on developing community infrastructure such as p</w:t>
      </w:r>
      <w:r>
        <w:rPr>
          <w:rFonts w:ascii="Times New Roman" w:cs="Times New Roman" w:eastAsia="Times New Roman" w:hAnsi="Times New Roman"/>
          <w:sz w:val="24"/>
          <w:szCs w:val="24"/>
        </w:rPr>
        <w:t>arks green spaces and services fostering a sense of community and well-being.</w:t>
      </w:r>
    </w:p>
    <w:bookmarkStart w:id="2" w:name="_Toc141809877"/>
    <w:p>
      <w:pPr>
        <w:pStyle w:val="style2"/>
        <w:rPr/>
      </w:pPr>
      <w:r>
        <w:t>Objectives</w:t>
      </w:r>
      <w:bookmarkEnd w:id="2"/>
    </w:p>
    <w:p>
      <w:pPr>
        <w:pStyle w:val="style4097"/>
        <w:numPr>
          <w:ilvl w:val="0"/>
          <w:numId w:val="6"/>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To develop high-quality residential units </w:t>
      </w:r>
      <w:r>
        <w:rPr>
          <w:rFonts w:ascii="Times New Roman" w:cs="Times New Roman" w:eastAsia="Times New Roman" w:hAnsi="Times New Roman"/>
          <w:sz w:val="24"/>
          <w:szCs w:val="24"/>
        </w:rPr>
        <w:t>that fulfill</w:t>
      </w:r>
      <w:r>
        <w:rPr>
          <w:rFonts w:ascii="Times New Roman" w:cs="Times New Roman" w:eastAsia="Times New Roman" w:hAnsi="Times New Roman"/>
          <w:sz w:val="24"/>
          <w:szCs w:val="24"/>
        </w:rPr>
        <w:t xml:space="preserve"> modern living expectations. Objectives to aid in relieving London’s housing crisis by creating new flats.</w:t>
      </w:r>
    </w:p>
    <w:p>
      <w:pPr>
        <w:pStyle w:val="style4097"/>
        <w:numPr>
          <w:ilvl w:val="0"/>
          <w:numId w:val="6"/>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enh</w:t>
      </w:r>
      <w:r>
        <w:rPr>
          <w:rFonts w:ascii="Times New Roman" w:cs="Times New Roman" w:eastAsia="Times New Roman" w:hAnsi="Times New Roman"/>
          <w:sz w:val="24"/>
          <w:szCs w:val="24"/>
        </w:rPr>
        <w:t xml:space="preserve">ance the aesthetic and functional qualities of the St John’s Wood area through urban regeneration. </w:t>
      </w:r>
    </w:p>
    <w:p>
      <w:pPr>
        <w:pStyle w:val="style4097"/>
        <w:numPr>
          <w:ilvl w:val="0"/>
          <w:numId w:val="6"/>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support sustainability and energy efficient measures in the design and construction of the development.</w:t>
      </w:r>
    </w:p>
    <w:p>
      <w:pPr>
        <w:pStyle w:val="style4097"/>
        <w:numPr>
          <w:ilvl w:val="0"/>
          <w:numId w:val="6"/>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foster mixed-use development merging residenti</w:t>
      </w:r>
      <w:r>
        <w:rPr>
          <w:rFonts w:ascii="Times New Roman" w:cs="Times New Roman" w:eastAsia="Times New Roman" w:hAnsi="Times New Roman"/>
          <w:sz w:val="24"/>
          <w:szCs w:val="24"/>
        </w:rPr>
        <w:t xml:space="preserve">al commercial and community spaces for a more inclusive environment. </w:t>
      </w:r>
    </w:p>
    <w:bookmarkStart w:id="3" w:name="_Toc141809878"/>
    <w:p>
      <w:pPr>
        <w:pStyle w:val="style2"/>
        <w:rPr/>
      </w:pPr>
      <w:r>
        <w:t>Target Stakeholders</w:t>
      </w:r>
      <w:bookmarkEnd w:id="3"/>
    </w:p>
    <w:p>
      <w:pPr>
        <w:pStyle w:val="style4097"/>
        <w:numPr>
          <w:ilvl w:val="0"/>
          <w:numId w:val="4"/>
        </w:numPr>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Local Residents: </w:t>
      </w:r>
      <w:r>
        <w:rPr>
          <w:rFonts w:ascii="Times New Roman" w:cs="Times New Roman" w:eastAsia="Times New Roman" w:hAnsi="Times New Roman"/>
          <w:sz w:val="24"/>
          <w:szCs w:val="24"/>
        </w:rPr>
        <w:t>The project directly affects the present community and their ideas and wishes should be considered in the planning process.</w:t>
      </w:r>
    </w:p>
    <w:p>
      <w:pPr>
        <w:pStyle w:val="style4097"/>
        <w:numPr>
          <w:ilvl w:val="0"/>
          <w:numId w:val="4"/>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Potential homebuyers/Rent</w:t>
      </w:r>
      <w:r>
        <w:rPr>
          <w:rFonts w:ascii="Times New Roman" w:cs="Times New Roman" w:eastAsia="Times New Roman" w:hAnsi="Times New Roman"/>
          <w:b/>
          <w:sz w:val="24"/>
          <w:szCs w:val="24"/>
        </w:rPr>
        <w:t>ers:</w:t>
      </w:r>
      <w:r>
        <w:rPr>
          <w:rFonts w:ascii="Times New Roman" w:cs="Times New Roman" w:eastAsia="Times New Roman" w:hAnsi="Times New Roman"/>
          <w:sz w:val="24"/>
          <w:szCs w:val="24"/>
        </w:rPr>
        <w:t xml:space="preserve"> The development targets individuals and families seeking accommodation in London giving them more housing possibilities.</w:t>
      </w:r>
    </w:p>
    <w:p>
      <w:pPr>
        <w:pStyle w:val="style4097"/>
        <w:numPr>
          <w:ilvl w:val="0"/>
          <w:numId w:val="4"/>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Local enterprises:</w:t>
      </w:r>
      <w:r>
        <w:rPr>
          <w:rFonts w:ascii="Times New Roman" w:cs="Times New Roman" w:eastAsia="Times New Roman" w:hAnsi="Times New Roman"/>
          <w:sz w:val="24"/>
          <w:szCs w:val="24"/>
        </w:rPr>
        <w:t xml:space="preserve"> The program may generate chances for local companies by attracting new people and consumers to the area. </w:t>
      </w:r>
    </w:p>
    <w:p>
      <w:pPr>
        <w:pStyle w:val="style4097"/>
        <w:numPr>
          <w:ilvl w:val="0"/>
          <w:numId w:val="4"/>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Local agencies:</w:t>
      </w:r>
      <w:r>
        <w:rPr>
          <w:rFonts w:ascii="Times New Roman" w:cs="Times New Roman" w:eastAsia="Times New Roman" w:hAnsi="Times New Roman"/>
          <w:sz w:val="24"/>
          <w:szCs w:val="24"/>
        </w:rPr>
        <w:t xml:space="preserve"> The program incorporates consultations with local planning agencies and parliamentarians responsible for urban development laws. </w:t>
      </w:r>
    </w:p>
    <w:bookmarkStart w:id="4" w:name="_Toc141809879"/>
    <w:p>
      <w:pPr>
        <w:pStyle w:val="style2"/>
        <w:rPr/>
      </w:pPr>
      <w:r>
        <w:t>Potential Benefits</w:t>
      </w:r>
      <w:bookmarkEnd w:id="4"/>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Increased Housing Supply:</w:t>
      </w:r>
      <w:r>
        <w:rPr>
          <w:rFonts w:ascii="Times New Roman" w:cs="Times New Roman" w:eastAsia="Times New Roman" w:hAnsi="Times New Roman"/>
          <w:sz w:val="24"/>
          <w:szCs w:val="24"/>
        </w:rPr>
        <w:t xml:space="preserve"> The program may assist lessen the housing crisis in London, supp</w:t>
      </w:r>
      <w:r>
        <w:rPr>
          <w:rFonts w:ascii="Times New Roman" w:cs="Times New Roman" w:eastAsia="Times New Roman" w:hAnsi="Times New Roman"/>
          <w:sz w:val="24"/>
          <w:szCs w:val="24"/>
        </w:rPr>
        <w:t>lying numerous possibilities for folks looking for dwellings.</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Economic improvement:</w:t>
      </w:r>
      <w:r>
        <w:rPr>
          <w:rFonts w:ascii="Times New Roman" w:cs="Times New Roman" w:eastAsia="Times New Roman" w:hAnsi="Times New Roman"/>
          <w:sz w:val="24"/>
          <w:szCs w:val="24"/>
        </w:rPr>
        <w:t xml:space="preserve"> The development may boost economic activity by producing jobs during building and luring firms and residents to the area. </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 xml:space="preserve">Improved Community Facilities: </w:t>
      </w:r>
      <w:r>
        <w:rPr>
          <w:rFonts w:ascii="Times New Roman" w:cs="Times New Roman" w:eastAsia="Times New Roman" w:hAnsi="Times New Roman"/>
          <w:sz w:val="24"/>
          <w:szCs w:val="24"/>
        </w:rPr>
        <w:t xml:space="preserve">Upgrading the community’s infrastructure may improve the well-being and general living situations of the present and future residents. </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Urban Revitalization:</w:t>
      </w:r>
      <w:r>
        <w:rPr>
          <w:rFonts w:ascii="Times New Roman" w:cs="Times New Roman" w:eastAsia="Times New Roman" w:hAnsi="Times New Roman"/>
          <w:sz w:val="24"/>
          <w:szCs w:val="24"/>
        </w:rPr>
        <w:t xml:space="preserve"> The work helps to renew the St. John’s Wood region, making it more attractive and modern. </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Environ</w:t>
      </w:r>
      <w:r>
        <w:rPr>
          <w:rFonts w:ascii="Times New Roman" w:cs="Times New Roman" w:eastAsia="Times New Roman" w:hAnsi="Times New Roman"/>
          <w:b/>
          <w:sz w:val="24"/>
          <w:szCs w:val="24"/>
        </w:rPr>
        <w:t xml:space="preserve">mental Impact: </w:t>
      </w:r>
      <w:r>
        <w:rPr>
          <w:rFonts w:ascii="Times New Roman" w:cs="Times New Roman" w:eastAsia="Times New Roman" w:hAnsi="Times New Roman"/>
          <w:sz w:val="24"/>
          <w:szCs w:val="24"/>
        </w:rPr>
        <w:t xml:space="preserve">The focus on sustainable practices may lead to fewer environmental effects and promote eco-friendly living. </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Overall, The St. John’s Wood Square development project promises to minimize housing challenges stimulate urban regeneration, and br</w:t>
      </w:r>
      <w:r>
        <w:rPr>
          <w:rFonts w:ascii="Times New Roman" w:cs="Times New Roman" w:eastAsia="Times New Roman" w:hAnsi="Times New Roman"/>
          <w:sz w:val="24"/>
          <w:szCs w:val="24"/>
        </w:rPr>
        <w:t>ing social and economic gains to stakeholders in the London area (</w:t>
      </w:r>
      <w:r>
        <w:rPr>
          <w:rFonts w:ascii="Times New Roman" w:cs="Times New Roman" w:eastAsia="Times New Roman" w:hAnsi="Times New Roman"/>
          <w:color w:val="222222"/>
          <w:sz w:val="24"/>
          <w:szCs w:val="24"/>
          <w:highlight w:val="white"/>
        </w:rPr>
        <w:t>Gilmore.,</w:t>
      </w:r>
      <w:r>
        <w:rPr>
          <w:rFonts w:ascii="Times New Roman" w:cs="Times New Roman" w:eastAsia="Times New Roman" w:hAnsi="Times New Roman"/>
          <w:i/>
          <w:color w:val="222222"/>
          <w:sz w:val="24"/>
          <w:szCs w:val="24"/>
          <w:highlight w:val="white"/>
        </w:rPr>
        <w:t xml:space="preserve"> et al</w:t>
      </w:r>
      <w:r>
        <w:rPr>
          <w:rFonts w:ascii="Times New Roman" w:cs="Times New Roman" w:eastAsia="Times New Roman" w:hAnsi="Times New Roman"/>
          <w:color w:val="222222"/>
          <w:sz w:val="24"/>
          <w:szCs w:val="24"/>
          <w:highlight w:val="white"/>
        </w:rPr>
        <w:t>., 2020</w:t>
      </w:r>
      <w:r>
        <w:rPr>
          <w:rFonts w:ascii="Times New Roman" w:cs="Times New Roman" w:eastAsia="Times New Roman" w:hAnsi="Times New Roman"/>
          <w:sz w:val="24"/>
          <w:szCs w:val="24"/>
        </w:rPr>
        <w:t xml:space="preserve">). </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assess how the local community conducted community engagement for the ST John’s Wood Square development project in London, three important components should be c</w:t>
      </w:r>
      <w:r>
        <w:rPr>
          <w:rFonts w:ascii="Times New Roman" w:cs="Times New Roman" w:eastAsia="Times New Roman" w:hAnsi="Times New Roman"/>
          <w:sz w:val="24"/>
          <w:szCs w:val="24"/>
        </w:rPr>
        <w:t>onsidered:</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Transparency:</w:t>
      </w:r>
      <w:r>
        <w:rPr>
          <w:rFonts w:ascii="Times New Roman" w:cs="Times New Roman" w:eastAsia="Times New Roman" w:hAnsi="Times New Roman"/>
          <w:sz w:val="24"/>
          <w:szCs w:val="24"/>
        </w:rPr>
        <w:t xml:space="preserve"> Assess whether the local authorities and developers were straightforward in presenting information about the project including its scope intentions and probable effects. Transparency promotes confidence and allows real community en</w:t>
      </w:r>
      <w:r>
        <w:rPr>
          <w:rFonts w:ascii="Times New Roman" w:cs="Times New Roman" w:eastAsia="Times New Roman" w:hAnsi="Times New Roman"/>
          <w:sz w:val="24"/>
          <w:szCs w:val="24"/>
        </w:rPr>
        <w:t xml:space="preserve">gagement. </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 xml:space="preserve">Inclusivity: </w:t>
      </w:r>
      <w:r>
        <w:rPr>
          <w:rFonts w:ascii="Times New Roman" w:cs="Times New Roman" w:eastAsia="Times New Roman" w:hAnsi="Times New Roman"/>
          <w:sz w:val="24"/>
          <w:szCs w:val="24"/>
        </w:rPr>
        <w:t>Evaluate whether efforts were made to incorporate a broad array of community members in the engagement process (</w:t>
      </w:r>
      <w:r>
        <w:rPr>
          <w:rFonts w:ascii="Times New Roman" w:cs="Times New Roman" w:eastAsia="Times New Roman" w:hAnsi="Times New Roman"/>
          <w:color w:val="222222"/>
          <w:sz w:val="24"/>
          <w:szCs w:val="24"/>
          <w:highlight w:val="white"/>
        </w:rPr>
        <w:t xml:space="preserve">Tan,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2022</w:t>
      </w:r>
      <w:r>
        <w:rPr>
          <w:rFonts w:ascii="Times New Roman" w:cs="Times New Roman" w:eastAsia="Times New Roman" w:hAnsi="Times New Roman"/>
          <w:sz w:val="24"/>
          <w:szCs w:val="24"/>
        </w:rPr>
        <w:t xml:space="preserve">). Inclusive engagement assures that all stakeholders including </w:t>
      </w:r>
      <w:r>
        <w:rPr>
          <w:rFonts w:ascii="Times New Roman" w:cs="Times New Roman" w:eastAsia="Times New Roman" w:hAnsi="Times New Roman"/>
          <w:sz w:val="24"/>
          <w:szCs w:val="24"/>
        </w:rPr>
        <w:t>individuals</w:t>
      </w:r>
      <w:r>
        <w:rPr>
          <w:rFonts w:ascii="Times New Roman" w:cs="Times New Roman" w:eastAsia="Times New Roman" w:hAnsi="Times New Roman"/>
          <w:sz w:val="24"/>
          <w:szCs w:val="24"/>
        </w:rPr>
        <w:t xml:space="preserve"> corporations and community </w:t>
      </w:r>
      <w:r>
        <w:rPr>
          <w:rFonts w:ascii="Times New Roman" w:cs="Times New Roman" w:eastAsia="Times New Roman" w:hAnsi="Times New Roman"/>
          <w:sz w:val="24"/>
          <w:szCs w:val="24"/>
        </w:rPr>
        <w:t>organizations can participate and have their perspectives heard.</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Timeliness:</w:t>
      </w:r>
      <w:r>
        <w:rPr>
          <w:rFonts w:ascii="Times New Roman" w:cs="Times New Roman" w:eastAsia="Times New Roman" w:hAnsi="Times New Roman"/>
          <w:sz w:val="24"/>
          <w:szCs w:val="24"/>
        </w:rPr>
        <w:t xml:space="preserve"> Consider whether the community engagement was initiated early in the planning process, allowing residents to be involved from the project's outset. Early engagement promotes the i</w:t>
      </w:r>
      <w:r>
        <w:rPr>
          <w:rFonts w:ascii="Times New Roman" w:cs="Times New Roman" w:eastAsia="Times New Roman" w:hAnsi="Times New Roman"/>
          <w:sz w:val="24"/>
          <w:szCs w:val="24"/>
        </w:rPr>
        <w:t>ntegration of community feedback into the development plans.</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Accessibility:</w:t>
      </w:r>
      <w:r>
        <w:rPr>
          <w:rFonts w:ascii="Times New Roman" w:cs="Times New Roman" w:eastAsia="Times New Roman" w:hAnsi="Times New Roman"/>
          <w:sz w:val="24"/>
          <w:szCs w:val="24"/>
        </w:rPr>
        <w:t xml:space="preserve"> Examine whether the engagement activities were accessible to all community members regardless of age language or physical disabilities. Utilizing multiple communication channels su</w:t>
      </w:r>
      <w:r>
        <w:rPr>
          <w:rFonts w:ascii="Times New Roman" w:cs="Times New Roman" w:eastAsia="Times New Roman" w:hAnsi="Times New Roman"/>
          <w:sz w:val="24"/>
          <w:szCs w:val="24"/>
        </w:rPr>
        <w:t>ch as public meetings online platforms and local media fosters broad involvement.</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 xml:space="preserve">Responsiveness: </w:t>
      </w:r>
      <w:r>
        <w:rPr>
          <w:rFonts w:ascii="Times New Roman" w:cs="Times New Roman" w:eastAsia="Times New Roman" w:hAnsi="Times New Roman"/>
          <w:sz w:val="24"/>
          <w:szCs w:val="24"/>
        </w:rPr>
        <w:t>Assess how well the local authorities and developers responded to community feedback and concerns. An effective engagement strategy identifies and organizes c</w:t>
      </w:r>
      <w:r>
        <w:rPr>
          <w:rFonts w:ascii="Times New Roman" w:cs="Times New Roman" w:eastAsia="Times New Roman" w:hAnsi="Times New Roman"/>
          <w:sz w:val="24"/>
          <w:szCs w:val="24"/>
        </w:rPr>
        <w:t>ommunity feedback and adapts the project based on relevant suggestions.</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 xml:space="preserve">Collaboration: </w:t>
      </w:r>
      <w:r>
        <w:rPr>
          <w:rFonts w:ascii="Times New Roman" w:cs="Times New Roman" w:eastAsia="Times New Roman" w:hAnsi="Times New Roman"/>
          <w:sz w:val="24"/>
          <w:szCs w:val="24"/>
        </w:rPr>
        <w:t>Analyze the degree of cooperation between the project’s staff, holders, and the local community. Genuine collaboration produces a sense of ownership and shared responsib</w:t>
      </w:r>
      <w:r>
        <w:rPr>
          <w:rFonts w:ascii="Times New Roman" w:cs="Times New Roman" w:eastAsia="Times New Roman" w:hAnsi="Times New Roman"/>
          <w:sz w:val="24"/>
          <w:szCs w:val="24"/>
        </w:rPr>
        <w:t xml:space="preserve">ility for the project’s success. </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Mitigation of Concerns:</w:t>
      </w:r>
      <w:r>
        <w:rPr>
          <w:rFonts w:ascii="Times New Roman" w:cs="Times New Roman" w:eastAsia="Times New Roman" w:hAnsi="Times New Roman"/>
          <w:sz w:val="24"/>
          <w:szCs w:val="24"/>
        </w:rPr>
        <w:t xml:space="preserve"> Evaluate whether the community involvement method led to the identification and mitigation of any negative impacts on the local community. Addressing concerns early on helps develop support for the </w:t>
      </w:r>
      <w:r>
        <w:rPr>
          <w:rFonts w:ascii="Times New Roman" w:cs="Times New Roman" w:eastAsia="Times New Roman" w:hAnsi="Times New Roman"/>
          <w:sz w:val="24"/>
          <w:szCs w:val="24"/>
        </w:rPr>
        <w:t>effort.</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Long Term engagement:</w:t>
      </w:r>
      <w:r>
        <w:rPr>
          <w:rFonts w:ascii="Times New Roman" w:cs="Times New Roman" w:eastAsia="Times New Roman" w:hAnsi="Times New Roman"/>
          <w:sz w:val="24"/>
          <w:szCs w:val="24"/>
        </w:rPr>
        <w:t xml:space="preserve"> Consider if community participation persisted throughout the many stages of the project providing continuous discussion and revisions as necessary.</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 comprehensive study of these elements will offer insights into the effectiveness of the community engagement method for the St. John’s Wood Square development project and its implications for fostering a sense of ownership and collaboration among the loc</w:t>
      </w:r>
      <w:r>
        <w:rPr>
          <w:rFonts w:ascii="Times New Roman" w:cs="Times New Roman" w:eastAsia="Times New Roman" w:hAnsi="Times New Roman"/>
          <w:sz w:val="24"/>
          <w:szCs w:val="24"/>
        </w:rPr>
        <w:t xml:space="preserve">al community. </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This project may offer an overview of the locations where it was most active and the reasons for its concentration.</w:t>
      </w:r>
    </w:p>
    <w:p>
      <w:pPr>
        <w:pStyle w:val="style4097"/>
        <w:numPr>
          <w:ilvl w:val="0"/>
          <w:numId w:val="3"/>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 xml:space="preserve">St. John's Wood: </w:t>
      </w:r>
      <w:r>
        <w:rPr>
          <w:rFonts w:ascii="Times New Roman" w:cs="Times New Roman" w:eastAsia="Times New Roman" w:hAnsi="Times New Roman"/>
          <w:sz w:val="24"/>
          <w:szCs w:val="24"/>
        </w:rPr>
        <w:t>The development project's major focus was St. John's Wood, an affluent and popular residential district in n</w:t>
      </w:r>
      <w:r>
        <w:rPr>
          <w:rFonts w:ascii="Times New Roman" w:cs="Times New Roman" w:eastAsia="Times New Roman" w:hAnsi="Times New Roman"/>
          <w:sz w:val="24"/>
          <w:szCs w:val="24"/>
        </w:rPr>
        <w:t>orthwest London, famed for its verdant avenues, fine Victorian and Edwardian buildings, and being next to Regent's Park (</w:t>
      </w:r>
      <w:r>
        <w:rPr>
          <w:rFonts w:ascii="Times New Roman" w:cs="Times New Roman" w:eastAsia="Times New Roman" w:hAnsi="Times New Roman"/>
          <w:color w:val="222222"/>
          <w:sz w:val="24"/>
          <w:szCs w:val="24"/>
          <w:highlight w:val="white"/>
        </w:rPr>
        <w:t>Usman</w:t>
      </w:r>
      <w:r>
        <w:rPr>
          <w:rFonts w:ascii="Times New Roman" w:cs="Times New Roman" w:eastAsia="Times New Roman" w:hAnsi="Times New Roman"/>
          <w:color w:val="222222"/>
          <w:sz w:val="24"/>
          <w:szCs w:val="24"/>
          <w:highlight w:val="white"/>
        </w:rPr>
        <w:t xml:space="preserve">, Bologna, and </w:t>
      </w:r>
      <w:r>
        <w:rPr>
          <w:rFonts w:ascii="Times New Roman" w:cs="Times New Roman" w:eastAsia="Times New Roman" w:hAnsi="Times New Roman"/>
          <w:color w:val="222222"/>
          <w:sz w:val="24"/>
          <w:szCs w:val="24"/>
          <w:highlight w:val="white"/>
        </w:rPr>
        <w:t>Stamidis</w:t>
      </w:r>
      <w:r>
        <w:rPr>
          <w:rFonts w:ascii="Times New Roman" w:cs="Times New Roman" w:eastAsia="Times New Roman" w:hAnsi="Times New Roman"/>
          <w:color w:val="222222"/>
          <w:sz w:val="24"/>
          <w:szCs w:val="24"/>
          <w:highlight w:val="white"/>
        </w:rPr>
        <w:t>, 2019</w:t>
      </w:r>
      <w:r>
        <w:rPr>
          <w:rFonts w:ascii="Times New Roman" w:cs="Times New Roman" w:eastAsia="Times New Roman" w:hAnsi="Times New Roman"/>
          <w:sz w:val="24"/>
          <w:szCs w:val="24"/>
        </w:rPr>
        <w:t>). The project intends to enhance the area's facilities and revitalize some parts to match modern sta</w:t>
      </w:r>
      <w:r>
        <w:rPr>
          <w:rFonts w:ascii="Times New Roman" w:cs="Times New Roman" w:eastAsia="Times New Roman" w:hAnsi="Times New Roman"/>
          <w:sz w:val="24"/>
          <w:szCs w:val="24"/>
        </w:rPr>
        <w:t>ndards and respond to the demands of its people.</w:t>
      </w:r>
    </w:p>
    <w:p>
      <w:pPr>
        <w:pStyle w:val="style4097"/>
        <w:numPr>
          <w:ilvl w:val="0"/>
          <w:numId w:val="3"/>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Residential Development:</w:t>
      </w:r>
      <w:r>
        <w:rPr>
          <w:rFonts w:ascii="Times New Roman" w:cs="Times New Roman" w:eastAsia="Times New Roman" w:hAnsi="Times New Roman"/>
          <w:sz w:val="24"/>
          <w:szCs w:val="24"/>
        </w:rPr>
        <w:t xml:space="preserve"> The project was particularly active in the residential development industry.   John's Wood Square intended to create more residential units, ranging from flats to townhouses, to resp</w:t>
      </w:r>
      <w:r>
        <w:rPr>
          <w:rFonts w:ascii="Times New Roman" w:cs="Times New Roman" w:eastAsia="Times New Roman" w:hAnsi="Times New Roman"/>
          <w:sz w:val="24"/>
          <w:szCs w:val="24"/>
        </w:rPr>
        <w:t>ond to the need for high-quality housing in the neighborhood. By developing contemporary and luxury houses, the enterprise hoped to attract high-end buyers and investors interested in the prime London property market.</w:t>
      </w:r>
    </w:p>
    <w:p>
      <w:pPr>
        <w:pStyle w:val="style4097"/>
        <w:numPr>
          <w:ilvl w:val="0"/>
          <w:numId w:val="3"/>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Commercial and Retail Spaces:</w:t>
      </w:r>
      <w:r>
        <w:rPr>
          <w:rFonts w:ascii="Times New Roman" w:cs="Times New Roman" w:eastAsia="Times New Roman" w:hAnsi="Times New Roman"/>
          <w:sz w:val="24"/>
          <w:szCs w:val="24"/>
        </w:rPr>
        <w:t xml:space="preserve"> The deve</w:t>
      </w:r>
      <w:r>
        <w:rPr>
          <w:rFonts w:ascii="Times New Roman" w:cs="Times New Roman" w:eastAsia="Times New Roman" w:hAnsi="Times New Roman"/>
          <w:sz w:val="24"/>
          <w:szCs w:val="24"/>
        </w:rPr>
        <w:t>lopment project also focused on creating commercial and retail spaces inside the region. This was designed to give residents easy access to shops, restaurants, and services, increasing the overall living experience and fostering a vibrant local economy.</w:t>
      </w:r>
    </w:p>
    <w:p>
      <w:pPr>
        <w:pStyle w:val="style4097"/>
        <w:numPr>
          <w:ilvl w:val="0"/>
          <w:numId w:val="3"/>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Gr</w:t>
      </w:r>
      <w:r>
        <w:rPr>
          <w:rFonts w:ascii="Times New Roman" w:cs="Times New Roman" w:eastAsia="Times New Roman" w:hAnsi="Times New Roman"/>
          <w:b/>
          <w:sz w:val="24"/>
          <w:szCs w:val="24"/>
        </w:rPr>
        <w:t>een Spaces and Landscaping:</w:t>
      </w:r>
      <w:r>
        <w:rPr>
          <w:rFonts w:ascii="Times New Roman" w:cs="Times New Roman" w:eastAsia="Times New Roman" w:hAnsi="Times New Roman"/>
          <w:sz w:val="24"/>
          <w:szCs w:val="24"/>
        </w:rPr>
        <w:t xml:space="preserve"> St. John's Wood Square focused on the establishment and rehabilitation of green spaces and landscaping inside the complex. Enhancing parks and open places helps the well-being of people, boosts the general aesthetics of the neig</w:t>
      </w:r>
      <w:r>
        <w:rPr>
          <w:rFonts w:ascii="Times New Roman" w:cs="Times New Roman" w:eastAsia="Times New Roman" w:hAnsi="Times New Roman"/>
          <w:sz w:val="24"/>
          <w:szCs w:val="24"/>
        </w:rPr>
        <w:t>hborhood, and coincides with sustainability and eco-friendly ideals.</w:t>
      </w:r>
    </w:p>
    <w:p>
      <w:pPr>
        <w:pStyle w:val="style4097"/>
        <w:numPr>
          <w:ilvl w:val="0"/>
          <w:numId w:val="3"/>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 xml:space="preserve">Community amenities: </w:t>
      </w:r>
      <w:r>
        <w:rPr>
          <w:rFonts w:ascii="Times New Roman" w:cs="Times New Roman" w:eastAsia="Times New Roman" w:hAnsi="Times New Roman"/>
          <w:sz w:val="24"/>
          <w:szCs w:val="24"/>
        </w:rPr>
        <w:t xml:space="preserve">The effort exhibits a focus on increasing community facilities. This might comprise investment in public amenities like schools, healthcare </w:t>
      </w:r>
      <w:r>
        <w:rPr>
          <w:rFonts w:ascii="Times New Roman" w:cs="Times New Roman" w:eastAsia="Times New Roman" w:hAnsi="Times New Roman"/>
          <w:sz w:val="24"/>
          <w:szCs w:val="24"/>
        </w:rPr>
        <w:t>institutions, and communit</w:t>
      </w:r>
      <w:r>
        <w:rPr>
          <w:rFonts w:ascii="Times New Roman" w:cs="Times New Roman" w:eastAsia="Times New Roman" w:hAnsi="Times New Roman"/>
          <w:sz w:val="24"/>
          <w:szCs w:val="24"/>
        </w:rPr>
        <w:t>y centers, boosting the feeling of community and making the site more desirable for families and long-term inhabitants.</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St John's Wood Square development project was most active in the St John's Wood area itself, concentrating on residential and commer</w:t>
      </w:r>
      <w:r>
        <w:rPr>
          <w:rFonts w:ascii="Times New Roman" w:cs="Times New Roman" w:eastAsia="Times New Roman" w:hAnsi="Times New Roman"/>
          <w:sz w:val="24"/>
          <w:szCs w:val="24"/>
        </w:rPr>
        <w:t>cial development, green spaces, and community facilities (</w:t>
      </w:r>
      <w:r>
        <w:rPr>
          <w:rFonts w:ascii="Times New Roman" w:cs="Times New Roman" w:eastAsia="Times New Roman" w:hAnsi="Times New Roman"/>
          <w:color w:val="222222"/>
          <w:sz w:val="24"/>
          <w:szCs w:val="24"/>
          <w:highlight w:val="white"/>
        </w:rPr>
        <w:t>Amosse</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2023</w:t>
      </w:r>
      <w:r>
        <w:rPr>
          <w:rFonts w:ascii="Times New Roman" w:cs="Times New Roman" w:eastAsia="Times New Roman" w:hAnsi="Times New Roman"/>
          <w:sz w:val="24"/>
          <w:szCs w:val="24"/>
        </w:rPr>
        <w:t>). The project tried to suit the criteria of the elite market, raise the quality of life, and enhance the overall attractiveness of this wealthy London location.</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techniques ut</w:t>
      </w:r>
      <w:r>
        <w:rPr>
          <w:rFonts w:ascii="Times New Roman" w:cs="Times New Roman" w:eastAsia="Times New Roman" w:hAnsi="Times New Roman"/>
          <w:sz w:val="24"/>
          <w:szCs w:val="24"/>
        </w:rPr>
        <w:t>ilized for the St John's Wood Square development supposedly included:</w:t>
      </w:r>
    </w:p>
    <w:p>
      <w:pPr>
        <w:pStyle w:val="style4097"/>
        <w:numPr>
          <w:ilvl w:val="0"/>
          <w:numId w:val="2"/>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 xml:space="preserve">Community Consultation: </w:t>
      </w:r>
      <w:r>
        <w:rPr>
          <w:rFonts w:ascii="Times New Roman" w:cs="Times New Roman" w:eastAsia="Times New Roman" w:hAnsi="Times New Roman"/>
          <w:sz w:val="24"/>
          <w:szCs w:val="24"/>
        </w:rPr>
        <w:t>Engaging with local people, companies, and community organizations via consultations to discover their needs and concerns. Feedback from these groups is crucial f</w:t>
      </w:r>
      <w:r>
        <w:rPr>
          <w:rFonts w:ascii="Times New Roman" w:cs="Times New Roman" w:eastAsia="Times New Roman" w:hAnsi="Times New Roman"/>
          <w:sz w:val="24"/>
          <w:szCs w:val="24"/>
        </w:rPr>
        <w:t>or integrating community ambitions and addressing any difficulties.</w:t>
      </w:r>
    </w:p>
    <w:p>
      <w:pPr>
        <w:pStyle w:val="style4097"/>
        <w:numPr>
          <w:ilvl w:val="0"/>
          <w:numId w:val="2"/>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 xml:space="preserve">Design Considerations: </w:t>
      </w:r>
      <w:r>
        <w:rPr>
          <w:rFonts w:ascii="Times New Roman" w:cs="Times New Roman" w:eastAsia="Times New Roman" w:hAnsi="Times New Roman"/>
          <w:sz w:val="24"/>
          <w:szCs w:val="24"/>
        </w:rPr>
        <w:t>Ensuring that the architectural design and landscaping of the development blend appropriately with the existing surroundings. Preserving the area's historical and cu</w:t>
      </w:r>
      <w:r>
        <w:rPr>
          <w:rFonts w:ascii="Times New Roman" w:cs="Times New Roman" w:eastAsia="Times New Roman" w:hAnsi="Times New Roman"/>
          <w:sz w:val="24"/>
          <w:szCs w:val="24"/>
        </w:rPr>
        <w:t>ltural history while developing new living spaces is a significant problem.</w:t>
      </w:r>
    </w:p>
    <w:p>
      <w:pPr>
        <w:pStyle w:val="style4097"/>
        <w:numPr>
          <w:ilvl w:val="0"/>
          <w:numId w:val="2"/>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Sustainability:</w:t>
      </w:r>
      <w:r>
        <w:rPr>
          <w:rFonts w:ascii="Times New Roman" w:cs="Times New Roman" w:eastAsia="Times New Roman" w:hAnsi="Times New Roman"/>
          <w:sz w:val="24"/>
          <w:szCs w:val="24"/>
        </w:rPr>
        <w:t xml:space="preserve"> Emphasizing sustainable development tactics by adding green areas, energy-efficient features, and eco-friendly materials to lessen the project's environmental effec</w:t>
      </w:r>
      <w:r>
        <w:rPr>
          <w:rFonts w:ascii="Times New Roman" w:cs="Times New Roman" w:eastAsia="Times New Roman" w:hAnsi="Times New Roman"/>
          <w:sz w:val="24"/>
          <w:szCs w:val="24"/>
        </w:rPr>
        <w:t>ts and enhance long-term sustainability.</w:t>
      </w:r>
    </w:p>
    <w:p>
      <w:pPr>
        <w:pStyle w:val="style4097"/>
        <w:numPr>
          <w:ilvl w:val="0"/>
          <w:numId w:val="2"/>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Public facilities:</w:t>
      </w:r>
      <w:r>
        <w:rPr>
          <w:rFonts w:ascii="Times New Roman" w:cs="Times New Roman" w:eastAsia="Times New Roman" w:hAnsi="Times New Roman"/>
          <w:sz w:val="24"/>
          <w:szCs w:val="24"/>
        </w:rPr>
        <w:t xml:space="preserve"> Incorporating public amenities, such as parks, recreational locations, and communal spaces, to increase the overall quality of life for both occupants and the wider neighborhood.</w:t>
      </w:r>
    </w:p>
    <w:p>
      <w:pPr>
        <w:pStyle w:val="style4097"/>
        <w:numPr>
          <w:ilvl w:val="0"/>
          <w:numId w:val="2"/>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Transportation and Infrastructure:</w:t>
      </w:r>
      <w:r>
        <w:rPr>
          <w:rFonts w:ascii="Times New Roman" w:cs="Times New Roman" w:eastAsia="Times New Roman" w:hAnsi="Times New Roman"/>
          <w:sz w:val="24"/>
          <w:szCs w:val="24"/>
        </w:rPr>
        <w:t xml:space="preserve"> Addressing transportation and infrastructure requirements to enable seamless integration of the growth within the existing urban fabric. This may involve modifications to public transit, bike infrastructure, and traffic m</w:t>
      </w:r>
      <w:r>
        <w:rPr>
          <w:rFonts w:ascii="Times New Roman" w:cs="Times New Roman" w:eastAsia="Times New Roman" w:hAnsi="Times New Roman"/>
          <w:sz w:val="24"/>
          <w:szCs w:val="24"/>
        </w:rPr>
        <w:t>anagement.</w:t>
      </w:r>
    </w:p>
    <w:p>
      <w:pPr>
        <w:pStyle w:val="style4097"/>
        <w:numPr>
          <w:ilvl w:val="0"/>
          <w:numId w:val="2"/>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Planning permissions:</w:t>
      </w:r>
      <w:r>
        <w:rPr>
          <w:rFonts w:ascii="Times New Roman" w:cs="Times New Roman" w:eastAsia="Times New Roman" w:hAnsi="Times New Roman"/>
          <w:sz w:val="24"/>
          <w:szCs w:val="24"/>
        </w:rPr>
        <w:t xml:space="preserve"> Obtaining essential planning licenses and conforming to local zoning rules and construction standards to guarantee the project's compliance with legal requirements.</w:t>
      </w:r>
    </w:p>
    <w:p>
      <w:pPr>
        <w:pStyle w:val="style4097"/>
        <w:numPr>
          <w:ilvl w:val="0"/>
          <w:numId w:val="2"/>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Communication:</w:t>
      </w:r>
      <w:r>
        <w:rPr>
          <w:rFonts w:ascii="Times New Roman" w:cs="Times New Roman" w:eastAsia="Times New Roman" w:hAnsi="Times New Roman"/>
          <w:sz w:val="24"/>
          <w:szCs w:val="24"/>
        </w:rPr>
        <w:t xml:space="preserve"> Maintaining open and honest contact with st</w:t>
      </w:r>
      <w:r>
        <w:rPr>
          <w:rFonts w:ascii="Times New Roman" w:cs="Times New Roman" w:eastAsia="Times New Roman" w:hAnsi="Times New Roman"/>
          <w:sz w:val="24"/>
          <w:szCs w:val="24"/>
        </w:rPr>
        <w:t>akeholders throughout the planning and construction stages to keep them informed about progress and any interruptions.</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Here are some of the methods to involve the community during the planning process:</w:t>
      </w:r>
    </w:p>
    <w:p>
      <w:pPr>
        <w:pStyle w:val="style4097"/>
        <w:numPr>
          <w:ilvl w:val="0"/>
          <w:numId w:val="5"/>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Public Consultations:</w:t>
      </w:r>
      <w:r>
        <w:rPr>
          <w:rFonts w:ascii="Times New Roman" w:cs="Times New Roman" w:eastAsia="Times New Roman" w:hAnsi="Times New Roman"/>
          <w:sz w:val="24"/>
          <w:szCs w:val="24"/>
        </w:rPr>
        <w:t xml:space="preserve"> Organize public consultation at </w:t>
      </w:r>
      <w:r>
        <w:rPr>
          <w:rFonts w:ascii="Times New Roman" w:cs="Times New Roman" w:eastAsia="Times New Roman" w:hAnsi="Times New Roman"/>
          <w:sz w:val="24"/>
          <w:szCs w:val="24"/>
        </w:rPr>
        <w:t>different phases of the planning process, enabling residents, companies, and stakeholders to submit comments on the project design, facilities, and possible implications. These consultations may be done in person and online to meet diverse preferences.</w:t>
      </w:r>
    </w:p>
    <w:p>
      <w:pPr>
        <w:pStyle w:val="style4097"/>
        <w:numPr>
          <w:ilvl w:val="0"/>
          <w:numId w:val="5"/>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Com</w:t>
      </w:r>
      <w:r>
        <w:rPr>
          <w:rFonts w:ascii="Times New Roman" w:cs="Times New Roman" w:eastAsia="Times New Roman" w:hAnsi="Times New Roman"/>
          <w:b/>
          <w:sz w:val="24"/>
          <w:szCs w:val="24"/>
        </w:rPr>
        <w:t>munity Workshops:</w:t>
      </w:r>
      <w:r>
        <w:rPr>
          <w:rFonts w:ascii="Times New Roman" w:cs="Times New Roman" w:eastAsia="Times New Roman" w:hAnsi="Times New Roman"/>
          <w:sz w:val="24"/>
          <w:szCs w:val="24"/>
        </w:rPr>
        <w:t xml:space="preserve"> Host interactive workshops where community members may actively engage in design </w:t>
      </w:r>
      <w:r>
        <w:rPr>
          <w:rFonts w:ascii="Times New Roman" w:cs="Times New Roman" w:eastAsia="Times New Roman" w:hAnsi="Times New Roman"/>
          <w:sz w:val="24"/>
          <w:szCs w:val="24"/>
        </w:rPr>
        <w:t>charrettes</w:t>
      </w:r>
      <w:r>
        <w:rPr>
          <w:rFonts w:ascii="Times New Roman" w:cs="Times New Roman" w:eastAsia="Times New Roman" w:hAnsi="Times New Roman"/>
          <w:sz w:val="24"/>
          <w:szCs w:val="24"/>
        </w:rPr>
        <w:t xml:space="preserve"> and visioning activities. This allows individuals to offer ideas, preferences, and local expertise to influence the development according to their</w:t>
      </w:r>
      <w:r>
        <w:rPr>
          <w:rFonts w:ascii="Times New Roman" w:cs="Times New Roman" w:eastAsia="Times New Roman" w:hAnsi="Times New Roman"/>
          <w:sz w:val="24"/>
          <w:szCs w:val="24"/>
        </w:rPr>
        <w:t xml:space="preserve"> needs and desires.</w:t>
      </w:r>
    </w:p>
    <w:p>
      <w:pPr>
        <w:pStyle w:val="style4097"/>
        <w:numPr>
          <w:ilvl w:val="0"/>
          <w:numId w:val="5"/>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Community Advisory Panel:</w:t>
      </w:r>
      <w:r>
        <w:rPr>
          <w:rFonts w:ascii="Times New Roman" w:cs="Times New Roman" w:eastAsia="Times New Roman" w:hAnsi="Times New Roman"/>
          <w:sz w:val="24"/>
          <w:szCs w:val="24"/>
        </w:rPr>
        <w:t xml:space="preserve"> Establish a Community Advisory Panel comprising residents, business owners, and representatives from community groups. This panel may operate as a bridge between the community and the project's developers and p</w:t>
      </w:r>
      <w:r>
        <w:rPr>
          <w:rFonts w:ascii="Times New Roman" w:cs="Times New Roman" w:eastAsia="Times New Roman" w:hAnsi="Times New Roman"/>
          <w:sz w:val="24"/>
          <w:szCs w:val="24"/>
        </w:rPr>
        <w:t>lanners, promoting continuing communication and information sharing.</w:t>
      </w:r>
    </w:p>
    <w:p>
      <w:pPr>
        <w:pStyle w:val="style4097"/>
        <w:numPr>
          <w:ilvl w:val="0"/>
          <w:numId w:val="5"/>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Open House Events:</w:t>
      </w:r>
      <w:r>
        <w:rPr>
          <w:rFonts w:ascii="Times New Roman" w:cs="Times New Roman" w:eastAsia="Times New Roman" w:hAnsi="Times New Roman"/>
          <w:sz w:val="24"/>
          <w:szCs w:val="24"/>
        </w:rPr>
        <w:t xml:space="preserve"> Organize open house events to exhibit the project's planning, architectural designs, and environmental concerns. These events give a chance for the public to ask questi</w:t>
      </w:r>
      <w:r>
        <w:rPr>
          <w:rFonts w:ascii="Times New Roman" w:cs="Times New Roman" w:eastAsia="Times New Roman" w:hAnsi="Times New Roman"/>
          <w:sz w:val="24"/>
          <w:szCs w:val="24"/>
        </w:rPr>
        <w:t>ons, seek answers, and voice their ideas directly to the project team.</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By implementing these engagement alternatives, the St. John's Wood Square development project may build a feeling of ownership and participation within the community, resulting in a mor</w:t>
      </w:r>
      <w:r>
        <w:rPr>
          <w:rFonts w:ascii="Times New Roman" w:cs="Times New Roman" w:eastAsia="Times New Roman" w:hAnsi="Times New Roman"/>
          <w:sz w:val="24"/>
          <w:szCs w:val="24"/>
        </w:rPr>
        <w:t>e sustainable and mutually beneficial conclusion for both the inhabitants and the development team.</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St John's Wood Square construction project in London provided there are several lessons. Firstly, effective community engagement is vital to handle local problems and secure community support. Secondly, safeguarding historical and cultural assets shoul</w:t>
      </w:r>
      <w:r>
        <w:rPr>
          <w:rFonts w:ascii="Times New Roman" w:cs="Times New Roman" w:eastAsia="Times New Roman" w:hAnsi="Times New Roman"/>
          <w:sz w:val="24"/>
          <w:szCs w:val="24"/>
        </w:rPr>
        <w:t xml:space="preserve">d be a priority in urban development. Thirdly, thorough planning and design are required to develop sustainable and aesthetically beautiful spaces. Lastly, cooperation between developers, local authorities, and communities may lead to successful solutions </w:t>
      </w:r>
      <w:r>
        <w:rPr>
          <w:rFonts w:ascii="Times New Roman" w:cs="Times New Roman" w:eastAsia="Times New Roman" w:hAnsi="Times New Roman"/>
          <w:sz w:val="24"/>
          <w:szCs w:val="24"/>
        </w:rPr>
        <w:t>that benefit both the community and the project stakeholders.</w:t>
      </w:r>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After the completion of the St John’s Wood Square development project in London, a detailed post-project plan was devised to secure its long-term viability. This plan involves ongoing maintenanc</w:t>
      </w:r>
      <w:r>
        <w:rPr>
          <w:rFonts w:ascii="Times New Roman" w:cs="Times New Roman" w:eastAsia="Times New Roman" w:hAnsi="Times New Roman"/>
          <w:sz w:val="24"/>
          <w:szCs w:val="24"/>
        </w:rPr>
        <w:t>e and management actions to maintain the quality and sustainability of the newly created facilities (</w:t>
      </w:r>
      <w:r>
        <w:rPr>
          <w:rFonts w:ascii="Times New Roman" w:cs="Times New Roman" w:eastAsia="Times New Roman" w:hAnsi="Times New Roman"/>
          <w:color w:val="222222"/>
          <w:sz w:val="24"/>
          <w:szCs w:val="24"/>
          <w:highlight w:val="white"/>
        </w:rPr>
        <w:t xml:space="preserve">Martinez,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2022</w:t>
      </w:r>
      <w:r>
        <w:rPr>
          <w:rFonts w:ascii="Times New Roman" w:cs="Times New Roman" w:eastAsia="Times New Roman" w:hAnsi="Times New Roman"/>
          <w:sz w:val="24"/>
          <w:szCs w:val="24"/>
        </w:rPr>
        <w:t>). Additionally, a community engagement program was meant to develop a sense of responsibility among residents and boost social cohes</w:t>
      </w:r>
      <w:r>
        <w:rPr>
          <w:rFonts w:ascii="Times New Roman" w:cs="Times New Roman" w:eastAsia="Times New Roman" w:hAnsi="Times New Roman"/>
          <w:sz w:val="24"/>
          <w:szCs w:val="24"/>
        </w:rPr>
        <w:t xml:space="preserve">ion. Regular monitoring and feedback techniques were created to overcome any </w:t>
      </w:r>
      <w:r>
        <w:rPr>
          <w:rFonts w:ascii="Times New Roman" w:cs="Times New Roman" w:eastAsia="Times New Roman" w:hAnsi="Times New Roman"/>
          <w:sz w:val="24"/>
          <w:szCs w:val="24"/>
        </w:rPr>
        <w:t xml:space="preserve">unforeseen challenges and continually increase the project’s influence on the local inhabitants and environment. </w:t>
      </w:r>
    </w:p>
    <w:bookmarkStart w:id="5" w:name="_Toc141809880"/>
    <w:p>
      <w:pPr>
        <w:pStyle w:val="style1"/>
        <w:rPr/>
      </w:pPr>
      <w:r>
        <w:t>Conclusion</w:t>
      </w:r>
      <w:bookmarkEnd w:id="5"/>
    </w:p>
    <w:p>
      <w:pPr>
        <w:pStyle w:val="style4097"/>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St John’s Wood Square development project in Londo</w:t>
      </w:r>
      <w:r>
        <w:rPr>
          <w:rFonts w:ascii="Times New Roman" w:cs="Times New Roman" w:eastAsia="Times New Roman" w:hAnsi="Times New Roman"/>
          <w:sz w:val="24"/>
          <w:szCs w:val="24"/>
        </w:rPr>
        <w:t>n offers considerable potential for urban expansion and rejuvenation. The project’s intention to construct a mixed-use complex that incorporates residential, commercial, and recreational areas is praiseworthy. However, it also raises issues about community</w:t>
      </w:r>
      <w:r>
        <w:rPr>
          <w:rFonts w:ascii="Times New Roman" w:cs="Times New Roman" w:eastAsia="Times New Roman" w:hAnsi="Times New Roman"/>
          <w:sz w:val="24"/>
          <w:szCs w:val="24"/>
        </w:rPr>
        <w:t xml:space="preserve"> involvement, environmental effect, and safeguarding the area’s historical identity. To secure the success of the ST. John’s Wood Square development it is vital to highlight community engagement throughout the planning and implementation stages. Regular pu</w:t>
      </w:r>
      <w:r>
        <w:rPr>
          <w:rFonts w:ascii="Times New Roman" w:cs="Times New Roman" w:eastAsia="Times New Roman" w:hAnsi="Times New Roman"/>
          <w:sz w:val="24"/>
          <w:szCs w:val="24"/>
        </w:rPr>
        <w:t>bl</w:t>
      </w:r>
      <w:r>
        <w:rPr>
          <w:rFonts w:ascii="Times New Roman" w:cs="Times New Roman" w:eastAsia="Times New Roman" w:hAnsi="Times New Roman"/>
          <w:sz w:val="24"/>
          <w:szCs w:val="24"/>
        </w:rPr>
        <w:t>ic consultations community seminars and the development of advisory committees will create open communication and build confidence between the developers and the community. By adopting a comprehensive strategy and implementing the proposals outlined, th</w:t>
      </w:r>
      <w:r>
        <w:rPr>
          <w:rFonts w:ascii="Times New Roman" w:cs="Times New Roman" w:eastAsia="Times New Roman" w:hAnsi="Times New Roman"/>
          <w:sz w:val="24"/>
          <w:szCs w:val="24"/>
        </w:rPr>
        <w:t xml:space="preserve">e project may become an example of responsible and inclusive urban development benefitting both present and future citizens of St. John’s Wood. </w:t>
      </w:r>
      <w:r>
        <w:br w:type="page"/>
      </w:r>
    </w:p>
    <w:p>
      <w:pPr>
        <w:pStyle w:val="style4097"/>
        <w:spacing w:lineRule="auto" w:line="360"/>
        <w:jc w:val="both"/>
        <w:rPr>
          <w:rFonts w:ascii="Times New Roman" w:cs="Times New Roman" w:eastAsia="Times New Roman" w:hAnsi="Times New Roman"/>
          <w:sz w:val="24"/>
          <w:szCs w:val="24"/>
        </w:rPr>
      </w:pPr>
    </w:p>
    <w:bookmarkStart w:id="6" w:name="_Toc141809881"/>
    <w:p>
      <w:pPr>
        <w:pStyle w:val="style1"/>
        <w:rPr/>
      </w:pPr>
      <w:r>
        <w:t>Reference List</w:t>
      </w:r>
      <w:bookmarkEnd w:id="6"/>
    </w:p>
    <w:p>
      <w:pPr>
        <w:pStyle w:val="style4097"/>
        <w:spacing w:lineRule="auto" w:line="360"/>
        <w:jc w:val="both"/>
        <w:rPr>
          <w:rFonts w:ascii="Times New Roman" w:cs="Times New Roman" w:eastAsia="Times New Roman" w:hAnsi="Times New Roman"/>
          <w:b/>
          <w:sz w:val="24"/>
          <w:szCs w:val="24"/>
        </w:rPr>
      </w:pPr>
    </w:p>
    <w:p>
      <w:pPr>
        <w:pStyle w:val="style4097"/>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Amosse</w:t>
      </w:r>
      <w:r>
        <w:rPr>
          <w:rFonts w:ascii="Times New Roman" w:cs="Times New Roman" w:eastAsia="Times New Roman" w:hAnsi="Times New Roman"/>
          <w:color w:val="222222"/>
          <w:sz w:val="24"/>
          <w:szCs w:val="24"/>
          <w:highlight w:val="white"/>
        </w:rPr>
        <w:t xml:space="preserve">, F., </w:t>
      </w:r>
      <w:r>
        <w:rPr>
          <w:rFonts w:ascii="Times New Roman" w:cs="Times New Roman" w:eastAsia="Times New Roman" w:hAnsi="Times New Roman"/>
          <w:color w:val="222222"/>
          <w:sz w:val="24"/>
          <w:szCs w:val="24"/>
          <w:highlight w:val="white"/>
        </w:rPr>
        <w:t>Kinshella</w:t>
      </w:r>
      <w:r>
        <w:rPr>
          <w:rFonts w:ascii="Times New Roman" w:cs="Times New Roman" w:eastAsia="Times New Roman" w:hAnsi="Times New Roman"/>
          <w:color w:val="222222"/>
          <w:sz w:val="24"/>
          <w:szCs w:val="24"/>
          <w:highlight w:val="white"/>
        </w:rPr>
        <w:t xml:space="preserve">, M.L.W., </w:t>
      </w:r>
      <w:r>
        <w:rPr>
          <w:rFonts w:ascii="Times New Roman" w:cs="Times New Roman" w:eastAsia="Times New Roman" w:hAnsi="Times New Roman"/>
          <w:color w:val="222222"/>
          <w:sz w:val="24"/>
          <w:szCs w:val="24"/>
          <w:highlight w:val="white"/>
        </w:rPr>
        <w:t>Boene</w:t>
      </w:r>
      <w:r>
        <w:rPr>
          <w:rFonts w:ascii="Times New Roman" w:cs="Times New Roman" w:eastAsia="Times New Roman" w:hAnsi="Times New Roman"/>
          <w:color w:val="222222"/>
          <w:sz w:val="24"/>
          <w:szCs w:val="24"/>
          <w:highlight w:val="white"/>
        </w:rPr>
        <w:t xml:space="preserve">, H., Sharma, S., </w:t>
      </w:r>
      <w:r>
        <w:rPr>
          <w:rFonts w:ascii="Times New Roman" w:cs="Times New Roman" w:eastAsia="Times New Roman" w:hAnsi="Times New Roman"/>
          <w:color w:val="222222"/>
          <w:sz w:val="24"/>
          <w:szCs w:val="24"/>
          <w:highlight w:val="white"/>
        </w:rPr>
        <w:t>Nhamirre</w:t>
      </w:r>
      <w:r>
        <w:rPr>
          <w:rFonts w:ascii="Times New Roman" w:cs="Times New Roman" w:eastAsia="Times New Roman" w:hAnsi="Times New Roman"/>
          <w:color w:val="222222"/>
          <w:sz w:val="24"/>
          <w:szCs w:val="24"/>
          <w:highlight w:val="white"/>
        </w:rPr>
        <w:t xml:space="preserve">, Z., </w:t>
      </w:r>
      <w:r>
        <w:rPr>
          <w:rFonts w:ascii="Times New Roman" w:cs="Times New Roman" w:eastAsia="Times New Roman" w:hAnsi="Times New Roman"/>
          <w:color w:val="222222"/>
          <w:sz w:val="24"/>
          <w:szCs w:val="24"/>
          <w:highlight w:val="white"/>
        </w:rPr>
        <w:t>Tchavana</w:t>
      </w:r>
      <w:r>
        <w:rPr>
          <w:rFonts w:ascii="Times New Roman" w:cs="Times New Roman" w:eastAsia="Times New Roman" w:hAnsi="Times New Roman"/>
          <w:color w:val="222222"/>
          <w:sz w:val="24"/>
          <w:szCs w:val="24"/>
          <w:highlight w:val="white"/>
        </w:rPr>
        <w:t xml:space="preserve">, C., Magee, L.A., von </w:t>
      </w:r>
      <w:r>
        <w:rPr>
          <w:rFonts w:ascii="Times New Roman" w:cs="Times New Roman" w:eastAsia="Times New Roman" w:hAnsi="Times New Roman"/>
          <w:color w:val="222222"/>
          <w:sz w:val="24"/>
          <w:szCs w:val="24"/>
          <w:highlight w:val="white"/>
        </w:rPr>
        <w:t>Dadelszen</w:t>
      </w:r>
      <w:r>
        <w:rPr>
          <w:rFonts w:ascii="Times New Roman" w:cs="Times New Roman" w:eastAsia="Times New Roman" w:hAnsi="Times New Roman"/>
          <w:color w:val="222222"/>
          <w:sz w:val="24"/>
          <w:szCs w:val="24"/>
          <w:highlight w:val="white"/>
        </w:rPr>
        <w:t xml:space="preserve">, P., </w:t>
      </w:r>
      <w:r>
        <w:rPr>
          <w:rFonts w:ascii="Times New Roman" w:cs="Times New Roman" w:eastAsia="Times New Roman" w:hAnsi="Times New Roman"/>
          <w:color w:val="222222"/>
          <w:sz w:val="24"/>
          <w:szCs w:val="24"/>
          <w:highlight w:val="white"/>
        </w:rPr>
        <w:t>Sevene</w:t>
      </w:r>
      <w:r>
        <w:rPr>
          <w:rFonts w:ascii="Times New Roman" w:cs="Times New Roman" w:eastAsia="Times New Roman" w:hAnsi="Times New Roman"/>
          <w:color w:val="222222"/>
          <w:sz w:val="24"/>
          <w:szCs w:val="24"/>
          <w:highlight w:val="white"/>
        </w:rPr>
        <w:t xml:space="preserve">, E., </w:t>
      </w:r>
      <w:r>
        <w:rPr>
          <w:rFonts w:ascii="Times New Roman" w:cs="Times New Roman" w:eastAsia="Times New Roman" w:hAnsi="Times New Roman"/>
          <w:color w:val="222222"/>
          <w:sz w:val="24"/>
          <w:szCs w:val="24"/>
          <w:highlight w:val="white"/>
        </w:rPr>
        <w:t>Vidler</w:t>
      </w:r>
      <w:r>
        <w:rPr>
          <w:rFonts w:ascii="Times New Roman" w:cs="Times New Roman" w:eastAsia="Times New Roman" w:hAnsi="Times New Roman"/>
          <w:color w:val="222222"/>
          <w:sz w:val="24"/>
          <w:szCs w:val="24"/>
          <w:highlight w:val="white"/>
        </w:rPr>
        <w:t xml:space="preserve">, M. and </w:t>
      </w:r>
      <w:r>
        <w:rPr>
          <w:rFonts w:ascii="Times New Roman" w:cs="Times New Roman" w:eastAsia="Times New Roman" w:hAnsi="Times New Roman"/>
          <w:color w:val="222222"/>
          <w:sz w:val="24"/>
          <w:szCs w:val="24"/>
          <w:highlight w:val="white"/>
        </w:rPr>
        <w:t>Munguambe</w:t>
      </w:r>
      <w:r>
        <w:rPr>
          <w:rFonts w:ascii="Times New Roman" w:cs="Times New Roman" w:eastAsia="Times New Roman" w:hAnsi="Times New Roman"/>
          <w:color w:val="222222"/>
          <w:sz w:val="24"/>
          <w:szCs w:val="24"/>
          <w:highlight w:val="white"/>
        </w:rPr>
        <w:t>, K., 2023.</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The development and implementation of a community engagement strategy to improve maternal health in southern Mozambique.</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PLOS Global Public Health</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3</w:t>
      </w:r>
      <w:r>
        <w:rPr>
          <w:rFonts w:ascii="Times New Roman" w:cs="Times New Roman" w:eastAsia="Times New Roman" w:hAnsi="Times New Roman"/>
          <w:color w:val="222222"/>
          <w:sz w:val="24"/>
          <w:szCs w:val="24"/>
          <w:highlight w:val="white"/>
        </w:rPr>
        <w:t xml:space="preserve">(1), p.e0001106.  </w:t>
      </w:r>
      <w:r>
        <w:rPr/>
        <w:fldChar w:fldCharType="begin"/>
      </w:r>
      <w:r>
        <w:instrText xml:space="preserve"> HYPERLINK "https://journals.plos.org/globalpublichealth/article?id=10.1371/journal.pgph.0001106" </w:instrText>
      </w:r>
      <w:r>
        <w:rPr/>
        <w:fldChar w:fldCharType="separate"/>
      </w:r>
      <w:r>
        <w:rPr>
          <w:rFonts w:ascii="Times New Roman" w:cs="Times New Roman" w:eastAsia="Times New Roman" w:hAnsi="Times New Roman"/>
          <w:color w:val="1155cc"/>
          <w:sz w:val="24"/>
          <w:szCs w:val="24"/>
          <w:highlight w:val="white"/>
          <w:u w:val="single"/>
        </w:rPr>
        <w:t>https://journals.plos.org/globalpublichealth/article?id=10.1371/journal.pgph.0001106</w:t>
      </w:r>
      <w:r>
        <w:rPr/>
        <w:fldChar w:fldCharType="end"/>
      </w:r>
    </w:p>
    <w:p>
      <w:pPr>
        <w:pStyle w:val="style4097"/>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Gilmore, B., </w:t>
      </w:r>
      <w:r>
        <w:rPr>
          <w:rFonts w:ascii="Times New Roman" w:cs="Times New Roman" w:eastAsia="Times New Roman" w:hAnsi="Times New Roman"/>
          <w:color w:val="222222"/>
          <w:sz w:val="24"/>
          <w:szCs w:val="24"/>
          <w:highlight w:val="white"/>
        </w:rPr>
        <w:t>Ndejjo</w:t>
      </w:r>
      <w:r>
        <w:rPr>
          <w:rFonts w:ascii="Times New Roman" w:cs="Times New Roman" w:eastAsia="Times New Roman" w:hAnsi="Times New Roman"/>
          <w:color w:val="222222"/>
          <w:sz w:val="24"/>
          <w:szCs w:val="24"/>
          <w:highlight w:val="white"/>
        </w:rPr>
        <w:t xml:space="preserve">, R., </w:t>
      </w:r>
      <w:r>
        <w:rPr>
          <w:rFonts w:ascii="Times New Roman" w:cs="Times New Roman" w:eastAsia="Times New Roman" w:hAnsi="Times New Roman"/>
          <w:color w:val="222222"/>
          <w:sz w:val="24"/>
          <w:szCs w:val="24"/>
          <w:highlight w:val="white"/>
        </w:rPr>
        <w:t>Tchetchia</w:t>
      </w:r>
      <w:r>
        <w:rPr>
          <w:rFonts w:ascii="Times New Roman" w:cs="Times New Roman" w:eastAsia="Times New Roman" w:hAnsi="Times New Roman"/>
          <w:color w:val="222222"/>
          <w:sz w:val="24"/>
          <w:szCs w:val="24"/>
          <w:highlight w:val="white"/>
        </w:rPr>
        <w:t xml:space="preserve">, A., de Claro, V., </w:t>
      </w:r>
      <w:r>
        <w:rPr>
          <w:rFonts w:ascii="Times New Roman" w:cs="Times New Roman" w:eastAsia="Times New Roman" w:hAnsi="Times New Roman"/>
          <w:color w:val="222222"/>
          <w:sz w:val="24"/>
          <w:szCs w:val="24"/>
          <w:highlight w:val="white"/>
        </w:rPr>
        <w:t>Mago</w:t>
      </w:r>
      <w:r>
        <w:rPr>
          <w:rFonts w:ascii="Times New Roman" w:cs="Times New Roman" w:eastAsia="Times New Roman" w:hAnsi="Times New Roman"/>
          <w:color w:val="222222"/>
          <w:sz w:val="24"/>
          <w:szCs w:val="24"/>
          <w:highlight w:val="white"/>
        </w:rPr>
        <w:t>, E., Lopes, C. and Bhattacharyya, S., 2020.</w:t>
      </w:r>
      <w:r>
        <w:rPr>
          <w:rFonts w:ascii="Times New Roman" w:cs="Times New Roman" w:eastAsia="Times New Roman" w:hAnsi="Times New Roman"/>
          <w:color w:val="222222"/>
          <w:sz w:val="24"/>
          <w:szCs w:val="24"/>
          <w:highlight w:val="white"/>
        </w:rPr>
        <w:t xml:space="preserve"> Community engagement for COVID-19 prevention and control: a rapid evidence synthesis. </w:t>
      </w:r>
      <w:r>
        <w:rPr>
          <w:rFonts w:ascii="Times New Roman" w:cs="Times New Roman" w:eastAsia="Times New Roman" w:hAnsi="Times New Roman"/>
          <w:i/>
          <w:color w:val="222222"/>
          <w:sz w:val="24"/>
          <w:szCs w:val="24"/>
          <w:highlight w:val="white"/>
        </w:rPr>
        <w:t>BMJ global health</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5</w:t>
      </w:r>
      <w:r>
        <w:rPr>
          <w:rFonts w:ascii="Times New Roman" w:cs="Times New Roman" w:eastAsia="Times New Roman" w:hAnsi="Times New Roman"/>
          <w:color w:val="222222"/>
          <w:sz w:val="24"/>
          <w:szCs w:val="24"/>
          <w:highlight w:val="white"/>
        </w:rPr>
        <w:t>(10), p.e003188.</w:t>
      </w:r>
      <w:r>
        <w:rPr>
          <w:rFonts w:ascii="Times New Roman" w:cs="Times New Roman" w:eastAsia="Times New Roman" w:hAnsi="Times New Roman"/>
          <w:color w:val="222222"/>
          <w:sz w:val="24"/>
          <w:szCs w:val="24"/>
          <w:highlight w:val="white"/>
        </w:rPr>
        <w:t xml:space="preserve"> </w:t>
      </w:r>
      <w:r>
        <w:rPr/>
        <w:fldChar w:fldCharType="begin"/>
      </w:r>
      <w:r>
        <w:instrText xml:space="preserve"> HYPERLINK "https://gh.bmj.com/content/5/10/e003188.abstract" </w:instrText>
      </w:r>
      <w:r>
        <w:rPr/>
        <w:fldChar w:fldCharType="separate"/>
      </w:r>
      <w:r>
        <w:rPr>
          <w:rFonts w:ascii="Times New Roman" w:cs="Times New Roman" w:eastAsia="Times New Roman" w:hAnsi="Times New Roman"/>
          <w:color w:val="1155cc"/>
          <w:sz w:val="24"/>
          <w:szCs w:val="24"/>
          <w:highlight w:val="white"/>
          <w:u w:val="single"/>
        </w:rPr>
        <w:t>https://gh.bmj.com/content/5/10/e003188.abstract</w:t>
      </w:r>
      <w:r>
        <w:rPr/>
        <w:fldChar w:fldCharType="end"/>
      </w:r>
    </w:p>
    <w:p>
      <w:pPr>
        <w:pStyle w:val="style4097"/>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Martinez, L.S., </w:t>
      </w:r>
      <w:r>
        <w:rPr>
          <w:rFonts w:ascii="Times New Roman" w:cs="Times New Roman" w:eastAsia="Times New Roman" w:hAnsi="Times New Roman"/>
          <w:color w:val="222222"/>
          <w:sz w:val="24"/>
          <w:szCs w:val="24"/>
          <w:highlight w:val="white"/>
        </w:rPr>
        <w:t>Rapkin</w:t>
      </w:r>
      <w:r>
        <w:rPr>
          <w:rFonts w:ascii="Times New Roman" w:cs="Times New Roman" w:eastAsia="Times New Roman" w:hAnsi="Times New Roman"/>
          <w:color w:val="222222"/>
          <w:sz w:val="24"/>
          <w:szCs w:val="24"/>
          <w:highlight w:val="white"/>
        </w:rPr>
        <w:t xml:space="preserve">, B.D., Young, A., </w:t>
      </w:r>
      <w:r>
        <w:rPr>
          <w:rFonts w:ascii="Times New Roman" w:cs="Times New Roman" w:eastAsia="Times New Roman" w:hAnsi="Times New Roman"/>
          <w:color w:val="222222"/>
          <w:sz w:val="24"/>
          <w:szCs w:val="24"/>
          <w:highlight w:val="white"/>
        </w:rPr>
        <w:t>Freisthler</w:t>
      </w:r>
      <w:r>
        <w:rPr>
          <w:rFonts w:ascii="Times New Roman" w:cs="Times New Roman" w:eastAsia="Times New Roman" w:hAnsi="Times New Roman"/>
          <w:color w:val="222222"/>
          <w:sz w:val="24"/>
          <w:szCs w:val="24"/>
          <w:highlight w:val="white"/>
        </w:rPr>
        <w:t xml:space="preserve">, B., Glasgow, L., Hunt, T., </w:t>
      </w:r>
      <w:r>
        <w:rPr>
          <w:rFonts w:ascii="Times New Roman" w:cs="Times New Roman" w:eastAsia="Times New Roman" w:hAnsi="Times New Roman"/>
          <w:color w:val="222222"/>
          <w:sz w:val="24"/>
          <w:szCs w:val="24"/>
          <w:highlight w:val="white"/>
        </w:rPr>
        <w:t>Salsberry</w:t>
      </w:r>
      <w:r>
        <w:rPr>
          <w:rFonts w:ascii="Times New Roman" w:cs="Times New Roman" w:eastAsia="Times New Roman" w:hAnsi="Times New Roman"/>
          <w:color w:val="222222"/>
          <w:sz w:val="24"/>
          <w:szCs w:val="24"/>
          <w:highlight w:val="white"/>
        </w:rPr>
        <w:t xml:space="preserve">, P.J., </w:t>
      </w:r>
      <w:r>
        <w:rPr>
          <w:rFonts w:ascii="Times New Roman" w:cs="Times New Roman" w:eastAsia="Times New Roman" w:hAnsi="Times New Roman"/>
          <w:color w:val="222222"/>
          <w:sz w:val="24"/>
          <w:szCs w:val="24"/>
          <w:highlight w:val="white"/>
        </w:rPr>
        <w:t>Oga</w:t>
      </w:r>
      <w:r>
        <w:rPr>
          <w:rFonts w:ascii="Times New Roman" w:cs="Times New Roman" w:eastAsia="Times New Roman" w:hAnsi="Times New Roman"/>
          <w:color w:val="222222"/>
          <w:sz w:val="24"/>
          <w:szCs w:val="24"/>
          <w:highlight w:val="white"/>
        </w:rPr>
        <w:t xml:space="preserve">, E.A., </w:t>
      </w:r>
      <w:r>
        <w:rPr>
          <w:rFonts w:ascii="Times New Roman" w:cs="Times New Roman" w:eastAsia="Times New Roman" w:hAnsi="Times New Roman"/>
          <w:color w:val="222222"/>
          <w:sz w:val="24"/>
          <w:szCs w:val="24"/>
          <w:highlight w:val="white"/>
        </w:rPr>
        <w:t>Bennet-Fallin</w:t>
      </w:r>
      <w:r>
        <w:rPr>
          <w:rFonts w:ascii="Times New Roman" w:cs="Times New Roman" w:eastAsia="Times New Roman" w:hAnsi="Times New Roman"/>
          <w:color w:val="222222"/>
          <w:sz w:val="24"/>
          <w:szCs w:val="24"/>
          <w:highlight w:val="white"/>
        </w:rPr>
        <w:t xml:space="preserve">, A., </w:t>
      </w:r>
      <w:r>
        <w:rPr>
          <w:rFonts w:ascii="Times New Roman" w:cs="Times New Roman" w:eastAsia="Times New Roman" w:hAnsi="Times New Roman"/>
          <w:color w:val="222222"/>
          <w:sz w:val="24"/>
          <w:szCs w:val="24"/>
          <w:highlight w:val="white"/>
        </w:rPr>
        <w:t>Plouck</w:t>
      </w:r>
      <w:r>
        <w:rPr>
          <w:rFonts w:ascii="Times New Roman" w:cs="Times New Roman" w:eastAsia="Times New Roman" w:hAnsi="Times New Roman"/>
          <w:color w:val="222222"/>
          <w:sz w:val="24"/>
          <w:szCs w:val="24"/>
          <w:highlight w:val="white"/>
        </w:rPr>
        <w:t xml:space="preserve">, T.J. and </w:t>
      </w:r>
      <w:r>
        <w:rPr>
          <w:rFonts w:ascii="Times New Roman" w:cs="Times New Roman" w:eastAsia="Times New Roman" w:hAnsi="Times New Roman"/>
          <w:color w:val="222222"/>
          <w:sz w:val="24"/>
          <w:szCs w:val="24"/>
          <w:highlight w:val="white"/>
        </w:rPr>
        <w:t>Drainoni</w:t>
      </w:r>
      <w:r>
        <w:rPr>
          <w:rFonts w:ascii="Times New Roman" w:cs="Times New Roman" w:eastAsia="Times New Roman" w:hAnsi="Times New Roman"/>
          <w:color w:val="222222"/>
          <w:sz w:val="24"/>
          <w:szCs w:val="24"/>
          <w:highlight w:val="white"/>
        </w:rPr>
        <w:t>, M.L., 2020.</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 xml:space="preserve">Community engagement to implement evidence-based practices in the </w:t>
      </w:r>
      <w:r>
        <w:rPr>
          <w:rFonts w:ascii="Times New Roman" w:cs="Times New Roman" w:eastAsia="Times New Roman" w:hAnsi="Times New Roman"/>
          <w:color w:val="222222"/>
          <w:sz w:val="24"/>
          <w:szCs w:val="24"/>
          <w:highlight w:val="white"/>
        </w:rPr>
        <w:t>HEALing</w:t>
      </w:r>
      <w:r>
        <w:rPr>
          <w:rFonts w:ascii="Times New Roman" w:cs="Times New Roman" w:eastAsia="Times New Roman" w:hAnsi="Times New Roman"/>
          <w:color w:val="222222"/>
          <w:sz w:val="24"/>
          <w:szCs w:val="24"/>
          <w:highlight w:val="white"/>
        </w:rPr>
        <w:t xml:space="preserve"> communities study.</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Drug and alcohol dependence</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217</w:t>
      </w:r>
      <w:r>
        <w:rPr>
          <w:rFonts w:ascii="Times New Roman" w:cs="Times New Roman" w:eastAsia="Times New Roman" w:hAnsi="Times New Roman"/>
          <w:color w:val="222222"/>
          <w:sz w:val="24"/>
          <w:szCs w:val="24"/>
          <w:highlight w:val="white"/>
        </w:rPr>
        <w:t xml:space="preserve">, p.108326. </w:t>
      </w:r>
      <w:r>
        <w:rPr/>
        <w:fldChar w:fldCharType="begin"/>
      </w:r>
      <w:r>
        <w:instrText xml:space="preserve"> HYPERLINK "https://www.sciencedirect.com/science/article/pii/S0376871620304919" </w:instrText>
      </w:r>
      <w:r>
        <w:rPr/>
        <w:fldChar w:fldCharType="separate"/>
      </w:r>
      <w:r>
        <w:rPr>
          <w:rFonts w:ascii="Times New Roman" w:cs="Times New Roman" w:eastAsia="Times New Roman" w:hAnsi="Times New Roman"/>
          <w:color w:val="1155cc"/>
          <w:sz w:val="24"/>
          <w:szCs w:val="24"/>
          <w:highlight w:val="white"/>
          <w:u w:val="single"/>
        </w:rPr>
        <w:t>https://www.sciencedirect.com/science/article/pii/S0376871620304919</w:t>
      </w:r>
      <w:r>
        <w:rPr/>
        <w:fldChar w:fldCharType="end"/>
      </w:r>
    </w:p>
    <w:p>
      <w:pPr>
        <w:pStyle w:val="style4097"/>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Tan, R.K., Wu, D., Day, S., Zhao, Y., Larson, H.J., Sylvia, S., Tang, W. and Tucker, J.D., 2022. Digital approaches to enhancing community engagement in clinical trials. </w:t>
      </w:r>
      <w:r>
        <w:rPr>
          <w:rFonts w:ascii="Times New Roman" w:cs="Times New Roman" w:eastAsia="Times New Roman" w:hAnsi="Times New Roman"/>
          <w:i/>
          <w:color w:val="222222"/>
          <w:sz w:val="24"/>
          <w:szCs w:val="24"/>
          <w:highlight w:val="white"/>
        </w:rPr>
        <w:t>NPJ digital medicine</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5</w:t>
      </w:r>
      <w:r>
        <w:rPr>
          <w:rFonts w:ascii="Times New Roman" w:cs="Times New Roman" w:eastAsia="Times New Roman" w:hAnsi="Times New Roman"/>
          <w:color w:val="222222"/>
          <w:sz w:val="24"/>
          <w:szCs w:val="24"/>
          <w:highlight w:val="white"/>
        </w:rPr>
        <w:t xml:space="preserve">(1), p.37. </w:t>
      </w:r>
      <w:r>
        <w:rPr/>
        <w:fldChar w:fldCharType="begin"/>
      </w:r>
      <w:r>
        <w:instrText xml:space="preserve"> HYPERLINK "https://www.nature.com/articles/s41746-022-00581-1" </w:instrText>
      </w:r>
      <w:r>
        <w:rPr/>
        <w:fldChar w:fldCharType="separate"/>
      </w:r>
      <w:r>
        <w:rPr>
          <w:rFonts w:ascii="Times New Roman" w:cs="Times New Roman" w:eastAsia="Times New Roman" w:hAnsi="Times New Roman"/>
          <w:color w:val="1155cc"/>
          <w:sz w:val="24"/>
          <w:szCs w:val="24"/>
          <w:highlight w:val="white"/>
          <w:u w:val="single"/>
        </w:rPr>
        <w:t>https://www.nature.com/articles/s41746-022-00581-1</w:t>
      </w:r>
      <w:r>
        <w:rPr/>
        <w:fldChar w:fldCharType="end"/>
      </w:r>
    </w:p>
    <w:p>
      <w:pPr>
        <w:pStyle w:val="style4097"/>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Usman</w:t>
      </w:r>
      <w:r>
        <w:rPr>
          <w:rFonts w:ascii="Times New Roman" w:cs="Times New Roman" w:eastAsia="Times New Roman" w:hAnsi="Times New Roman"/>
          <w:color w:val="222222"/>
          <w:sz w:val="24"/>
          <w:szCs w:val="24"/>
          <w:highlight w:val="white"/>
        </w:rPr>
        <w:t xml:space="preserve">, S., Bologna, L. and </w:t>
      </w:r>
      <w:r>
        <w:rPr>
          <w:rFonts w:ascii="Times New Roman" w:cs="Times New Roman" w:eastAsia="Times New Roman" w:hAnsi="Times New Roman"/>
          <w:color w:val="222222"/>
          <w:sz w:val="24"/>
          <w:szCs w:val="24"/>
          <w:highlight w:val="white"/>
        </w:rPr>
        <w:t>Stamidis</w:t>
      </w:r>
      <w:r>
        <w:rPr>
          <w:rFonts w:ascii="Times New Roman" w:cs="Times New Roman" w:eastAsia="Times New Roman" w:hAnsi="Times New Roman"/>
          <w:color w:val="222222"/>
          <w:sz w:val="24"/>
          <w:szCs w:val="24"/>
          <w:highlight w:val="white"/>
        </w:rPr>
        <w:t>, K.V., 2019.</w:t>
      </w:r>
      <w:r>
        <w:rPr>
          <w:rFonts w:ascii="Times New Roman" w:cs="Times New Roman" w:eastAsia="Times New Roman" w:hAnsi="Times New Roman"/>
          <w:color w:val="222222"/>
          <w:sz w:val="24"/>
          <w:szCs w:val="24"/>
          <w:highlight w:val="white"/>
        </w:rPr>
        <w:t xml:space="preserve"> The CORE Group Partners Project in North East Nigeria: community engagement strategies to combat skepticism and build trust for vaccine acceptance. </w:t>
      </w:r>
      <w:r>
        <w:rPr>
          <w:rFonts w:ascii="Times New Roman" w:cs="Times New Roman" w:eastAsia="Times New Roman" w:hAnsi="Times New Roman"/>
          <w:i/>
          <w:color w:val="222222"/>
          <w:sz w:val="24"/>
          <w:szCs w:val="24"/>
          <w:highlight w:val="white"/>
        </w:rPr>
        <w:t>The American journal of tropical medicine and hygiene</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101</w:t>
      </w:r>
      <w:r>
        <w:rPr>
          <w:rFonts w:ascii="Times New Roman" w:cs="Times New Roman" w:eastAsia="Times New Roman" w:hAnsi="Times New Roman"/>
          <w:color w:val="222222"/>
          <w:sz w:val="24"/>
          <w:szCs w:val="24"/>
          <w:highlight w:val="white"/>
        </w:rPr>
        <w:t xml:space="preserve">(4 </w:t>
      </w:r>
      <w:r>
        <w:rPr>
          <w:rFonts w:ascii="Times New Roman" w:cs="Times New Roman" w:eastAsia="Times New Roman" w:hAnsi="Times New Roman"/>
          <w:color w:val="222222"/>
          <w:sz w:val="24"/>
          <w:szCs w:val="24"/>
          <w:highlight w:val="white"/>
        </w:rPr>
        <w:t>Suppl</w:t>
      </w:r>
      <w:r>
        <w:rPr>
          <w:rFonts w:ascii="Times New Roman" w:cs="Times New Roman" w:eastAsia="Times New Roman" w:hAnsi="Times New Roman"/>
          <w:color w:val="222222"/>
          <w:sz w:val="24"/>
          <w:szCs w:val="24"/>
          <w:highlight w:val="white"/>
        </w:rPr>
        <w:t>), p.68.</w:t>
      </w:r>
      <w:r>
        <w:rPr>
          <w:rFonts w:ascii="Times New Roman" w:cs="Times New Roman" w:eastAsia="Times New Roman" w:hAnsi="Times New Roman"/>
          <w:color w:val="222222"/>
          <w:sz w:val="24"/>
          <w:szCs w:val="24"/>
          <w:highlight w:val="white"/>
        </w:rPr>
        <w:t xml:space="preserve"> </w:t>
      </w:r>
      <w:r>
        <w:rPr/>
        <w:fldChar w:fldCharType="begin"/>
      </w:r>
      <w:r>
        <w:instrText xml:space="preserve"> HYPERLINK "https://www.ncbi.nlm.nih.gov/pmc/articles/PMC6776099/" </w:instrText>
      </w:r>
      <w:r>
        <w:rPr/>
        <w:fldChar w:fldCharType="separate"/>
      </w:r>
      <w:r>
        <w:rPr>
          <w:rFonts w:ascii="Times New Roman" w:cs="Times New Roman" w:eastAsia="Times New Roman" w:hAnsi="Times New Roman"/>
          <w:color w:val="1155cc"/>
          <w:sz w:val="24"/>
          <w:szCs w:val="24"/>
          <w:highlight w:val="white"/>
          <w:u w:val="single"/>
        </w:rPr>
        <w:t>https://www.ncbi.nlm.nih.gov/pmc/articles/PMC6776099/</w:t>
      </w:r>
      <w:r>
        <w:rPr/>
        <w:fldChar w:fldCharType="end"/>
      </w:r>
    </w:p>
    <w:p>
      <w:pPr>
        <w:pStyle w:val="style4097"/>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World Health Organization, 2020.</w:t>
      </w:r>
      <w:r>
        <w:rPr>
          <w:rFonts w:ascii="Times New Roman" w:cs="Times New Roman" w:eastAsia="Times New Roman" w:hAnsi="Times New Roman"/>
          <w:color w:val="222222"/>
          <w:sz w:val="24"/>
          <w:szCs w:val="24"/>
          <w:highlight w:val="white"/>
        </w:rPr>
        <w:t xml:space="preserve"> Community engagement: a health promotion guide for universal health coverage in the hands of the people. </w:t>
      </w:r>
      <w:r>
        <w:rPr/>
        <w:fldChar w:fldCharType="begin"/>
      </w:r>
      <w:r>
        <w:instrText xml:space="preserve"> HYPERLINK "https://apps.who.int/iris/bitstream/handle/10665/334379/9789240010529-eng.pdf" </w:instrText>
      </w:r>
      <w:r>
        <w:rPr/>
        <w:fldChar w:fldCharType="separate"/>
      </w:r>
      <w:r>
        <w:rPr>
          <w:rFonts w:ascii="Times New Roman" w:cs="Times New Roman" w:eastAsia="Times New Roman" w:hAnsi="Times New Roman"/>
          <w:color w:val="1155cc"/>
          <w:sz w:val="24"/>
          <w:szCs w:val="24"/>
          <w:highlight w:val="white"/>
          <w:u w:val="single"/>
        </w:rPr>
        <w:t>https://apps.who.int/iris/bitstream/handle/10665/334379/9789240010529-eng.pdf</w:t>
      </w:r>
      <w:r>
        <w:rPr/>
        <w:fldChar w:fldCharType="end"/>
      </w:r>
    </w:p>
    <w:sectPr>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43" w:usb2="00000009" w:usb3="00000000" w:csb0="000001FF" w:csb1="00000000"/>
  </w:font>
  <w:font w:name="Arial">
    <w:altName w:val="Arial"/>
    <w:panose1 w:val="020b0604020002020204"/>
    <w:charset w:val="00"/>
    <w:family w:val="swiss"/>
    <w:pitch w:val="variable"/>
    <w:sig w:usb0="E0002AFF" w:usb1="C0007843" w:usb2="00000009" w:usb3="00000000" w:csb0="000001FF" w:csb1="00000000"/>
  </w:font>
  <w:font w:name="Calibri">
    <w:altName w:val="Calibri"/>
    <w:panose1 w:val="020f0502020002030204"/>
    <w:charset w:val="00"/>
    <w:family w:val="swiss"/>
    <w:pitch w:val="variable"/>
    <w:sig w:usb0="E00002FF" w:usb1="4000ACFF" w:usb2="00000001" w:usb3="00000000" w:csb0="0000019F"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C5B42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AA8C68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03F29C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038EA2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multilevel"/>
    <w:tmpl w:val="9912C9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EDBCD3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4"/>
  </w:num>
  <w:num w:numId="3">
    <w:abstractNumId w:val="2"/>
  </w:num>
  <w:num w:numId="4">
    <w:abstractNumId w:val="0"/>
  </w:num>
  <w:num w:numId="5">
    <w:abstractNumId w:val="3"/>
  </w:num>
  <w:num w:numId="6">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US" w:bidi="ar-SA" w:eastAsia="en-US"/>
      </w:rPr>
    </w:rPrDefault>
    <w:pPrDefault>
      <w:pPr>
        <w:spacing w:lineRule="auto" w:line="276"/>
      </w:pPr>
    </w:pPrDefault>
  </w:docDefaults>
  <w:style w:type="paragraph" w:default="1" w:styleId="style0">
    <w:name w:val="Normal"/>
    <w:next w:val="style0"/>
    <w:qFormat/>
    <w:pPr/>
  </w:style>
  <w:style w:type="paragraph" w:styleId="style1">
    <w:name w:val="heading 1"/>
    <w:basedOn w:val="style4097"/>
    <w:next w:val="style4097"/>
    <w:pPr>
      <w:keepNext/>
      <w:keepLines/>
      <w:spacing w:before="520" w:after="240" w:lineRule="auto" w:line="360"/>
      <w:jc w:val="both"/>
      <w:outlineLvl w:val="0"/>
    </w:pPr>
    <w:rPr>
      <w:rFonts w:ascii="Times New Roman" w:hAnsi="Times New Roman"/>
      <w:b/>
      <w:sz w:val="28"/>
      <w:szCs w:val="40"/>
    </w:rPr>
  </w:style>
  <w:style w:type="paragraph" w:styleId="style2">
    <w:name w:val="heading 2"/>
    <w:basedOn w:val="style4097"/>
    <w:next w:val="style4097"/>
    <w:pPr>
      <w:keepNext/>
      <w:keepLines/>
      <w:spacing w:before="360" w:after="120" w:lineRule="auto" w:line="480"/>
      <w:jc w:val="both"/>
      <w:outlineLvl w:val="1"/>
    </w:pPr>
    <w:rPr>
      <w:rFonts w:ascii="Times New Roman" w:hAnsi="Times New Roman"/>
      <w:b/>
      <w:sz w:val="26"/>
      <w:szCs w:val="32"/>
    </w:rPr>
  </w:style>
  <w:style w:type="paragraph" w:styleId="style3">
    <w:name w:val="heading 3"/>
    <w:basedOn w:val="style4097"/>
    <w:next w:val="style4097"/>
    <w:pPr>
      <w:keepNext/>
      <w:keepLines/>
      <w:spacing w:before="320" w:after="80"/>
      <w:outlineLvl w:val="2"/>
    </w:pPr>
    <w:rPr>
      <w:color w:val="434343"/>
      <w:sz w:val="28"/>
      <w:szCs w:val="28"/>
    </w:rPr>
  </w:style>
  <w:style w:type="paragraph" w:styleId="style4">
    <w:name w:val="heading 4"/>
    <w:basedOn w:val="style4097"/>
    <w:next w:val="style4097"/>
    <w:pPr>
      <w:keepNext/>
      <w:keepLines/>
      <w:spacing w:before="280" w:after="80"/>
      <w:outlineLvl w:val="3"/>
    </w:pPr>
    <w:rPr>
      <w:color w:val="666666"/>
      <w:sz w:val="24"/>
      <w:szCs w:val="24"/>
    </w:rPr>
  </w:style>
  <w:style w:type="paragraph" w:styleId="style5">
    <w:name w:val="heading 5"/>
    <w:basedOn w:val="style4097"/>
    <w:next w:val="style4097"/>
    <w:pPr>
      <w:keepNext/>
      <w:keepLines/>
      <w:spacing w:before="240" w:after="80"/>
      <w:outlineLvl w:val="4"/>
    </w:pPr>
    <w:rPr>
      <w:color w:val="666666"/>
    </w:rPr>
  </w:style>
  <w:style w:type="paragraph" w:styleId="style6">
    <w:name w:val="heading 6"/>
    <w:basedOn w:val="style4097"/>
    <w:next w:val="style4097"/>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
    <w:next w:val="style4097"/>
    <w:pPr/>
  </w:style>
  <w:style w:type="paragraph" w:styleId="style62">
    <w:name w:val="Title"/>
    <w:basedOn w:val="style4097"/>
    <w:next w:val="style4097"/>
    <w:pPr>
      <w:keepNext/>
      <w:keepLines/>
      <w:spacing w:after="60"/>
    </w:pPr>
    <w:rPr>
      <w:sz w:val="52"/>
      <w:szCs w:val="52"/>
    </w:rPr>
  </w:style>
  <w:style w:type="paragraph" w:styleId="style74">
    <w:name w:val="Subtitle"/>
    <w:basedOn w:val="style4097"/>
    <w:next w:val="style4097"/>
    <w:pPr>
      <w:keepNext/>
      <w:keepLines/>
      <w:spacing w:after="320"/>
    </w:pPr>
    <w:rPr>
      <w:color w:val="666666"/>
      <w:sz w:val="30"/>
      <w:szCs w:val="30"/>
    </w:rPr>
  </w:style>
  <w:style w:type="paragraph" w:styleId="style266">
    <w:name w:val="TOC Heading"/>
    <w:basedOn w:val="style1"/>
    <w:next w:val="style0"/>
    <w:qFormat/>
    <w:uiPriority w:val="39"/>
    <w:pPr>
      <w:spacing w:before="480" w:after="0"/>
      <w:outlineLvl w:val="9"/>
    </w:pPr>
    <w:rPr>
      <w:rFonts w:ascii="Calibri" w:cs="宋体" w:eastAsia="宋体" w:hAnsi="Calibri"/>
      <w:b w:val="false"/>
      <w:bCs/>
      <w:color w:val="365f91"/>
      <w:szCs w:val="28"/>
    </w:rPr>
  </w:style>
  <w:style w:type="paragraph" w:styleId="style153">
    <w:name w:val="Balloon Text"/>
    <w:basedOn w:val="style0"/>
    <w:next w:val="style153"/>
    <w:link w:val="style4098"/>
    <w:uiPriority w:val="99"/>
    <w:pPr>
      <w:spacing w:lineRule="auto" w:line="240"/>
    </w:pPr>
    <w:rPr>
      <w:rFonts w:ascii="Tahoma" w:cs="Tahoma" w:hAnsi="Tahoma"/>
      <w:sz w:val="16"/>
      <w:szCs w:val="16"/>
    </w:rPr>
  </w:style>
  <w:style w:type="character" w:customStyle="1" w:styleId="style4098">
    <w:name w:val="Balloon Text Char"/>
    <w:basedOn w:val="style65"/>
    <w:next w:val="style4098"/>
    <w:link w:val="style153"/>
    <w:uiPriority w:val="99"/>
    <w:rPr>
      <w:rFonts w:ascii="Tahoma" w:cs="Tahoma" w:hAnsi="Tahoma"/>
      <w:sz w:val="16"/>
      <w:szCs w:val="16"/>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B889A5-5CAB-4FD5-9E84-5FB040C41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Words>2294</Words>
  <Pages>10</Pages>
  <Characters>14461</Characters>
  <Application>WPS Office</Application>
  <DocSecurity>0</DocSecurity>
  <Paragraphs>99</Paragraphs>
  <ScaleCrop>false</ScaleCrop>
  <LinksUpToDate>false</LinksUpToDate>
  <CharactersWithSpaces>16792</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2023-08-01T13:43:00Z</dcterms:created>
  <dc:creator>WPS Office</dc:creator>
  <lastModifiedBy>CPH2015</lastModifiedBy>
  <dcterms:modified xsi:type="dcterms:W3CDTF">2023-08-02T17:13:28Z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98babf161a0f4f1f916c12cc78dd82ee</vt:lpwstr>
  </property>
</Properties>
</file>