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E410F" w14:textId="77777777" w:rsidR="001C3F0D" w:rsidRPr="00AD4E92" w:rsidRDefault="00B8692A" w:rsidP="001C3F0D">
      <w:pPr>
        <w:pStyle w:val="Default"/>
        <w:jc w:val="both"/>
        <w:rPr>
          <w:sz w:val="20"/>
          <w:szCs w:val="20"/>
        </w:rPr>
      </w:pPr>
      <w:r w:rsidRPr="000443BD">
        <w:rPr>
          <w:sz w:val="20"/>
          <w:szCs w:val="20"/>
        </w:rPr>
        <w:t xml:space="preserve"> </w:t>
      </w:r>
    </w:p>
    <w:p w14:paraId="41AED55E" w14:textId="1A2285EE" w:rsidR="00656C6B" w:rsidRDefault="00656C6B" w:rsidP="001C3F0D">
      <w:pPr>
        <w:pStyle w:val="Default"/>
        <w:jc w:val="both"/>
        <w:rPr>
          <w:b/>
          <w:bCs/>
          <w:sz w:val="20"/>
          <w:szCs w:val="20"/>
        </w:rPr>
      </w:pPr>
      <w:r>
        <w:rPr>
          <w:b/>
          <w:bCs/>
          <w:sz w:val="20"/>
          <w:szCs w:val="20"/>
        </w:rPr>
        <w:t>Question:</w:t>
      </w:r>
    </w:p>
    <w:p w14:paraId="64E1EA1C" w14:textId="77777777" w:rsidR="00656C6B" w:rsidRDefault="00656C6B" w:rsidP="001C3F0D">
      <w:pPr>
        <w:pStyle w:val="Default"/>
        <w:jc w:val="both"/>
        <w:rPr>
          <w:b/>
          <w:bCs/>
          <w:sz w:val="20"/>
          <w:szCs w:val="20"/>
        </w:rPr>
      </w:pPr>
    </w:p>
    <w:p w14:paraId="4712B5EA" w14:textId="72EB231C" w:rsidR="001C3F0D" w:rsidRPr="00AD4E92" w:rsidRDefault="001C3F0D" w:rsidP="001C3F0D">
      <w:pPr>
        <w:pStyle w:val="Default"/>
        <w:jc w:val="both"/>
        <w:rPr>
          <w:b/>
          <w:bCs/>
          <w:sz w:val="20"/>
          <w:szCs w:val="20"/>
        </w:rPr>
      </w:pPr>
      <w:r w:rsidRPr="00AD4E92">
        <w:rPr>
          <w:b/>
          <w:bCs/>
          <w:sz w:val="20"/>
          <w:szCs w:val="20"/>
        </w:rPr>
        <w:t xml:space="preserve">Why might terrorist organisations be involved in other types of criminality, and how might intelligence gained in the investigation of such criminality inform counter-terrorism policing? Your answer must be based on academic research, but you may make reference to relevant case studies. </w:t>
      </w:r>
    </w:p>
    <w:p w14:paraId="33D9A734" w14:textId="77777777" w:rsidR="001C3F0D" w:rsidRPr="00AD4E92" w:rsidRDefault="001C3F0D" w:rsidP="001C3F0D">
      <w:pPr>
        <w:jc w:val="both"/>
        <w:rPr>
          <w:rFonts w:ascii="Arial" w:hAnsi="Arial" w:cs="Arial"/>
          <w:sz w:val="20"/>
          <w:szCs w:val="20"/>
        </w:rPr>
      </w:pPr>
    </w:p>
    <w:p w14:paraId="3FF03D86" w14:textId="77777777" w:rsidR="001C3F0D" w:rsidRPr="00AD4E92" w:rsidRDefault="001C3F0D" w:rsidP="001C3F0D">
      <w:pPr>
        <w:jc w:val="both"/>
        <w:rPr>
          <w:rFonts w:ascii="Arial" w:hAnsi="Arial" w:cs="Arial"/>
          <w:sz w:val="20"/>
          <w:szCs w:val="20"/>
        </w:rPr>
      </w:pPr>
      <w:r w:rsidRPr="00AD4E92">
        <w:rPr>
          <w:rFonts w:ascii="Arial" w:hAnsi="Arial" w:cs="Arial"/>
          <w:sz w:val="20"/>
          <w:szCs w:val="20"/>
        </w:rPr>
        <w:t>Answer:</w:t>
      </w:r>
    </w:p>
    <w:p w14:paraId="7E750A07"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 xml:space="preserve">It is the purpose of this article to investigate the potential variables that contribute to the involvement of terrorist groups in a variety of criminal activities, as well as to investigate the ways in which law enforcement agencies that are tasked with counterterrorism could profit from the intelligence that is gathered via investigations of this nature. Before examining how investigations into these crimes might provide valuable insights to counter terrorist activity, it is essential to investigate the diverse range of other criminal activities that terrorist groups may engage in. Additionally, it is important to investigate the potential motivations that may drive terrorist groups to participate in these illegal acts. </w:t>
      </w:r>
    </w:p>
    <w:p w14:paraId="6B0EB244" w14:textId="77777777" w:rsidR="001C3F0D" w:rsidRPr="00AD4E92" w:rsidRDefault="001C3F0D" w:rsidP="001C3F0D">
      <w:pPr>
        <w:jc w:val="both"/>
        <w:rPr>
          <w:rFonts w:ascii="Arial" w:hAnsi="Arial" w:cs="Arial"/>
          <w:sz w:val="20"/>
          <w:szCs w:val="20"/>
        </w:rPr>
      </w:pPr>
    </w:p>
    <w:p w14:paraId="2DD9C122"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 xml:space="preserve">In the UK, there are numerous counterterrorism police units that are managed by a substantial organisational structure that brings together numerous closely allied departments and units. HMICFRS (2020) states that the Security Service (MI5) is one of these divisions. The MI5 is the UK's domestic intelligence organisation that is in charge of counterterrorism. In order to stop, look into, and disrupt terrorist activity, MI5 collaborates with a nationwide network of specialised police officers and professionals known as Counter Terrorism Policing (CTP). CTUs, or regional counterterrorism units Each regional CTU in the UK is in charge of handling terrorism threats inside the boundaries of its assigned region. Also, the office for the National Counterterrorism Security (NaCTSO) The NaCTSO is a police unit that helps businesses, organisations, and the public sector become more resilient against terrorist threats by offering advice, assistance, and training. Security and Intelligence Agencies: In addition to MI5, other </w:t>
      </w:r>
      <w:proofErr w:type="gramStart"/>
      <w:r w:rsidRPr="00AD4E92">
        <w:rPr>
          <w:rFonts w:ascii="Arial" w:eastAsia="Times New Roman" w:hAnsi="Arial" w:cs="Arial"/>
          <w:kern w:val="0"/>
          <w:sz w:val="20"/>
          <w:szCs w:val="20"/>
          <w:lang w:eastAsia="en-GB"/>
          <w14:ligatures w14:val="none"/>
        </w:rPr>
        <w:t>security</w:t>
      </w:r>
      <w:proofErr w:type="gramEnd"/>
      <w:r w:rsidRPr="00AD4E92">
        <w:rPr>
          <w:rFonts w:ascii="Arial" w:eastAsia="Times New Roman" w:hAnsi="Arial" w:cs="Arial"/>
          <w:kern w:val="0"/>
          <w:sz w:val="20"/>
          <w:szCs w:val="20"/>
          <w:lang w:eastAsia="en-GB"/>
          <w14:ligatures w14:val="none"/>
        </w:rPr>
        <w:t xml:space="preserve"> and intelligence organisations, including GCHQ (Government Communications Headquarters) and MI6 (Secret Intelligence Service), participate in counterterrorism operations by obtaining information, carrying out surveillance, and offering technical assistance.</w:t>
      </w:r>
    </w:p>
    <w:p w14:paraId="15D2F485"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p>
    <w:p w14:paraId="58FB4A83" w14:textId="77777777" w:rsidR="001C3F0D" w:rsidRPr="00AD4E92" w:rsidRDefault="001C3F0D" w:rsidP="001C3F0D">
      <w:pPr>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 xml:space="preserve">The British-U.S. Communication Agreement, or UKUSA, was signed by the United States and the United Kingdom at the close of World War II as a means of carrying on their intelligence-sharing activities. The agreement's main goal was to expedite the two countries' exchange of intelligence in order to better combat dangers from throughout the world, chief among them the Soviet Union. What is now known as the Five Eyes Alliance was formed with the inclusion of Canada, Australia, and New Zealand. The Five Eyes Alliance is limited by its limited membership and overburdened by ongoing and emerging global crises that require regular, up-to-date intelligence to handle, despite its extensive global reach and tight collaboration. Thus, it could be beneficial for the Five Eyes Alliance to think about adding Germany, </w:t>
      </w:r>
      <w:proofErr w:type="gramStart"/>
      <w:r w:rsidRPr="00AD4E92">
        <w:rPr>
          <w:rFonts w:ascii="Arial" w:eastAsia="Times New Roman" w:hAnsi="Arial" w:cs="Arial"/>
          <w:kern w:val="0"/>
          <w:sz w:val="20"/>
          <w:szCs w:val="20"/>
          <w:lang w:eastAsia="en-GB"/>
          <w14:ligatures w14:val="none"/>
        </w:rPr>
        <w:t>France</w:t>
      </w:r>
      <w:proofErr w:type="gramEnd"/>
      <w:r w:rsidRPr="00AD4E92">
        <w:rPr>
          <w:rFonts w:ascii="Arial" w:eastAsia="Times New Roman" w:hAnsi="Arial" w:cs="Arial"/>
          <w:kern w:val="0"/>
          <w:sz w:val="20"/>
          <w:szCs w:val="20"/>
          <w:lang w:eastAsia="en-GB"/>
          <w14:ligatures w14:val="none"/>
        </w:rPr>
        <w:t xml:space="preserve"> and South Korea to its membership (Pfluke 2019).</w:t>
      </w:r>
    </w:p>
    <w:p w14:paraId="3B666645"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p>
    <w:p w14:paraId="626E475F"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In order to protect national security from terrorism, the organisational structure of counterterrorism policing in the UK is primarily intended to support cooperation, sharing of information, and efficient reaction capabilities between different agencies and governmental levels.</w:t>
      </w:r>
    </w:p>
    <w:p w14:paraId="3BB4ED57" w14:textId="77777777" w:rsidR="001C3F0D" w:rsidRPr="00AD4E92" w:rsidRDefault="001C3F0D" w:rsidP="001C3F0D">
      <w:pPr>
        <w:jc w:val="both"/>
        <w:rPr>
          <w:rFonts w:ascii="Arial" w:hAnsi="Arial" w:cs="Arial"/>
          <w:sz w:val="20"/>
          <w:szCs w:val="20"/>
        </w:rPr>
      </w:pPr>
    </w:p>
    <w:p w14:paraId="2701F6AD"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Terrorist groups are often involved in a variety of criminal activities, motivated by a variety of factors. According to research, these organisations frequently turn to illegal activities including money laundering, smuggling of weapons, and drug trafficking in order to fund their operations and maintain their networks (Jones, 2019). Furthermore, they can take advantage of already-existing networks and infrastructure, avoid detection by law enforcement, and obtain funding required for their terrorist operations by participating in criminal enterprises (Clarke &amp; Newman, 2020). For example, the proceeds from illegal activities fuel terrorist operations, as well as the recruitment of new members and the acquisition of explosives and weapons (Makarenko, 2017). In order to effectively combat terrorist threats, it is imperative to comprehend the symbiotic relationship that exists between terrorism and criminality.</w:t>
      </w:r>
    </w:p>
    <w:p w14:paraId="11611D0C" w14:textId="77777777" w:rsidR="001C3F0D" w:rsidRPr="00AD4E92" w:rsidRDefault="001C3F0D" w:rsidP="001C3F0D">
      <w:pPr>
        <w:pStyle w:val="PlainText"/>
        <w:rPr>
          <w:rFonts w:ascii="Arial" w:hAnsi="Arial" w:cs="Arial"/>
          <w:sz w:val="20"/>
          <w:szCs w:val="20"/>
        </w:rPr>
      </w:pPr>
    </w:p>
    <w:p w14:paraId="55A412CD"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Additionally, information gleaned from looking into these illegal operations is crucial for developing and improving counterterrorism police tactics</w:t>
      </w:r>
      <w:proofErr w:type="gramStart"/>
      <w:r w:rsidRPr="00AD4E92">
        <w:rPr>
          <w:rFonts w:ascii="Arial" w:eastAsia="Times New Roman" w:hAnsi="Arial" w:cs="Arial"/>
          <w:kern w:val="0"/>
          <w:sz w:val="20"/>
          <w:szCs w:val="20"/>
          <w:lang w:eastAsia="en-GB"/>
          <w14:ligatures w14:val="none"/>
        </w:rPr>
        <w:t xml:space="preserve">.  </w:t>
      </w:r>
      <w:proofErr w:type="gramEnd"/>
      <w:r w:rsidRPr="00AD4E92">
        <w:rPr>
          <w:rFonts w:ascii="Arial" w:eastAsia="Times New Roman" w:hAnsi="Arial" w:cs="Arial"/>
          <w:kern w:val="0"/>
          <w:sz w:val="20"/>
          <w:szCs w:val="20"/>
          <w:lang w:eastAsia="en-GB"/>
          <w14:ligatures w14:val="none"/>
        </w:rPr>
        <w:t xml:space="preserve">Law enforcement agencies can obtain valuable insights into terrorist groups' organisational structures, operational capabilities, and modus operandi by closely examining the financial transactions, communication networks, and logistical arrangements linked to these criminal enterprises (Lum et al., 2019). Authorities can identify important operatives, cut off financing sources, destroy support networks, and avert future terrorist acts thanks to this intelligence (Dunn, 2020). Additionally, cooperative efforts between intelligence services and law enforcement organisations on a national and international level enable information sharing and operational coordination to successfully tackle transnational crime and terrorism (Williams &amp; Levi, 2020). Thus, it is critical to develop </w:t>
      </w:r>
      <w:proofErr w:type="gramStart"/>
      <w:r w:rsidRPr="00AD4E92">
        <w:rPr>
          <w:rFonts w:ascii="Arial" w:eastAsia="Times New Roman" w:hAnsi="Arial" w:cs="Arial"/>
          <w:kern w:val="0"/>
          <w:sz w:val="20"/>
          <w:szCs w:val="20"/>
          <w:lang w:eastAsia="en-GB"/>
          <w14:ligatures w14:val="none"/>
        </w:rPr>
        <w:t>proactive</w:t>
      </w:r>
      <w:proofErr w:type="gramEnd"/>
      <w:r w:rsidRPr="00AD4E92">
        <w:rPr>
          <w:rFonts w:ascii="Arial" w:eastAsia="Times New Roman" w:hAnsi="Arial" w:cs="Arial"/>
          <w:kern w:val="0"/>
          <w:sz w:val="20"/>
          <w:szCs w:val="20"/>
          <w:lang w:eastAsia="en-GB"/>
          <w14:ligatures w14:val="none"/>
        </w:rPr>
        <w:t xml:space="preserve"> and focused counterterrorism measures by using intelligence obtained from the examination of criminal activity linked to terrorist groups.</w:t>
      </w:r>
    </w:p>
    <w:p w14:paraId="12721A37" w14:textId="77777777" w:rsidR="001C3F0D" w:rsidRPr="00AD4E92" w:rsidRDefault="001C3F0D" w:rsidP="001C3F0D">
      <w:pPr>
        <w:pStyle w:val="PlainText"/>
        <w:rPr>
          <w:rFonts w:ascii="Arial" w:hAnsi="Arial" w:cs="Arial"/>
          <w:sz w:val="20"/>
          <w:szCs w:val="20"/>
        </w:rPr>
      </w:pPr>
    </w:p>
    <w:p w14:paraId="3E647E5B" w14:textId="77777777" w:rsidR="001C3F0D" w:rsidRPr="00AD4E92" w:rsidRDefault="001C3F0D" w:rsidP="001C3F0D">
      <w:pPr>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Terrorist organisations use money and crime to further their ideological objectives and consolidate their authority. Research indicates that these entities often exploit legal loopholes in other countries to perpetrate offences such as cybercrime, extortion, and human trafficking (Nesser, 2017)</w:t>
      </w:r>
      <w:proofErr w:type="gramStart"/>
      <w:r w:rsidRPr="00AD4E92">
        <w:rPr>
          <w:rFonts w:ascii="Arial" w:eastAsia="Times New Roman" w:hAnsi="Arial" w:cs="Arial"/>
          <w:kern w:val="0"/>
          <w:sz w:val="20"/>
          <w:szCs w:val="20"/>
          <w:lang w:eastAsia="en-GB"/>
          <w14:ligatures w14:val="none"/>
        </w:rPr>
        <w:t xml:space="preserve">.  </w:t>
      </w:r>
      <w:proofErr w:type="gramEnd"/>
      <w:r w:rsidRPr="00AD4E92">
        <w:rPr>
          <w:rFonts w:ascii="Arial" w:eastAsia="Times New Roman" w:hAnsi="Arial" w:cs="Arial"/>
          <w:kern w:val="0"/>
          <w:sz w:val="20"/>
          <w:szCs w:val="20"/>
          <w:lang w:eastAsia="en-GB"/>
          <w14:ligatures w14:val="none"/>
        </w:rPr>
        <w:t>By diversifying their illegal activities, terrorist organisations can raise their revenue and establish relationships with other criminal organisations, which will enable them to operate more effectively and expand their influence (McCoy &amp; Hoffman, 2020). Furthermore, the involvement of terrorist groups in criminal activities poses significant challenges to law enforcement agencies because it blurs the lines between traditional criminal activity and terrorism, making it more difficult to detect, deter, and prosecute these activities (Reinares &amp; García-Calvo, 2019)</w:t>
      </w:r>
      <w:proofErr w:type="gramStart"/>
      <w:r w:rsidRPr="00AD4E92">
        <w:rPr>
          <w:rFonts w:ascii="Arial" w:eastAsia="Times New Roman" w:hAnsi="Arial" w:cs="Arial"/>
          <w:kern w:val="0"/>
          <w:sz w:val="20"/>
          <w:szCs w:val="20"/>
          <w:lang w:eastAsia="en-GB"/>
          <w14:ligatures w14:val="none"/>
        </w:rPr>
        <w:t xml:space="preserve">.  </w:t>
      </w:r>
      <w:proofErr w:type="gramEnd"/>
      <w:r w:rsidRPr="00AD4E92">
        <w:rPr>
          <w:rFonts w:ascii="Arial" w:eastAsia="Times New Roman" w:hAnsi="Arial" w:cs="Arial"/>
          <w:kern w:val="0"/>
          <w:sz w:val="20"/>
          <w:szCs w:val="20"/>
          <w:lang w:eastAsia="en-GB"/>
          <w14:ligatures w14:val="none"/>
        </w:rPr>
        <w:t>So, to create comprehensive counterterrorism programmes that address both the practical and intellectual aspects of terrorist activity, it is imperative to understand the complex relationship that exists between criminality and terrorism.</w:t>
      </w:r>
    </w:p>
    <w:p w14:paraId="305042C0" w14:textId="77777777" w:rsidR="001C3F0D" w:rsidRPr="00AD4E92" w:rsidRDefault="001C3F0D" w:rsidP="001C3F0D">
      <w:pPr>
        <w:rPr>
          <w:rFonts w:ascii="Arial" w:eastAsia="Times New Roman" w:hAnsi="Arial" w:cs="Arial"/>
          <w:kern w:val="0"/>
          <w:sz w:val="20"/>
          <w:szCs w:val="20"/>
          <w:lang w:eastAsia="en-GB"/>
          <w14:ligatures w14:val="none"/>
        </w:rPr>
      </w:pPr>
    </w:p>
    <w:p w14:paraId="121D837D" w14:textId="77777777" w:rsidR="001C3F0D" w:rsidRPr="00AD4E92" w:rsidRDefault="001C3F0D" w:rsidP="001C3F0D">
      <w:pPr>
        <w:pStyle w:val="PlainText"/>
        <w:rPr>
          <w:rFonts w:ascii="Arial" w:hAnsi="Arial" w:cs="Arial"/>
          <w:sz w:val="20"/>
          <w:szCs w:val="20"/>
        </w:rPr>
      </w:pPr>
      <w:r w:rsidRPr="00AD4E92">
        <w:rPr>
          <w:rFonts w:ascii="Arial" w:hAnsi="Arial" w:cs="Arial"/>
          <w:sz w:val="20"/>
          <w:szCs w:val="20"/>
        </w:rPr>
        <w:t xml:space="preserve">Furthermore, the emergence of criminal activity and terrorism creates a dynamic and ever-changing danger landscape that necessitates ongoing innovation and adaptability in counter-terrorism activities. According to recent studies, there is a rise in hybrid organisations that combine criminal techniques with terrorist beliefs. These groups use globalisation and technology to operate internationally and take advantage of gaps in governance frameworks (Bergen et al., 2019). The amalgamation of organised crime and terrorism presents noteworthy obstacles to conventional law enforcement frameworks, hence demanding a multifaceted strategy that incorporates intelligence collection, law enforcement collaboration, and community involvement (Sullivan &amp; Ganor, 2018). Furthermore, the spread of encrypted communication channels and internet platforms has made it easier for people to become radicalised and join terrorist organisations, increasing the threat presented by lone actors and extremists who have converted to their own cause (Schuurman &amp; Bakker, 2021). Thus, </w:t>
      </w:r>
      <w:proofErr w:type="gramStart"/>
      <w:r w:rsidRPr="00AD4E92">
        <w:rPr>
          <w:rFonts w:ascii="Arial" w:hAnsi="Arial" w:cs="Arial"/>
          <w:sz w:val="20"/>
          <w:szCs w:val="20"/>
        </w:rPr>
        <w:t>proactive</w:t>
      </w:r>
      <w:proofErr w:type="gramEnd"/>
      <w:r w:rsidRPr="00AD4E92">
        <w:rPr>
          <w:rFonts w:ascii="Arial" w:hAnsi="Arial" w:cs="Arial"/>
          <w:sz w:val="20"/>
          <w:szCs w:val="20"/>
        </w:rPr>
        <w:t xml:space="preserve"> efforts to foil terrorist schemes as well as preventative programmes that deal with underlying issues, refute extremist narratives, and create communities that are resistant to recruitment and radicalization efforts must all be included in effective counterterrorism policing strategies.</w:t>
      </w:r>
    </w:p>
    <w:p w14:paraId="114A0DAE" w14:textId="77777777" w:rsidR="001C3F0D" w:rsidRPr="00AD4E92" w:rsidRDefault="001C3F0D" w:rsidP="001C3F0D">
      <w:pPr>
        <w:pStyle w:val="PlainText"/>
        <w:rPr>
          <w:rFonts w:ascii="Arial" w:hAnsi="Arial" w:cs="Arial"/>
          <w:sz w:val="20"/>
          <w:szCs w:val="20"/>
        </w:rPr>
      </w:pPr>
    </w:p>
    <w:p w14:paraId="60FB99AF" w14:textId="77777777" w:rsidR="001C3F0D" w:rsidRPr="00AD4E92" w:rsidRDefault="001C3F0D" w:rsidP="001C3F0D">
      <w:pPr>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There are many different reasons why terrorist organisations might associate with other criminal organisations or why they might engage in other forms of criminal behaviour. For instance, criminal and terrorist organisations might communicate with one another to exchange "intangible resources." This could involve things like specialised knowledge of money laundering or building bombs (Makarenko, 2004). They might even try pooling their resources to smuggle people or things across international borders. For example, organised crime groups may provide terrorist organisations with information about the routes used for the smuggling of drugs and the illegal transfer of cargo</w:t>
      </w:r>
      <w:proofErr w:type="gramStart"/>
      <w:r w:rsidRPr="00AD4E92">
        <w:rPr>
          <w:rFonts w:ascii="Arial" w:eastAsia="Times New Roman" w:hAnsi="Arial" w:cs="Arial"/>
          <w:kern w:val="0"/>
          <w:sz w:val="20"/>
          <w:szCs w:val="20"/>
          <w:lang w:eastAsia="en-GB"/>
          <w14:ligatures w14:val="none"/>
        </w:rPr>
        <w:t xml:space="preserve">.  </w:t>
      </w:r>
      <w:proofErr w:type="gramEnd"/>
      <w:r w:rsidRPr="00AD4E92">
        <w:rPr>
          <w:rFonts w:ascii="Arial" w:eastAsia="Times New Roman" w:hAnsi="Arial" w:cs="Arial"/>
          <w:kern w:val="0"/>
          <w:sz w:val="20"/>
          <w:szCs w:val="20"/>
          <w:lang w:eastAsia="en-GB"/>
          <w14:ligatures w14:val="none"/>
        </w:rPr>
        <w:t xml:space="preserve">In exchange, the terrorist organisation grants the criminal gang access to its extensive expertise in explosives, military strategy, and equipment. One instance of this information exchange occurred in 1993 when Pablo Escabar supposedly recruited the National Liberation Army to build car bombs because no one in his organisation had the necessary capabilities (Bjornehed, 2004). </w:t>
      </w:r>
    </w:p>
    <w:p w14:paraId="2F43C7BC"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p>
    <w:p w14:paraId="5652461F" w14:textId="77777777" w:rsidR="001C3F0D" w:rsidRPr="00AD4E92" w:rsidRDefault="001C3F0D" w:rsidP="001C3F0D">
      <w:pPr>
        <w:pStyle w:val="PlainText"/>
        <w:rPr>
          <w:rFonts w:ascii="Arial" w:hAnsi="Arial" w:cs="Arial"/>
          <w:sz w:val="20"/>
          <w:szCs w:val="20"/>
        </w:rPr>
      </w:pPr>
    </w:p>
    <w:p w14:paraId="2D58F066" w14:textId="77777777" w:rsidR="001C3F0D" w:rsidRPr="00AD4E92" w:rsidRDefault="001C3F0D" w:rsidP="001C3F0D">
      <w:pPr>
        <w:pStyle w:val="PlainText"/>
        <w:rPr>
          <w:rFonts w:ascii="Arial" w:hAnsi="Arial" w:cs="Arial"/>
          <w:sz w:val="20"/>
          <w:szCs w:val="20"/>
        </w:rPr>
      </w:pPr>
    </w:p>
    <w:p w14:paraId="480B4A6D"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lastRenderedPageBreak/>
        <w:t xml:space="preserve">Fraud and counterfeiting are two more illegal acts that terrorist organisations have been linked to in order to finance their operations. For example, credit card fraud, which occurs in Algeria, is a major source of funding for Al Qaeda's European financial network. As demonstrated by Albanian Extremist Groups, groups can also get engaged in operations like the transportation and sale of counterfeit commodities like cigarettes and computer software. According to estimates, these illicit finance sources bring in close to $1 million USD each month (Makerenko, 2004). </w:t>
      </w:r>
    </w:p>
    <w:p w14:paraId="74331B79" w14:textId="77777777" w:rsidR="001C3F0D" w:rsidRPr="00AD4E92" w:rsidRDefault="001C3F0D" w:rsidP="001C3F0D">
      <w:pPr>
        <w:pStyle w:val="PlainText"/>
        <w:rPr>
          <w:rFonts w:ascii="Arial" w:hAnsi="Arial" w:cs="Arial"/>
          <w:sz w:val="20"/>
          <w:szCs w:val="20"/>
        </w:rPr>
      </w:pPr>
    </w:p>
    <w:p w14:paraId="67B1F607" w14:textId="77777777" w:rsidR="001C3F0D" w:rsidRPr="00AD4E92" w:rsidRDefault="001C3F0D" w:rsidP="001C3F0D">
      <w:pPr>
        <w:pStyle w:val="PlainText"/>
        <w:rPr>
          <w:rFonts w:ascii="Arial" w:hAnsi="Arial" w:cs="Arial"/>
          <w:sz w:val="20"/>
          <w:szCs w:val="20"/>
        </w:rPr>
      </w:pPr>
    </w:p>
    <w:p w14:paraId="31385B29" w14:textId="77777777" w:rsidR="001C3F0D" w:rsidRPr="00AD4E92" w:rsidRDefault="001C3F0D" w:rsidP="001C3F0D">
      <w:pPr>
        <w:spacing w:after="0" w:line="240" w:lineRule="auto"/>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"CONTEST" is the name of the UK's counterterrorism plan (Home Office, 2023) In order to enable people to live freely and confidently, CONTEST aims to reduce the threat of terrorism to the United Kingdom, its citizens, and its interests overseas. CONTEST helps to strike a compromise between the need to protect the UK and its interests from terrorism and the necessity to react to other threats to national security. The threat posed by terrorism is ongoing and dynamic. The biggest threat to national security in the United Kingdom today is individuals or small groups acting outside of well-established terrorist networks. Numerous terrorist ideologies, including the extreme right-wing and the</w:t>
      </w:r>
      <w:r>
        <w:rPr>
          <w:rFonts w:ascii="Arial" w:eastAsia="Times New Roman" w:hAnsi="Arial" w:cs="Arial"/>
          <w:kern w:val="0"/>
          <w:sz w:val="20"/>
          <w:szCs w:val="20"/>
          <w:lang w:eastAsia="en-GB"/>
          <w14:ligatures w14:val="none"/>
        </w:rPr>
        <w:t xml:space="preserve"> ‘Islamist extremism</w:t>
      </w:r>
      <w:proofErr w:type="gramStart"/>
      <w:r>
        <w:rPr>
          <w:rFonts w:ascii="Arial" w:eastAsia="Times New Roman" w:hAnsi="Arial" w:cs="Arial"/>
          <w:kern w:val="0"/>
          <w:sz w:val="20"/>
          <w:szCs w:val="20"/>
          <w:lang w:eastAsia="en-GB"/>
          <w14:ligatures w14:val="none"/>
        </w:rPr>
        <w:t>’</w:t>
      </w:r>
      <w:r w:rsidRPr="00AD4E92">
        <w:rPr>
          <w:rFonts w:ascii="Arial" w:eastAsia="Times New Roman" w:hAnsi="Arial" w:cs="Arial"/>
          <w:kern w:val="0"/>
          <w:sz w:val="20"/>
          <w:szCs w:val="20"/>
          <w:lang w:eastAsia="en-GB"/>
          <w14:ligatures w14:val="none"/>
        </w:rPr>
        <w:t>,</w:t>
      </w:r>
      <w:proofErr w:type="gramEnd"/>
      <w:r w:rsidRPr="00AD4E92">
        <w:rPr>
          <w:rFonts w:ascii="Arial" w:eastAsia="Times New Roman" w:hAnsi="Arial" w:cs="Arial"/>
          <w:kern w:val="0"/>
          <w:sz w:val="20"/>
          <w:szCs w:val="20"/>
          <w:lang w:eastAsia="en-GB"/>
          <w14:ligatures w14:val="none"/>
        </w:rPr>
        <w:t xml:space="preserve"> exhibit this pattern.  As a result of this propensity, terrorists are harder to locate, identify, and stop. According to Counter Terrorism Policing (2022), the government-led, multi-agency "Prevent" project, which aims to stop people from becoming terrorists, heavily relies on the police. In order to find solutions and to protect and assist people who are most in need, it fosters cooperation with other community organisations and local government partners.</w:t>
      </w:r>
    </w:p>
    <w:p w14:paraId="5A0E0DF5" w14:textId="77777777" w:rsidR="001C3F0D" w:rsidRPr="00AD4E92" w:rsidRDefault="001C3F0D" w:rsidP="001C3F0D">
      <w:pPr>
        <w:pStyle w:val="PlainText"/>
        <w:rPr>
          <w:rFonts w:ascii="Arial" w:hAnsi="Arial" w:cs="Arial"/>
          <w:sz w:val="20"/>
          <w:szCs w:val="20"/>
        </w:rPr>
      </w:pPr>
    </w:p>
    <w:p w14:paraId="683A5694" w14:textId="77777777" w:rsidR="001C3F0D" w:rsidRPr="00AD4E92" w:rsidRDefault="001C3F0D" w:rsidP="001C3F0D">
      <w:pPr>
        <w:pStyle w:val="PlainText"/>
        <w:rPr>
          <w:rFonts w:ascii="Arial" w:hAnsi="Arial" w:cs="Arial"/>
          <w:sz w:val="20"/>
          <w:szCs w:val="20"/>
        </w:rPr>
      </w:pPr>
    </w:p>
    <w:p w14:paraId="21185F28" w14:textId="77777777" w:rsidR="001C3F0D" w:rsidRPr="00AD4E92" w:rsidRDefault="001C3F0D" w:rsidP="001C3F0D">
      <w:pPr>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 xml:space="preserve">Insider threats are something that the police service has to be aware of. They can occur for a number of reasons, such as the fact that officers have access to sensitive information that could be used against them or be exploited; people can also be motivated to betray their colleagues' trust and engage in criminal or unethical behaviour by personal grievances, ideological convictions, or outside influences (National Protective Security Authority, 2023).  According to the NPSA (2023), putting effective strategies into place is the greatest method to mitigate the risk of insider threats. This will require </w:t>
      </w:r>
      <w:proofErr w:type="gramStart"/>
      <w:r w:rsidRPr="00AD4E92">
        <w:rPr>
          <w:rFonts w:ascii="Arial" w:eastAsia="Times New Roman" w:hAnsi="Arial" w:cs="Arial"/>
          <w:kern w:val="0"/>
          <w:sz w:val="20"/>
          <w:szCs w:val="20"/>
          <w:lang w:eastAsia="en-GB"/>
          <w14:ligatures w14:val="none"/>
        </w:rPr>
        <w:t>a holistic approach</w:t>
      </w:r>
      <w:proofErr w:type="gramEnd"/>
      <w:r w:rsidRPr="00AD4E92">
        <w:rPr>
          <w:rFonts w:ascii="Arial" w:eastAsia="Times New Roman" w:hAnsi="Arial" w:cs="Arial"/>
          <w:kern w:val="0"/>
          <w:sz w:val="20"/>
          <w:szCs w:val="20"/>
          <w:lang w:eastAsia="en-GB"/>
          <w14:ligatures w14:val="none"/>
        </w:rPr>
        <w:t xml:space="preserve"> that includes frequent audits and reviews, encouraging reporting, and personnel vetting.  However, the HMICFRS (2022) found that the National Police Chiefs Council ‘Prevent’ lead needed to created national guidance for the police service on applying ‘prevent’ to staff which are vulnerable to radicalisation or extremism</w:t>
      </w:r>
      <w:proofErr w:type="gramStart"/>
      <w:r w:rsidRPr="00AD4E92">
        <w:rPr>
          <w:rFonts w:ascii="Arial" w:eastAsia="Times New Roman" w:hAnsi="Arial" w:cs="Arial"/>
          <w:kern w:val="0"/>
          <w:sz w:val="20"/>
          <w:szCs w:val="20"/>
          <w:lang w:eastAsia="en-GB"/>
          <w14:ligatures w14:val="none"/>
        </w:rPr>
        <w:t xml:space="preserve">.  </w:t>
      </w:r>
      <w:proofErr w:type="gramEnd"/>
      <w:r w:rsidRPr="00AD4E92">
        <w:rPr>
          <w:rFonts w:ascii="Arial" w:eastAsia="Times New Roman" w:hAnsi="Arial" w:cs="Arial"/>
          <w:kern w:val="0"/>
          <w:sz w:val="20"/>
          <w:szCs w:val="20"/>
          <w:lang w:eastAsia="en-GB"/>
          <w14:ligatures w14:val="none"/>
        </w:rPr>
        <w:t>Potentially dangerous insiders can seriously affect an organization's systems, procedures, and data, which could ultimately result in irreversible harm to the company's operations and reputation. Enterprises must have a thorough grasp of the threat they face and the different factors that are probably involved in order to adequately address this issue (Nurse et al., 2014).</w:t>
      </w:r>
    </w:p>
    <w:p w14:paraId="3F0750E1" w14:textId="77777777" w:rsidR="001C3F0D" w:rsidRPr="00AD4E92" w:rsidRDefault="001C3F0D" w:rsidP="001C3F0D">
      <w:pPr>
        <w:rPr>
          <w:rFonts w:ascii="Arial" w:eastAsia="Times New Roman" w:hAnsi="Arial" w:cs="Arial"/>
          <w:kern w:val="0"/>
          <w:sz w:val="20"/>
          <w:szCs w:val="20"/>
          <w:lang w:eastAsia="en-GB"/>
          <w14:ligatures w14:val="none"/>
        </w:rPr>
      </w:pPr>
    </w:p>
    <w:p w14:paraId="46456011" w14:textId="6A91783F" w:rsidR="001C3F0D" w:rsidRPr="00AD4E92" w:rsidRDefault="001C3F0D" w:rsidP="001C3F0D">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I</w:t>
      </w:r>
      <w:r w:rsidRPr="00AD4E92">
        <w:rPr>
          <w:rFonts w:ascii="Arial" w:eastAsia="Times New Roman" w:hAnsi="Arial" w:cs="Arial"/>
          <w:kern w:val="0"/>
          <w:sz w:val="20"/>
          <w:szCs w:val="20"/>
          <w:lang w:eastAsia="en-GB"/>
          <w14:ligatures w14:val="none"/>
        </w:rPr>
        <w:t xml:space="preserve">n conclusion, countering the possibility of insider threats within the police force necessitates a multifaceted approach that includes </w:t>
      </w:r>
      <w:proofErr w:type="gramStart"/>
      <w:r w:rsidRPr="00AD4E92">
        <w:rPr>
          <w:rFonts w:ascii="Arial" w:eastAsia="Times New Roman" w:hAnsi="Arial" w:cs="Arial"/>
          <w:kern w:val="0"/>
          <w:sz w:val="20"/>
          <w:szCs w:val="20"/>
          <w:lang w:eastAsia="en-GB"/>
          <w14:ligatures w14:val="none"/>
        </w:rPr>
        <w:t>proactive</w:t>
      </w:r>
      <w:proofErr w:type="gramEnd"/>
      <w:r w:rsidRPr="00AD4E92">
        <w:rPr>
          <w:rFonts w:ascii="Arial" w:eastAsia="Times New Roman" w:hAnsi="Arial" w:cs="Arial"/>
          <w:kern w:val="0"/>
          <w:sz w:val="20"/>
          <w:szCs w:val="20"/>
          <w:lang w:eastAsia="en-GB"/>
          <w14:ligatures w14:val="none"/>
        </w:rPr>
        <w:t xml:space="preserve"> steps to reduce weak points and encourage moral behaviour. Law enforcement organisations can put into practice efficient procedures to stop and identify misconduct from within their ranks by having a thorough grasp of the several elements that contribute to insider threats, such as access to confidential information and personal motivations. Police forces can enhance their defences against insider threats by implementing stringent staff vetting procedures, providing extensive training, and promoting transparency and accountability. To improve these strategies and adapt to shifting conditions while maintaining the legitimacy and effectiveness of law enforcement in defending communities against criminal activity and acts of terrorism, legislative bodies, law enforcement agencies, and academic institutions must collaborate and conduct adequate research. If the various agencies involved continue to collaborate to remove communication barriers and share any pertinent intelligence obtained during an investigation with one another, then information obtained in the investigation of such criminality can therefore aid in informing counterterrorism policing. </w:t>
      </w:r>
    </w:p>
    <w:p w14:paraId="6E835898" w14:textId="77777777" w:rsidR="001C3F0D" w:rsidRPr="00AD4E92" w:rsidRDefault="001C3F0D" w:rsidP="001C3F0D">
      <w:pPr>
        <w:rPr>
          <w:rFonts w:ascii="Arial" w:hAnsi="Arial" w:cs="Arial"/>
          <w:sz w:val="20"/>
          <w:szCs w:val="20"/>
        </w:rPr>
      </w:pPr>
    </w:p>
    <w:p w14:paraId="24B02BB5" w14:textId="659A253C" w:rsidR="001C3F0D" w:rsidRDefault="001C3F0D" w:rsidP="001C3F0D">
      <w:pPr>
        <w:rPr>
          <w:rFonts w:ascii="Arial" w:eastAsia="Times New Roman" w:hAnsi="Arial" w:cs="Arial"/>
          <w:kern w:val="0"/>
          <w:sz w:val="20"/>
          <w:szCs w:val="20"/>
          <w:lang w:eastAsia="en-GB"/>
          <w14:ligatures w14:val="none"/>
        </w:rPr>
      </w:pPr>
      <w:r w:rsidRPr="00AD4E92">
        <w:rPr>
          <w:rFonts w:ascii="Arial" w:eastAsia="Times New Roman" w:hAnsi="Arial" w:cs="Arial"/>
          <w:kern w:val="0"/>
          <w:sz w:val="20"/>
          <w:szCs w:val="20"/>
          <w:lang w:eastAsia="en-GB"/>
          <w14:ligatures w14:val="none"/>
        </w:rPr>
        <w:t xml:space="preserve">Word count </w:t>
      </w:r>
      <w:r w:rsidR="00656C6B">
        <w:rPr>
          <w:rFonts w:ascii="Arial" w:eastAsia="Times New Roman" w:hAnsi="Arial" w:cs="Arial"/>
          <w:kern w:val="0"/>
          <w:sz w:val="20"/>
          <w:szCs w:val="20"/>
          <w:lang w:eastAsia="en-GB"/>
          <w14:ligatures w14:val="none"/>
        </w:rPr>
        <w:t>–</w:t>
      </w:r>
      <w:r w:rsidRPr="00AD4E92">
        <w:rPr>
          <w:rFonts w:ascii="Arial" w:eastAsia="Times New Roman" w:hAnsi="Arial" w:cs="Arial"/>
          <w:kern w:val="0"/>
          <w:sz w:val="20"/>
          <w:szCs w:val="20"/>
          <w:lang w:eastAsia="en-GB"/>
          <w14:ligatures w14:val="none"/>
        </w:rPr>
        <w:t xml:space="preserve"> 18</w:t>
      </w:r>
      <w:r>
        <w:rPr>
          <w:rFonts w:ascii="Arial" w:eastAsia="Times New Roman" w:hAnsi="Arial" w:cs="Arial"/>
          <w:kern w:val="0"/>
          <w:sz w:val="20"/>
          <w:szCs w:val="20"/>
          <w:lang w:eastAsia="en-GB"/>
          <w14:ligatures w14:val="none"/>
        </w:rPr>
        <w:t>38</w:t>
      </w:r>
    </w:p>
    <w:p w14:paraId="373E4C85" w14:textId="77777777" w:rsidR="00656C6B" w:rsidRDefault="00656C6B" w:rsidP="001C3F0D">
      <w:pPr>
        <w:rPr>
          <w:rFonts w:ascii="Arial" w:eastAsia="Times New Roman" w:hAnsi="Arial" w:cs="Arial"/>
          <w:kern w:val="0"/>
          <w:sz w:val="20"/>
          <w:szCs w:val="20"/>
          <w:lang w:eastAsia="en-GB"/>
          <w14:ligatures w14:val="none"/>
        </w:rPr>
      </w:pPr>
    </w:p>
    <w:p w14:paraId="633BAE80" w14:textId="77777777" w:rsidR="00656C6B" w:rsidRDefault="00656C6B" w:rsidP="001C3F0D">
      <w:pPr>
        <w:rPr>
          <w:rFonts w:ascii="Arial" w:eastAsia="Times New Roman" w:hAnsi="Arial" w:cs="Arial"/>
          <w:kern w:val="0"/>
          <w:sz w:val="20"/>
          <w:szCs w:val="20"/>
          <w:lang w:eastAsia="en-GB"/>
          <w14:ligatures w14:val="none"/>
        </w:rPr>
      </w:pPr>
    </w:p>
    <w:p w14:paraId="479AFDA7" w14:textId="77777777" w:rsidR="00656C6B" w:rsidRPr="00424058" w:rsidRDefault="00656C6B" w:rsidP="00656C6B">
      <w:pPr>
        <w:pStyle w:val="Default"/>
        <w:rPr>
          <w:color w:val="auto"/>
          <w:sz w:val="20"/>
          <w:szCs w:val="20"/>
        </w:rPr>
      </w:pPr>
    </w:p>
    <w:p w14:paraId="2ACB0265" w14:textId="50B5FC93" w:rsidR="00656C6B" w:rsidRDefault="00656C6B" w:rsidP="00656C6B">
      <w:pPr>
        <w:pStyle w:val="Default"/>
        <w:rPr>
          <w:b/>
          <w:bCs/>
          <w:color w:val="auto"/>
          <w:sz w:val="20"/>
          <w:szCs w:val="20"/>
        </w:rPr>
      </w:pPr>
      <w:r>
        <w:rPr>
          <w:b/>
          <w:bCs/>
          <w:color w:val="auto"/>
          <w:sz w:val="20"/>
          <w:szCs w:val="20"/>
        </w:rPr>
        <w:t>Question:</w:t>
      </w:r>
    </w:p>
    <w:p w14:paraId="61A0DA7F" w14:textId="77777777" w:rsidR="00656C6B" w:rsidRDefault="00656C6B" w:rsidP="00656C6B">
      <w:pPr>
        <w:pStyle w:val="Default"/>
        <w:rPr>
          <w:b/>
          <w:bCs/>
          <w:color w:val="auto"/>
          <w:sz w:val="20"/>
          <w:szCs w:val="20"/>
        </w:rPr>
      </w:pPr>
    </w:p>
    <w:p w14:paraId="2001DB1F" w14:textId="717B85DA" w:rsidR="00656C6B" w:rsidRPr="00424058" w:rsidRDefault="00656C6B" w:rsidP="00656C6B">
      <w:pPr>
        <w:pStyle w:val="Default"/>
        <w:rPr>
          <w:b/>
          <w:bCs/>
          <w:color w:val="auto"/>
          <w:sz w:val="20"/>
          <w:szCs w:val="20"/>
        </w:rPr>
      </w:pPr>
      <w:r w:rsidRPr="00424058">
        <w:rPr>
          <w:b/>
          <w:bCs/>
          <w:color w:val="auto"/>
          <w:sz w:val="20"/>
          <w:szCs w:val="20"/>
        </w:rPr>
        <w:t xml:space="preserve">What factors or circumstances affect the police’s role within joint emergency services operations? How has the police’s role changed to reflect best practice learned from previous high-profile major incidents? </w:t>
      </w:r>
    </w:p>
    <w:p w14:paraId="023FEA84" w14:textId="77777777" w:rsidR="00656C6B" w:rsidRPr="00424058" w:rsidRDefault="00656C6B" w:rsidP="00656C6B">
      <w:pPr>
        <w:pStyle w:val="PlainText"/>
        <w:rPr>
          <w:rFonts w:ascii="Arial" w:hAnsi="Arial" w:cs="Arial"/>
          <w:b/>
          <w:bCs/>
          <w:sz w:val="20"/>
          <w:szCs w:val="20"/>
        </w:rPr>
      </w:pPr>
      <w:r w:rsidRPr="00424058">
        <w:rPr>
          <w:rFonts w:ascii="Arial" w:hAnsi="Arial" w:cs="Arial"/>
          <w:b/>
          <w:bCs/>
          <w:sz w:val="20"/>
          <w:szCs w:val="20"/>
        </w:rPr>
        <w:t>Your answer must be based on academic research, but you may make reference to relevant high-profile incidents.</w:t>
      </w:r>
    </w:p>
    <w:p w14:paraId="69146A8B" w14:textId="77777777" w:rsidR="00656C6B" w:rsidRPr="00424058" w:rsidRDefault="00656C6B" w:rsidP="00656C6B">
      <w:pPr>
        <w:pStyle w:val="PlainText"/>
        <w:rPr>
          <w:rFonts w:ascii="Arial" w:hAnsi="Arial" w:cs="Arial"/>
          <w:sz w:val="20"/>
          <w:szCs w:val="20"/>
        </w:rPr>
      </w:pPr>
    </w:p>
    <w:p w14:paraId="4F48573A" w14:textId="77777777" w:rsidR="00656C6B" w:rsidRPr="00424058" w:rsidRDefault="00656C6B" w:rsidP="00656C6B">
      <w:pPr>
        <w:pStyle w:val="PlainText"/>
        <w:rPr>
          <w:rFonts w:ascii="Arial" w:hAnsi="Arial" w:cs="Arial"/>
          <w:sz w:val="20"/>
          <w:szCs w:val="20"/>
        </w:rPr>
      </w:pPr>
      <w:r w:rsidRPr="00424058">
        <w:rPr>
          <w:rFonts w:ascii="Arial" w:hAnsi="Arial" w:cs="Arial"/>
          <w:sz w:val="20"/>
          <w:szCs w:val="20"/>
        </w:rPr>
        <w:t>Answer:</w:t>
      </w:r>
    </w:p>
    <w:p w14:paraId="254718CD" w14:textId="77777777" w:rsidR="00656C6B" w:rsidRPr="00424058" w:rsidRDefault="00656C6B" w:rsidP="00656C6B">
      <w:pPr>
        <w:spacing w:after="0" w:line="240" w:lineRule="auto"/>
        <w:rPr>
          <w:rFonts w:ascii="Arial" w:eastAsia="Times New Roman" w:hAnsi="Arial" w:cs="Arial"/>
          <w:kern w:val="0"/>
          <w:sz w:val="20"/>
          <w:szCs w:val="20"/>
          <w:lang w:eastAsia="en-GB"/>
          <w14:ligatures w14:val="none"/>
        </w:rPr>
      </w:pPr>
    </w:p>
    <w:p w14:paraId="338F23F3" w14:textId="77777777" w:rsidR="00656C6B" w:rsidRPr="00424058" w:rsidRDefault="00656C6B" w:rsidP="00656C6B">
      <w:pPr>
        <w:spacing w:after="0" w:line="24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 xml:space="preserve">Collaboration across a number of different organisations is essential to the execution of effective crisis management in the emergency services sector. Because of their competence in upholding the law and ensuring the protection of the general public, the police are an extremely important institution. Despite this, the level to which they participate in joint emergency services actions is impacted by a wide variety of events and causes, which in turn affects how successful their participation is. The purpose of this article is to investigate the development of the police's role in responding to big incidents, with a particular emphasis on the elements that determine their participation in emergency operations that include collaboration with other services departments. </w:t>
      </w:r>
    </w:p>
    <w:p w14:paraId="1562F2F4" w14:textId="44A545A6" w:rsidR="00656C6B" w:rsidRPr="00424058" w:rsidRDefault="00656C6B" w:rsidP="00656C6B">
      <w:pPr>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The main goal of the police during any emergency operation is to ensure the protection of life and property. In the absence of alternative established coordination procedures, they have the responsibility of coordinating the reaction of multiple agencies. In addition, the police have the responsibility of maintaining and safeguarding the area, carrying out inquiries, preventing criminal activity and disturbances, and gathering and disseminating information regarding casualties (JESIP, 2022).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Various events and situations can impact the participation of the UK police in a cooperative emergency services operation. Legal and policy frameworks are two examples of elements that can impact how the police handle emergency situations. Changes to these frameworks can have an effect on the way the police respond to emergencies. The Civil Contingencies Act of 2004 mandates the cooperation of many agencies, including the police, and establishes a legislative structure for addressing emergencies (Cabinet Office, 2013). The distribution of police resources, encompassing financial, personnel, and equipment resources, can also impact the degree to which the police can contribute to collaborative emergency service efforts during a crisis. This aligns with their degree of readiness and instruction. The effectiveness of the police force in dealing with emergencies and working together with other agencies can be influenced by their level of readiness and training. Inadequate training exposes an organisation and its personnel to the risk of being easily overwhelmed by an emergency, thereby hindering their ability to successfully handle the event and bounce back from its aftermath (Cabinet Office, 2016). Furthermore, the level of involvement of the police is determined by the legal structure that governs emergency response, which encompasses the collaboration between several organisations. The obligations and tasks of police officers in cooperative operations are established by legal statutes, regulations, and protocols, which have a substantial impact on their decisions and actions (Comfort, 2010).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The cooperation dynamics are additionally impacted by the organisational culture of police departments and other emergency service agencies. The diversity in organisational cultures, encompassing communication styles, leadership methods, and operational protocols, can either facilitate or impede the effective cooperation in times of crisis (Kapucu &amp; Garayev, 2011). Moreover, the presence of resources, including personnel, equipment, and financial resources, significantly affects the police's capacity to engage in collaborative emergency operations. Adequate resources enhance their capability to properly accomplish their jobs, but resource constraints may hinder their ability to effectively respond and coordinate their efforts (Buck, Trainer, &amp; Aguirre, 2006). Furthermore, the level of collaboration efficacy is impacted by the calibre of links between law enforcement and other emergency response agencies. These connections are built through </w:t>
      </w:r>
      <w:r w:rsidRPr="00424058">
        <w:rPr>
          <w:rFonts w:ascii="Arial" w:eastAsia="Times New Roman" w:hAnsi="Arial" w:cs="Arial"/>
          <w:kern w:val="0"/>
          <w:sz w:val="20"/>
          <w:szCs w:val="20"/>
          <w:lang w:eastAsia="en-GB"/>
          <w14:ligatures w14:val="none"/>
        </w:rPr>
        <w:lastRenderedPageBreak/>
        <w:t xml:space="preserve">consistent communication, training exercises, and shared experiences. Strong interagency relationships foster trust, mutual understanding, and coordinated actions during times of emergencies (Moynihan &amp; Pandey, 2005).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Political factors, such as the government's agenda, public expectations, and intergovernmental relations, impact the operational environment of emergency services. Political decisions on the allocation of funds, policy directives, and frameworks for interagency collaboration can influence the functioning of the police and the resources they have at their disposal for joint operations (Fischer, 2012). This also has an influence on the accessibility and reception of state-of-the-art technologies, thus impacting the police's capacity to collaborate with other emergency services organisations. Real-time communication systems and data analytics tools enhance situational awareness, enable resource coordination, and enhance decision-making capabilities in emergency scenarios (Gupta &amp; Sharma, 2019).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The level of public trust in law enforcement agencies can impact the effectiveness of the police in working together during emergency operations. Cultivating favourable relationships with the community fosters cooperation, the sharing of knowledge, and adherence to directives in times of crises. Conversely, negative opinions or strained relationships might impede cooperation and hinder the efficiency of response efforts (Reisig &amp; Lloyd, 2015). The existence of diverse cultures and languages in civilizations might provide challenges in effectively communicating and engaging in emergency situations. Law enforcement agencies must consider cultural sensitivities, linguistic challenges, and the unique requirements of diverse populations to ensure that emergency services are inclusive and easily accessible (Browning et al., 2017).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Following an emergency incident, the police will organise a debriefing session to improve their readiness and gain insights from the experience, in anticipation of future emergency incidents. Usually, a Gold Commander will lead this session. (Home Office, 2021). The United Kingdom recognised the importance of improved coordination and communication among emergency services and other agencies after the bombings in London in 2005. A standardised structure, referred to as the Common Operating Picture (COP), was employed to enhance the overall management of emergency situations. The COP, also known as the Common Operating Picture, is a consolidated and up-to-date compilation of pertinent data that is exchanged among collaborating organisations and emergency services. By accomplishing this, it enables the collaboration of event organisation and provides decision makers with the most relevant and current information (National Policing Improvement Agency, 2009).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By applying knowledge gained from past incidents, the establishment of an integrated command structure enables effective decision-making and coordination across multiple authorities. Joint command centres facilitate the prompt sharing of information, streamlined communication, and coordinated distribution of resources, so enhancing the overall efficacy of response endeavours (Wachtendorf &amp; Kendra, 2009). Police departments are increasingly prioritising collaborative training and joint exercises with other emergency response organisations to replicate crisis scenarios and enhance their ability to cooperate efficiently. These training sessions facilitate a comprehensive comprehension of the duties, procedures, and communication protocols of each agency, hence enabling seamless collaboration in actual emergency scenarios (Waugh &amp; Streib, 2006). Police agencies recognise the importance of community involvement in emergency situations and so include strategies for engaging with the community in their operational frameworks. Enhanced partnerships across communities facilitate the dissemination of information, promotion of current awareness, and mobilisation of resources. This enables communities to actively participate in emergency preparedness and response operations (FEMA, 2015).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Incorporating risk assessment methodologies and scenario-based planning into disaster preparedness activities enables the </w:t>
      </w:r>
      <w:proofErr w:type="gramStart"/>
      <w:r w:rsidRPr="00424058">
        <w:rPr>
          <w:rFonts w:ascii="Arial" w:eastAsia="Times New Roman" w:hAnsi="Arial" w:cs="Arial"/>
          <w:kern w:val="0"/>
          <w:sz w:val="20"/>
          <w:szCs w:val="20"/>
          <w:lang w:eastAsia="en-GB"/>
          <w14:ligatures w14:val="none"/>
        </w:rPr>
        <w:t>proactive</w:t>
      </w:r>
      <w:proofErr w:type="gramEnd"/>
      <w:r w:rsidRPr="00424058">
        <w:rPr>
          <w:rFonts w:ascii="Arial" w:eastAsia="Times New Roman" w:hAnsi="Arial" w:cs="Arial"/>
          <w:kern w:val="0"/>
          <w:sz w:val="20"/>
          <w:szCs w:val="20"/>
          <w:lang w:eastAsia="en-GB"/>
          <w14:ligatures w14:val="none"/>
        </w:rPr>
        <w:t xml:space="preserve"> detection of potential hazards and vulnerabilities. By conducting comprehensive risk assessments and developing tailored response plans, police forces can mitigate hazards, optimise resource allocation, and enhance their overall emergency response </w:t>
      </w:r>
      <w:r w:rsidRPr="00424058">
        <w:rPr>
          <w:rFonts w:ascii="Arial" w:eastAsia="Times New Roman" w:hAnsi="Arial" w:cs="Arial"/>
          <w:kern w:val="0"/>
          <w:sz w:val="20"/>
          <w:szCs w:val="20"/>
          <w:lang w:eastAsia="en-GB"/>
          <w14:ligatures w14:val="none"/>
        </w:rPr>
        <w:lastRenderedPageBreak/>
        <w:t xml:space="preserve">capabilities (Slovic et al., 2002). This allows for the use of flexible leadership tactics, helping police officers to navigate complicated and unpredictable situations effectively. Adaptive leaders prioritise the qualities of flexibility, innovation, and collaboration. Their objective is to cultivate resilience and the capacity to adapt inside their organisations and in partnerships with other agencies (Heifetz &amp; Laurie, 1997). </w:t>
      </w:r>
      <w:r w:rsidR="00D3795B" w:rsidRPr="00424058">
        <w:rPr>
          <w:rFonts w:ascii="Arial" w:eastAsia="Times New Roman" w:hAnsi="Arial" w:cs="Arial"/>
          <w:kern w:val="0"/>
          <w:sz w:val="20"/>
          <w:szCs w:val="20"/>
          <w:lang w:eastAsia="en-GB"/>
          <w14:ligatures w14:val="none"/>
        </w:rPr>
        <w:t>Furthermore,</w:t>
      </w:r>
      <w:r w:rsidRPr="00424058">
        <w:rPr>
          <w:rFonts w:ascii="Arial" w:eastAsia="Times New Roman" w:hAnsi="Arial" w:cs="Arial"/>
          <w:kern w:val="0"/>
          <w:sz w:val="20"/>
          <w:szCs w:val="20"/>
          <w:lang w:eastAsia="en-GB"/>
          <w14:ligatures w14:val="none"/>
        </w:rPr>
        <w:t xml:space="preserve"> </w:t>
      </w:r>
      <w:r w:rsidR="00D3795B" w:rsidRPr="00424058">
        <w:rPr>
          <w:rFonts w:ascii="Arial" w:eastAsia="Times New Roman" w:hAnsi="Arial" w:cs="Arial"/>
          <w:kern w:val="0"/>
          <w:sz w:val="20"/>
          <w:szCs w:val="20"/>
          <w:lang w:eastAsia="en-GB"/>
          <w14:ligatures w14:val="none"/>
        </w:rPr>
        <w:t>encouraging</w:t>
      </w:r>
      <w:r w:rsidRPr="00424058">
        <w:rPr>
          <w:rFonts w:ascii="Arial" w:eastAsia="Times New Roman" w:hAnsi="Arial" w:cs="Arial"/>
          <w:kern w:val="0"/>
          <w:sz w:val="20"/>
          <w:szCs w:val="20"/>
          <w:lang w:eastAsia="en-GB"/>
          <w14:ligatures w14:val="none"/>
        </w:rPr>
        <w:t xml:space="preserve"> a culture of continuous improvement and education enables police forces to adjust their approaches by learning from past experiences and ongoing feedback mechanisms. Agencies enhance their readiness and ability to respond by carrying out evaluations, discussions, and evaluations of their performance. These activities facilitate the identification of areas that need improvement and enable the adoption of corrective measures (Moore, 2014).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Integrating diversity and inclusion policies within police forces enhances their capacity to effectively serve diverse communities. Recruitment and training programmes that prioritise cultural competence, language proficiency, and community engagement skills equip police to successfully deal with various populations during emergencies and build trust (Riccio &amp; Furst-Holloway, 2015). Furthermore, law enforcement agencies recognise the psychological effects of disaster response work and implement resilience training and support programmes that explicitly address the mental health needs of their personnel. Providing counselling services, peer support networks, and stress management resources enhances the psychological and emotional well-being, capacity to handle difficulties, and overall effectiveness of police officers in high-stress circumstances (Violanti et al., 2017).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The participation of the police in collaborative emergency services operations is influenced by multiple factors, such as public perception, cultural diversity, and community trust. Police departments can enhance their effectiveness in collaborating with other agencies and serving diverse communities during emergencies by adopting modifications that align with established standards, such as introducing diversity programmes, psychological support programmes, and inclusive communication approaches.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As a response to the 2011 English riots, which revealed underlying socioeconomic tensions and inequalities, the police have introduced community policing efforts to address the fundamental reasons for crime and establish trust with underprivileged communities. These operations include diversionary tactics, outreach initiatives focused on young individuals, and programmes designed to involve local communities. After the riots, a comprehensive and all-encompassing system for handling public disorder was implemented. In addition, a comprehensive information centre was created to collect, arrange, and disseminate intelligence and information related to public order. This initiative aimed to improve the police's response to disturbances and evaluate current policing methods (Department for Communities and Local Government, 2013).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The Manchester Arena bombings prompted the UK government to initiate an inquiry, which has yielded recommendations that demonstrate ongoing enhancements. This review of the Police's handling of emergency incidents is regarded as one of the most significant in recent history (Home Office, 2021).</w:t>
      </w:r>
    </w:p>
    <w:p w14:paraId="100F2DAC" w14:textId="77777777" w:rsidR="00656C6B" w:rsidRPr="00424058" w:rsidRDefault="00656C6B" w:rsidP="00656C6B">
      <w:pPr>
        <w:rPr>
          <w:rStyle w:val="cf01"/>
          <w:rFonts w:ascii="Arial" w:hAnsi="Arial" w:cs="Arial"/>
          <w:sz w:val="20"/>
          <w:szCs w:val="20"/>
        </w:rPr>
      </w:pPr>
    </w:p>
    <w:p w14:paraId="3157C759" w14:textId="77777777" w:rsidR="00656C6B" w:rsidRPr="00424058" w:rsidRDefault="00656C6B" w:rsidP="00656C6B">
      <w:pPr>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 xml:space="preserve">In order to enhance their participation in coordinated emergency services operations and efficiently safeguard public safety against emerging dangers and challenges, the police should take into account these factors and implement the knowledge acquired from past incidents.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The police's participation in cooperative emergency response operations has evolved over time, utilising knowledge acquired from previous significant incidents. An illustrative example of this is the 7/7 London bombings in 2005, which emphasised the need for improved coordination and communication among emergency organisations. Subsequent inquiries and assessments led to adjustments in protocols and procedures to enhance interoperability and collaboration. </w:t>
      </w:r>
      <w:r w:rsidRPr="00424058">
        <w:rPr>
          <w:rFonts w:ascii="Arial" w:eastAsia="Times New Roman" w:hAnsi="Arial" w:cs="Arial"/>
          <w:kern w:val="0"/>
          <w:sz w:val="20"/>
          <w:szCs w:val="20"/>
          <w:lang w:eastAsia="en-GB"/>
          <w14:ligatures w14:val="none"/>
        </w:rPr>
        <w:br/>
      </w:r>
      <w:r w:rsidRPr="00424058">
        <w:rPr>
          <w:rFonts w:ascii="Arial" w:eastAsia="Times New Roman" w:hAnsi="Arial" w:cs="Arial"/>
          <w:kern w:val="0"/>
          <w:sz w:val="20"/>
          <w:szCs w:val="20"/>
          <w:lang w:eastAsia="en-GB"/>
          <w14:ligatures w14:val="none"/>
        </w:rPr>
        <w:br/>
        <w:t xml:space="preserve">The engagement of the police in collaborative emergency services operations is a complex process </w:t>
      </w:r>
      <w:r w:rsidRPr="00424058">
        <w:rPr>
          <w:rFonts w:ascii="Arial" w:eastAsia="Times New Roman" w:hAnsi="Arial" w:cs="Arial"/>
          <w:kern w:val="0"/>
          <w:sz w:val="20"/>
          <w:szCs w:val="20"/>
          <w:lang w:eastAsia="en-GB"/>
          <w14:ligatures w14:val="none"/>
        </w:rPr>
        <w:lastRenderedPageBreak/>
        <w:t xml:space="preserve">that is impacted by a variety of issues, including legislative structures, the ethos of the organisation, the distribution of resources, and the ties formed within the community. Their function has evolved over time to encompass the execution of effective approaches that have been learned from previous disasters. This includes putting an emphasis on the utilisation of coordinated command systems, </w:t>
      </w:r>
      <w:proofErr w:type="gramStart"/>
      <w:r w:rsidRPr="00424058">
        <w:rPr>
          <w:rFonts w:ascii="Arial" w:eastAsia="Times New Roman" w:hAnsi="Arial" w:cs="Arial"/>
          <w:kern w:val="0"/>
          <w:sz w:val="20"/>
          <w:szCs w:val="20"/>
          <w:lang w:eastAsia="en-GB"/>
          <w14:ligatures w14:val="none"/>
        </w:rPr>
        <w:t>training</w:t>
      </w:r>
      <w:proofErr w:type="gramEnd"/>
      <w:r w:rsidRPr="00424058">
        <w:rPr>
          <w:rFonts w:ascii="Arial" w:eastAsia="Times New Roman" w:hAnsi="Arial" w:cs="Arial"/>
          <w:kern w:val="0"/>
          <w:sz w:val="20"/>
          <w:szCs w:val="20"/>
          <w:lang w:eastAsia="en-GB"/>
          <w14:ligatures w14:val="none"/>
        </w:rPr>
        <w:t xml:space="preserve"> and drills, attempts to foster diversity, and programmes that provide psychological support. Through consistent adaptation to new information and problems, police departments improve their preparedness and capability to interact with other authorities in order to protect the safety of the general public during times of emergency. The implementation of a comprehensive strategy that places an emphasis on the </w:t>
      </w:r>
      <w:proofErr w:type="gramStart"/>
      <w:r w:rsidRPr="00424058">
        <w:rPr>
          <w:rFonts w:ascii="Arial" w:eastAsia="Times New Roman" w:hAnsi="Arial" w:cs="Arial"/>
          <w:kern w:val="0"/>
          <w:sz w:val="20"/>
          <w:szCs w:val="20"/>
          <w:lang w:eastAsia="en-GB"/>
          <w14:ligatures w14:val="none"/>
        </w:rPr>
        <w:t>proactive</w:t>
      </w:r>
      <w:proofErr w:type="gramEnd"/>
      <w:r w:rsidRPr="00424058">
        <w:rPr>
          <w:rFonts w:ascii="Arial" w:eastAsia="Times New Roman" w:hAnsi="Arial" w:cs="Arial"/>
          <w:kern w:val="0"/>
          <w:sz w:val="20"/>
          <w:szCs w:val="20"/>
          <w:lang w:eastAsia="en-GB"/>
          <w14:ligatures w14:val="none"/>
        </w:rPr>
        <w:t xml:space="preserve"> appraisal of risks, the inclusive involvement of diverse groups, and ongoing efforts to improve the welfare and resilience of emergency responders is absolutely necessary in order to achieve a high degree of effectiveness in joint emergency response. A comprehensive strategy is essential. </w:t>
      </w:r>
    </w:p>
    <w:p w14:paraId="0F876D16" w14:textId="77777777" w:rsidR="00656C6B" w:rsidRPr="00424058" w:rsidRDefault="00656C6B" w:rsidP="00656C6B">
      <w:pPr>
        <w:spacing w:after="0" w:line="240" w:lineRule="auto"/>
        <w:rPr>
          <w:rFonts w:ascii="Arial" w:eastAsia="Times New Roman" w:hAnsi="Arial" w:cs="Arial"/>
          <w:kern w:val="0"/>
          <w:sz w:val="20"/>
          <w:szCs w:val="20"/>
          <w:lang w:eastAsia="en-GB"/>
          <w14:ligatures w14:val="none"/>
        </w:rPr>
      </w:pPr>
    </w:p>
    <w:p w14:paraId="5970B0F8" w14:textId="77777777" w:rsidR="00656C6B" w:rsidRPr="00424058" w:rsidRDefault="00656C6B" w:rsidP="00656C6B">
      <w:pPr>
        <w:pStyle w:val="PlainText"/>
        <w:rPr>
          <w:rFonts w:ascii="Arial" w:hAnsi="Arial" w:cs="Arial"/>
          <w:sz w:val="20"/>
          <w:szCs w:val="20"/>
        </w:rPr>
      </w:pPr>
    </w:p>
    <w:p w14:paraId="5341FAFA" w14:textId="77777777" w:rsidR="00656C6B" w:rsidRPr="00424058" w:rsidRDefault="00656C6B" w:rsidP="00656C6B">
      <w:pPr>
        <w:pStyle w:val="PlainText"/>
        <w:rPr>
          <w:rFonts w:ascii="Arial" w:hAnsi="Arial" w:cs="Arial"/>
          <w:sz w:val="20"/>
          <w:szCs w:val="20"/>
        </w:rPr>
      </w:pPr>
      <w:r w:rsidRPr="00424058">
        <w:rPr>
          <w:rFonts w:ascii="Arial" w:hAnsi="Arial" w:cs="Arial"/>
          <w:sz w:val="20"/>
          <w:szCs w:val="20"/>
        </w:rPr>
        <w:t>Word count - 1834</w:t>
      </w:r>
    </w:p>
    <w:p w14:paraId="296F5E1B" w14:textId="55AD0D2E" w:rsidR="00DB42A4" w:rsidRPr="00DB42A4" w:rsidRDefault="00656C6B" w:rsidP="00DB42A4">
      <w:pPr>
        <w:spacing w:after="240" w:line="360" w:lineRule="auto"/>
        <w:outlineLvl w:val="0"/>
        <w:rPr>
          <w:rFonts w:ascii="Arial" w:eastAsia="Times New Roman" w:hAnsi="Arial" w:cs="Arial"/>
          <w:b/>
          <w:bCs/>
          <w:kern w:val="36"/>
          <w:sz w:val="20"/>
          <w:szCs w:val="20"/>
          <w:lang w:eastAsia="en-GB"/>
          <w14:ligatures w14:val="none"/>
        </w:rPr>
      </w:pPr>
      <w:r w:rsidRPr="00424058">
        <w:rPr>
          <w:rFonts w:ascii="Arial" w:eastAsia="Times New Roman" w:hAnsi="Arial" w:cs="Arial"/>
          <w:b/>
          <w:bCs/>
          <w:kern w:val="36"/>
          <w:sz w:val="20"/>
          <w:szCs w:val="20"/>
          <w:lang w:eastAsia="en-GB"/>
          <w14:ligatures w14:val="none"/>
        </w:rPr>
        <w:t>Reference list</w:t>
      </w:r>
    </w:p>
    <w:p w14:paraId="0D1BF2B2" w14:textId="77777777" w:rsidR="00DB42A4" w:rsidRPr="00DB42A4" w:rsidRDefault="00DB42A4" w:rsidP="00DB42A4">
      <w:pPr>
        <w:pStyle w:val="ListParagraph"/>
        <w:numPr>
          <w:ilvl w:val="0"/>
          <w:numId w:val="2"/>
        </w:numPr>
        <w:spacing w:after="240" w:line="360" w:lineRule="auto"/>
        <w:rPr>
          <w:rFonts w:ascii="Arial" w:hAnsi="Arial" w:cs="Arial"/>
          <w:sz w:val="20"/>
          <w:szCs w:val="20"/>
        </w:rPr>
      </w:pPr>
      <w:r w:rsidRPr="00DB42A4">
        <w:rPr>
          <w:rFonts w:ascii="Arial" w:hAnsi="Arial" w:cs="Arial"/>
          <w:sz w:val="20"/>
          <w:szCs w:val="20"/>
        </w:rPr>
        <w:t>Bergen, P., et al. (2019). The future of terrorism: ISIS, Al-Qaeda, and the Alt-Right. Brookings Institution Press.</w:t>
      </w:r>
    </w:p>
    <w:p w14:paraId="043A5921" w14:textId="77777777" w:rsidR="00DB42A4" w:rsidRPr="00AD4E92" w:rsidRDefault="00DB42A4" w:rsidP="00DB42A4">
      <w:pPr>
        <w:pStyle w:val="ListParagraph"/>
        <w:numPr>
          <w:ilvl w:val="0"/>
          <w:numId w:val="2"/>
        </w:numPr>
        <w:spacing w:after="120"/>
        <w:rPr>
          <w:rFonts w:ascii="Arial" w:hAnsi="Arial" w:cs="Arial"/>
          <w:sz w:val="20"/>
          <w:szCs w:val="20"/>
        </w:rPr>
      </w:pPr>
      <w:r w:rsidRPr="00AD4E92">
        <w:rPr>
          <w:rFonts w:ascii="Arial" w:hAnsi="Arial" w:cs="Arial"/>
          <w:sz w:val="20"/>
          <w:szCs w:val="20"/>
        </w:rPr>
        <w:t>Bjornehed, E. (2004) “</w:t>
      </w:r>
      <w:r w:rsidRPr="00AD4E92">
        <w:rPr>
          <w:rFonts w:ascii="Arial" w:hAnsi="Arial" w:cs="Arial"/>
          <w:i/>
          <w:iCs/>
          <w:sz w:val="20"/>
          <w:szCs w:val="20"/>
        </w:rPr>
        <w:t>Narco-terrorism: the merger of the war on drugs and the war on terror</w:t>
      </w:r>
      <w:r w:rsidRPr="00AD4E92">
        <w:rPr>
          <w:rFonts w:ascii="Arial" w:hAnsi="Arial" w:cs="Arial"/>
          <w:sz w:val="20"/>
          <w:szCs w:val="20"/>
        </w:rPr>
        <w:t xml:space="preserve">” </w:t>
      </w:r>
      <w:r w:rsidRPr="00AD4E92">
        <w:rPr>
          <w:rFonts w:ascii="Arial" w:hAnsi="Arial" w:cs="Arial"/>
          <w:i/>
          <w:sz w:val="20"/>
          <w:szCs w:val="20"/>
        </w:rPr>
        <w:t>Global Crime</w:t>
      </w:r>
      <w:r w:rsidRPr="00AD4E92">
        <w:rPr>
          <w:rFonts w:ascii="Arial" w:hAnsi="Arial" w:cs="Arial"/>
          <w:sz w:val="20"/>
          <w:szCs w:val="20"/>
        </w:rPr>
        <w:t>, 6(3–4), 305–324</w:t>
      </w:r>
    </w:p>
    <w:p w14:paraId="4D79FEE2"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Browning, C. R., Byron, R. A., Calder, C. A., &amp; Krivo, L. J. (2017). The (Un)intended Consequences of Neighborhood Recovery Initiatives on the Policing of Minority Communities: The Case of New Orleans. Journal of Research in Crime and Delinquency, 54(4), 502–537.</w:t>
      </w:r>
    </w:p>
    <w:p w14:paraId="5C341145"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Buck, D. A., Trainor, J. E., &amp; Aguirre, B. E. (2006). A Critical Evaluation of the Incident Command System and NIMS</w:t>
      </w:r>
      <w:proofErr w:type="gramStart"/>
      <w:r w:rsidRPr="00424058">
        <w:rPr>
          <w:rFonts w:ascii="Arial" w:eastAsia="Times New Roman" w:hAnsi="Arial" w:cs="Arial"/>
          <w:kern w:val="0"/>
          <w:sz w:val="20"/>
          <w:szCs w:val="20"/>
          <w:lang w:eastAsia="en-GB"/>
          <w14:ligatures w14:val="none"/>
        </w:rPr>
        <w:t xml:space="preserve">.  </w:t>
      </w:r>
      <w:proofErr w:type="gramEnd"/>
      <w:r w:rsidRPr="00424058">
        <w:rPr>
          <w:rFonts w:ascii="Arial" w:eastAsia="Times New Roman" w:hAnsi="Arial" w:cs="Arial"/>
          <w:kern w:val="0"/>
          <w:sz w:val="20"/>
          <w:szCs w:val="20"/>
          <w:lang w:eastAsia="en-GB"/>
          <w14:ligatures w14:val="none"/>
        </w:rPr>
        <w:t>Journal of Homeland Security and Emergency Management, 3(3), Article 3</w:t>
      </w:r>
    </w:p>
    <w:p w14:paraId="548776DB"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 xml:space="preserve">Cabinet Office (2013). </w:t>
      </w:r>
      <w:r w:rsidRPr="00424058">
        <w:rPr>
          <w:rFonts w:ascii="Arial" w:eastAsia="Times New Roman" w:hAnsi="Arial" w:cs="Arial"/>
          <w:i/>
          <w:iCs/>
          <w:kern w:val="0"/>
          <w:sz w:val="20"/>
          <w:szCs w:val="20"/>
          <w:lang w:eastAsia="en-GB"/>
          <w14:ligatures w14:val="none"/>
        </w:rPr>
        <w:t>Preparation and planning for emergencies: responsibilities of responder agencies and others</w:t>
      </w:r>
      <w:r w:rsidRPr="00424058">
        <w:rPr>
          <w:rFonts w:ascii="Arial" w:eastAsia="Times New Roman" w:hAnsi="Arial" w:cs="Arial"/>
          <w:kern w:val="0"/>
          <w:sz w:val="20"/>
          <w:szCs w:val="20"/>
          <w:lang w:eastAsia="en-GB"/>
          <w14:ligatures w14:val="none"/>
        </w:rPr>
        <w:t>. [online] GOV.UK. Available at: https://www.gov.uk/guidance/preparation-and-planning-for-emergencies-responsibilities-of-responder-agencies-and-others [Accessed 4 Mar. 2024].</w:t>
      </w:r>
    </w:p>
    <w:p w14:paraId="6BE793E3"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 xml:space="preserve">Cabinet Office (2016). </w:t>
      </w:r>
      <w:r w:rsidRPr="00424058">
        <w:rPr>
          <w:rFonts w:ascii="Arial" w:eastAsia="Times New Roman" w:hAnsi="Arial" w:cs="Arial"/>
          <w:i/>
          <w:iCs/>
          <w:kern w:val="0"/>
          <w:sz w:val="20"/>
          <w:szCs w:val="20"/>
          <w:lang w:eastAsia="en-GB"/>
          <w14:ligatures w14:val="none"/>
        </w:rPr>
        <w:t>Emergency planning and preparedness: exercises and training</w:t>
      </w:r>
      <w:r w:rsidRPr="00424058">
        <w:rPr>
          <w:rFonts w:ascii="Arial" w:eastAsia="Times New Roman" w:hAnsi="Arial" w:cs="Arial"/>
          <w:kern w:val="0"/>
          <w:sz w:val="20"/>
          <w:szCs w:val="20"/>
          <w:lang w:eastAsia="en-GB"/>
          <w14:ligatures w14:val="none"/>
        </w:rPr>
        <w:t>. [online] GOV.UK. Available at: https://www.gov.uk/guidance/emergency-planning-and-preparedness-exercises-and-training [Accessed 4 Mar. 2024].</w:t>
      </w:r>
    </w:p>
    <w:p w14:paraId="2E214D9F"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Clarke, C., &amp; Newman, G. R. (2020). Criminal enterprise and terrorism: The business model in context. Routledge.</w:t>
      </w:r>
    </w:p>
    <w:p w14:paraId="4EABA4CD"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Comfort, L. K. (2010). Risk, Security, and Disaster Management</w:t>
      </w:r>
      <w:proofErr w:type="gramStart"/>
      <w:r w:rsidRPr="00424058">
        <w:rPr>
          <w:rFonts w:ascii="Arial" w:eastAsia="Times New Roman" w:hAnsi="Arial" w:cs="Arial"/>
          <w:kern w:val="0"/>
          <w:sz w:val="20"/>
          <w:szCs w:val="20"/>
          <w:lang w:eastAsia="en-GB"/>
          <w14:ligatures w14:val="none"/>
        </w:rPr>
        <w:t xml:space="preserve">.  </w:t>
      </w:r>
      <w:proofErr w:type="gramEnd"/>
      <w:r w:rsidRPr="00424058">
        <w:rPr>
          <w:rFonts w:ascii="Arial" w:eastAsia="Times New Roman" w:hAnsi="Arial" w:cs="Arial"/>
          <w:kern w:val="0"/>
          <w:sz w:val="20"/>
          <w:szCs w:val="20"/>
          <w:lang w:eastAsia="en-GB"/>
          <w14:ligatures w14:val="none"/>
        </w:rPr>
        <w:t>Annual Review of Political Science, 13, 371 – 387.</w:t>
      </w:r>
    </w:p>
    <w:p w14:paraId="29DE36B9" w14:textId="77777777" w:rsidR="00DB42A4" w:rsidRPr="00AD4E92" w:rsidRDefault="00DB42A4" w:rsidP="00DB42A4">
      <w:pPr>
        <w:pStyle w:val="NormalWeb"/>
        <w:numPr>
          <w:ilvl w:val="0"/>
          <w:numId w:val="2"/>
        </w:numPr>
        <w:spacing w:before="0" w:beforeAutospacing="0" w:after="240" w:afterAutospacing="0" w:line="360" w:lineRule="auto"/>
        <w:rPr>
          <w:rFonts w:ascii="Arial" w:hAnsi="Arial" w:cs="Arial"/>
          <w:sz w:val="20"/>
          <w:szCs w:val="20"/>
        </w:rPr>
      </w:pPr>
      <w:r w:rsidRPr="00AD4E92">
        <w:rPr>
          <w:rFonts w:ascii="Arial" w:hAnsi="Arial" w:cs="Arial"/>
          <w:sz w:val="20"/>
          <w:szCs w:val="20"/>
        </w:rPr>
        <w:t xml:space="preserve">Counter Terrorism Policing (2022). </w:t>
      </w:r>
      <w:r w:rsidRPr="00AD4E92">
        <w:rPr>
          <w:rFonts w:ascii="Arial" w:hAnsi="Arial" w:cs="Arial"/>
          <w:i/>
          <w:iCs/>
          <w:sz w:val="20"/>
          <w:szCs w:val="20"/>
        </w:rPr>
        <w:t>Prevent</w:t>
      </w:r>
      <w:r w:rsidRPr="00AD4E92">
        <w:rPr>
          <w:rFonts w:ascii="Arial" w:hAnsi="Arial" w:cs="Arial"/>
          <w:sz w:val="20"/>
          <w:szCs w:val="20"/>
        </w:rPr>
        <w:t>. [online] Counter Terrorism Policing. Available at: https://www.counterterrorism.police.uk/what-we-do/prevent/ [Accessed 4 Mar. 2024].</w:t>
      </w:r>
    </w:p>
    <w:p w14:paraId="4CE62069"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 xml:space="preserve">Department for Communities and Local Government (2013). </w:t>
      </w:r>
      <w:r w:rsidRPr="00424058">
        <w:rPr>
          <w:rFonts w:ascii="Arial" w:eastAsia="Times New Roman" w:hAnsi="Arial" w:cs="Arial"/>
          <w:i/>
          <w:iCs/>
          <w:kern w:val="0"/>
          <w:sz w:val="20"/>
          <w:szCs w:val="20"/>
          <w:lang w:eastAsia="en-GB"/>
          <w14:ligatures w14:val="none"/>
        </w:rPr>
        <w:t>Government Response to the Riots, Communities and Victims Panel’s final report</w:t>
      </w:r>
      <w:r w:rsidRPr="00424058">
        <w:rPr>
          <w:rFonts w:ascii="Arial" w:eastAsia="Times New Roman" w:hAnsi="Arial" w:cs="Arial"/>
          <w:kern w:val="0"/>
          <w:sz w:val="20"/>
          <w:szCs w:val="20"/>
          <w:lang w:eastAsia="en-GB"/>
          <w14:ligatures w14:val="none"/>
        </w:rPr>
        <w:t>. [online] Available at: https://assets.publishing.service.gov.uk/media/5a7cc9d9e5274a34d8d32f31/Govt_Response_to_the_Riots_-_Final_Report.pdf [Accessed 4 Mar. 2024].</w:t>
      </w:r>
    </w:p>
    <w:p w14:paraId="337647BE"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lastRenderedPageBreak/>
        <w:t>Dunn, M. (2020). Combating terrorism: Strategies and approaches. ABC-CLIO.</w:t>
      </w:r>
    </w:p>
    <w:p w14:paraId="5BAB1791"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Federal Emergency Management Agency (FEMA). (2015). Whole community approach to emergency management: Principles, Themes, and pathways for action.</w:t>
      </w:r>
    </w:p>
    <w:p w14:paraId="4DB403D2"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Fischer, F. (2012). Reframing Public Policy: Discursive Politics and Deliberative Practices (2nd ed.). Oxford University Press.</w:t>
      </w:r>
    </w:p>
    <w:p w14:paraId="0E036995"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Gupta, S., &amp; Sharma, D. (2019). Technological Advancements in Emergency Management: A Comprehensive Review. International Journal of Disaster Risk Reduction, 33, 48–57.</w:t>
      </w:r>
    </w:p>
    <w:p w14:paraId="33F627E3"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Heifetz, R. A., &amp; Laurie, D. L. (1997). The Work of Leadership. Harvard Business Review, 75(1), 124–134.</w:t>
      </w:r>
    </w:p>
    <w:p w14:paraId="0564F022" w14:textId="77777777" w:rsidR="00DB42A4" w:rsidRPr="00AD4E92" w:rsidRDefault="00DB42A4" w:rsidP="00DB42A4">
      <w:pPr>
        <w:pStyle w:val="NormalWeb"/>
        <w:numPr>
          <w:ilvl w:val="0"/>
          <w:numId w:val="2"/>
        </w:numPr>
        <w:spacing w:before="0" w:beforeAutospacing="0" w:after="240" w:afterAutospacing="0" w:line="360" w:lineRule="auto"/>
        <w:rPr>
          <w:rFonts w:ascii="Arial" w:hAnsi="Arial" w:cs="Arial"/>
          <w:sz w:val="20"/>
          <w:szCs w:val="20"/>
        </w:rPr>
      </w:pPr>
      <w:r w:rsidRPr="00AD4E92">
        <w:rPr>
          <w:rFonts w:ascii="Arial" w:hAnsi="Arial" w:cs="Arial"/>
          <w:sz w:val="20"/>
          <w:szCs w:val="20"/>
        </w:rPr>
        <w:t xml:space="preserve">HMICFRS (2020). </w:t>
      </w:r>
      <w:r w:rsidRPr="00AD4E92">
        <w:rPr>
          <w:rFonts w:ascii="Arial" w:hAnsi="Arial" w:cs="Arial"/>
          <w:i/>
          <w:iCs/>
          <w:sz w:val="20"/>
          <w:szCs w:val="20"/>
        </w:rPr>
        <w:t>Counter-terrorism policing</w:t>
      </w:r>
      <w:r w:rsidRPr="00AD4E92">
        <w:rPr>
          <w:rFonts w:ascii="Arial" w:hAnsi="Arial" w:cs="Arial"/>
          <w:sz w:val="20"/>
          <w:szCs w:val="20"/>
        </w:rPr>
        <w:t>. [online] Available at: https://assets-hmicfrs.justiceinspectorates.gov.uk/uploads/redacted-counter-terrorism-policing-inspection-police-contribution-government-prevent-programme.pdf [Accessed 4 Mar. 2024].</w:t>
      </w:r>
    </w:p>
    <w:p w14:paraId="0C5CF277" w14:textId="77777777" w:rsidR="00DB42A4" w:rsidRPr="00AD4E92" w:rsidRDefault="00DB42A4" w:rsidP="00DB42A4">
      <w:pPr>
        <w:pStyle w:val="NormalWeb"/>
        <w:numPr>
          <w:ilvl w:val="0"/>
          <w:numId w:val="2"/>
        </w:numPr>
        <w:spacing w:before="0" w:beforeAutospacing="0" w:after="240" w:afterAutospacing="0" w:line="360" w:lineRule="auto"/>
        <w:rPr>
          <w:rFonts w:ascii="Arial" w:hAnsi="Arial" w:cs="Arial"/>
          <w:sz w:val="20"/>
          <w:szCs w:val="20"/>
        </w:rPr>
      </w:pPr>
      <w:r w:rsidRPr="00AD4E92">
        <w:rPr>
          <w:rFonts w:ascii="Arial" w:hAnsi="Arial" w:cs="Arial"/>
          <w:sz w:val="20"/>
          <w:szCs w:val="20"/>
        </w:rPr>
        <w:t xml:space="preserve">HMICFRS (2022). </w:t>
      </w:r>
      <w:r w:rsidRPr="00AD4E92">
        <w:rPr>
          <w:rFonts w:ascii="Arial" w:hAnsi="Arial" w:cs="Arial"/>
          <w:i/>
          <w:iCs/>
          <w:sz w:val="20"/>
          <w:szCs w:val="20"/>
        </w:rPr>
        <w:t>Counter-terrorism policing: An inspection of the police’s contribution to the government’s Prevent programme</w:t>
      </w:r>
      <w:r w:rsidRPr="00AD4E92">
        <w:rPr>
          <w:rFonts w:ascii="Arial" w:hAnsi="Arial" w:cs="Arial"/>
          <w:sz w:val="20"/>
          <w:szCs w:val="20"/>
        </w:rPr>
        <w:t>. [online] His Majesty’s Inspectorate of Constabulary and Fire &amp; Rescue Services. Available at: https://hmicfrs.justiceinspectorates.gov.uk/publication-html/counter-terrorism-policing-an-inspection-of-the-polices-contribution-to-the-governments-prevent-programme/ [Accessed 4 Mar. 2024].</w:t>
      </w:r>
    </w:p>
    <w:p w14:paraId="64CE75DA"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 xml:space="preserve">Home Office (2021). </w:t>
      </w:r>
      <w:r w:rsidRPr="00424058">
        <w:rPr>
          <w:rFonts w:ascii="Arial" w:eastAsia="Times New Roman" w:hAnsi="Arial" w:cs="Arial"/>
          <w:i/>
          <w:iCs/>
          <w:kern w:val="0"/>
          <w:sz w:val="20"/>
          <w:szCs w:val="20"/>
          <w:lang w:eastAsia="en-GB"/>
          <w14:ligatures w14:val="none"/>
        </w:rPr>
        <w:t>Critical incident management</w:t>
      </w:r>
      <w:r w:rsidRPr="00424058">
        <w:rPr>
          <w:rFonts w:ascii="Arial" w:eastAsia="Times New Roman" w:hAnsi="Arial" w:cs="Arial"/>
          <w:kern w:val="0"/>
          <w:sz w:val="20"/>
          <w:szCs w:val="20"/>
          <w:lang w:eastAsia="en-GB"/>
          <w14:ligatures w14:val="none"/>
        </w:rPr>
        <w:t>. [online] Available at: https://assets.publishing.service.gov.uk/media/6128beece90e07054a62c5d8/national-critical-incident-management-guidance-v13.0-ext.pdf [Accessed 4 Mar. 2024].</w:t>
      </w:r>
    </w:p>
    <w:p w14:paraId="5F8C15FE" w14:textId="77777777" w:rsidR="00DB42A4" w:rsidRPr="00424058" w:rsidRDefault="00DB42A4" w:rsidP="00656C6B">
      <w:pPr>
        <w:pStyle w:val="NormalWeb"/>
        <w:numPr>
          <w:ilvl w:val="0"/>
          <w:numId w:val="2"/>
        </w:numPr>
        <w:spacing w:before="0" w:beforeAutospacing="0" w:after="240" w:afterAutospacing="0" w:line="360" w:lineRule="auto"/>
        <w:rPr>
          <w:rFonts w:ascii="Arial" w:hAnsi="Arial" w:cs="Arial"/>
          <w:sz w:val="20"/>
          <w:szCs w:val="20"/>
        </w:rPr>
      </w:pPr>
      <w:r w:rsidRPr="00424058">
        <w:rPr>
          <w:rFonts w:ascii="Arial" w:hAnsi="Arial" w:cs="Arial"/>
          <w:sz w:val="20"/>
          <w:szCs w:val="20"/>
        </w:rPr>
        <w:t xml:space="preserve">Home Office (2021). </w:t>
      </w:r>
      <w:r w:rsidRPr="00424058">
        <w:rPr>
          <w:rFonts w:ascii="Arial" w:hAnsi="Arial" w:cs="Arial"/>
          <w:i/>
          <w:iCs/>
          <w:sz w:val="20"/>
          <w:szCs w:val="20"/>
        </w:rPr>
        <w:t>Manchester Arena Inquiry Volume 1: Security for the Arena</w:t>
      </w:r>
      <w:r w:rsidRPr="00424058">
        <w:rPr>
          <w:rFonts w:ascii="Arial" w:hAnsi="Arial" w:cs="Arial"/>
          <w:sz w:val="20"/>
          <w:szCs w:val="20"/>
        </w:rPr>
        <w:t>. [online] GOV.UK. Available at: https://www.gov.uk/government/publications/manchester-arena-inquiry-volume-1-security-for-the-arena [Accessed 8 Apr. 2024].</w:t>
      </w:r>
    </w:p>
    <w:p w14:paraId="1C349D66" w14:textId="77777777" w:rsidR="00DB42A4" w:rsidRPr="00AD4E92" w:rsidRDefault="00DB42A4" w:rsidP="00DB42A4">
      <w:pPr>
        <w:pStyle w:val="NormalWeb"/>
        <w:numPr>
          <w:ilvl w:val="0"/>
          <w:numId w:val="2"/>
        </w:numPr>
        <w:spacing w:before="0" w:beforeAutospacing="0" w:after="240" w:afterAutospacing="0" w:line="360" w:lineRule="auto"/>
        <w:rPr>
          <w:rFonts w:ascii="Arial" w:hAnsi="Arial" w:cs="Arial"/>
          <w:sz w:val="20"/>
          <w:szCs w:val="20"/>
        </w:rPr>
      </w:pPr>
      <w:r w:rsidRPr="00AD4E92">
        <w:rPr>
          <w:rFonts w:ascii="Arial" w:hAnsi="Arial" w:cs="Arial"/>
          <w:sz w:val="20"/>
          <w:szCs w:val="20"/>
        </w:rPr>
        <w:t xml:space="preserve">Home Office (2023). </w:t>
      </w:r>
      <w:r w:rsidRPr="00AD4E92">
        <w:rPr>
          <w:rFonts w:ascii="Arial" w:hAnsi="Arial" w:cs="Arial"/>
          <w:i/>
          <w:iCs/>
          <w:sz w:val="20"/>
          <w:szCs w:val="20"/>
        </w:rPr>
        <w:t>Counter-terrorism strategy (CONTEST) 2023</w:t>
      </w:r>
      <w:r w:rsidRPr="00AD4E92">
        <w:rPr>
          <w:rFonts w:ascii="Arial" w:hAnsi="Arial" w:cs="Arial"/>
          <w:sz w:val="20"/>
          <w:szCs w:val="20"/>
        </w:rPr>
        <w:t>. [online] GOV.UK. Available at: https://www.gov.uk/government/publications/counter-terrorism-strategy-contest-2023#:~:text=prevent%3A%20to%20stop%20people%20becoming [Accessed 4 Mar. 2024].</w:t>
      </w:r>
    </w:p>
    <w:p w14:paraId="298709A7"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 xml:space="preserve">JESIP (2022). </w:t>
      </w:r>
      <w:r w:rsidRPr="00424058">
        <w:rPr>
          <w:rFonts w:ascii="Arial" w:eastAsia="Times New Roman" w:hAnsi="Arial" w:cs="Arial"/>
          <w:i/>
          <w:iCs/>
          <w:kern w:val="0"/>
          <w:sz w:val="20"/>
          <w:szCs w:val="20"/>
          <w:lang w:eastAsia="en-GB"/>
          <w14:ligatures w14:val="none"/>
        </w:rPr>
        <w:t>Emergency Responder Organisations Roles, Responsibilities and Capabilities</w:t>
      </w:r>
      <w:r w:rsidRPr="00424058">
        <w:rPr>
          <w:rFonts w:ascii="Arial" w:eastAsia="Times New Roman" w:hAnsi="Arial" w:cs="Arial"/>
          <w:kern w:val="0"/>
          <w:sz w:val="20"/>
          <w:szCs w:val="20"/>
          <w:lang w:eastAsia="en-GB"/>
          <w14:ligatures w14:val="none"/>
        </w:rPr>
        <w:t>. [online] Available at: https://www.jesip.org.uk/wp-content/uploads/2022/08/Emergency-Responder-Organisations-Roles-and-Responsibilities-v1.1-Aug-2022-1.pdf [Accessed 4 Mar. 2024].</w:t>
      </w:r>
    </w:p>
    <w:p w14:paraId="3C8A1CF7"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Jones, S. G. (2019). Terrorism, crime, and criminal justice. Routledge.</w:t>
      </w:r>
    </w:p>
    <w:p w14:paraId="19860CA5"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Kapucu, N., &amp; Garayev, V. (2011)</w:t>
      </w:r>
      <w:proofErr w:type="gramStart"/>
      <w:r w:rsidRPr="00424058">
        <w:rPr>
          <w:rFonts w:ascii="Arial" w:eastAsia="Times New Roman" w:hAnsi="Arial" w:cs="Arial"/>
          <w:kern w:val="0"/>
          <w:sz w:val="20"/>
          <w:szCs w:val="20"/>
          <w:lang w:eastAsia="en-GB"/>
          <w14:ligatures w14:val="none"/>
        </w:rPr>
        <w:t xml:space="preserve">.  </w:t>
      </w:r>
      <w:proofErr w:type="gramEnd"/>
      <w:r w:rsidRPr="00424058">
        <w:rPr>
          <w:rFonts w:ascii="Arial" w:eastAsia="Times New Roman" w:hAnsi="Arial" w:cs="Arial"/>
          <w:kern w:val="0"/>
          <w:sz w:val="20"/>
          <w:szCs w:val="20"/>
          <w:lang w:eastAsia="en-GB"/>
          <w14:ligatures w14:val="none"/>
        </w:rPr>
        <w:t>Collaborative decision-making in emergency management. International Journal of Public Administration, 34(6), 366 – 375)</w:t>
      </w:r>
    </w:p>
    <w:p w14:paraId="469FD269"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 xml:space="preserve">Lum, C., et al. (2019). A companion to crime, </w:t>
      </w:r>
      <w:proofErr w:type="gramStart"/>
      <w:r w:rsidRPr="00AD4E92">
        <w:rPr>
          <w:rFonts w:ascii="Arial" w:hAnsi="Arial" w:cs="Arial"/>
          <w:sz w:val="20"/>
          <w:szCs w:val="20"/>
        </w:rPr>
        <w:t>harm</w:t>
      </w:r>
      <w:proofErr w:type="gramEnd"/>
      <w:r w:rsidRPr="00AD4E92">
        <w:rPr>
          <w:rFonts w:ascii="Arial" w:hAnsi="Arial" w:cs="Arial"/>
          <w:sz w:val="20"/>
          <w:szCs w:val="20"/>
        </w:rPr>
        <w:t xml:space="preserve"> and victimisation. Policy Press.</w:t>
      </w:r>
    </w:p>
    <w:p w14:paraId="7C57D005" w14:textId="77777777" w:rsidR="00DB42A4" w:rsidRPr="00AD4E92" w:rsidRDefault="00DB42A4" w:rsidP="00DB42A4">
      <w:pPr>
        <w:pStyle w:val="ListParagraph"/>
        <w:numPr>
          <w:ilvl w:val="0"/>
          <w:numId w:val="2"/>
        </w:numPr>
        <w:spacing w:after="120"/>
        <w:rPr>
          <w:rFonts w:ascii="Arial" w:hAnsi="Arial" w:cs="Arial"/>
          <w:sz w:val="20"/>
          <w:szCs w:val="20"/>
        </w:rPr>
      </w:pPr>
      <w:r w:rsidRPr="00AD4E92">
        <w:rPr>
          <w:rFonts w:ascii="Arial" w:hAnsi="Arial" w:cs="Arial"/>
          <w:sz w:val="20"/>
          <w:szCs w:val="20"/>
        </w:rPr>
        <w:t>Makarenko, T. (2004</w:t>
      </w:r>
      <w:r w:rsidRPr="00AD4E92">
        <w:rPr>
          <w:rFonts w:ascii="Arial" w:hAnsi="Arial" w:cs="Arial"/>
          <w:i/>
          <w:iCs/>
          <w:sz w:val="20"/>
          <w:szCs w:val="20"/>
        </w:rPr>
        <w:t>) “The Crime-Terror Continuum:</w:t>
      </w:r>
      <w:r w:rsidRPr="00AD4E92">
        <w:rPr>
          <w:rFonts w:ascii="Arial" w:hAnsi="Arial" w:cs="Arial"/>
          <w:sz w:val="20"/>
          <w:szCs w:val="20"/>
        </w:rPr>
        <w:t xml:space="preserve"> Tracing the Interplay between Transnational Organised Crime and Terrorism”, </w:t>
      </w:r>
      <w:r w:rsidRPr="00AD4E92">
        <w:rPr>
          <w:rFonts w:ascii="Arial" w:hAnsi="Arial" w:cs="Arial"/>
          <w:i/>
          <w:sz w:val="20"/>
          <w:szCs w:val="20"/>
        </w:rPr>
        <w:t>Global Crime</w:t>
      </w:r>
      <w:r w:rsidRPr="00AD4E92">
        <w:rPr>
          <w:rFonts w:ascii="Arial" w:hAnsi="Arial" w:cs="Arial"/>
          <w:sz w:val="20"/>
          <w:szCs w:val="20"/>
        </w:rPr>
        <w:t>, 6:1, 129-145</w:t>
      </w:r>
    </w:p>
    <w:p w14:paraId="4FD453C4"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Makarenko, T. (2017). Crime-terror nexus in the EU. In M. S. McGlinchey et al. (Eds.), Routledge handbook of terrorism and counterterrorism (pp. 295-310). Routledge.</w:t>
      </w:r>
    </w:p>
    <w:p w14:paraId="1F9E5B19"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lastRenderedPageBreak/>
        <w:t>McCoy, J. F., &amp; Hoffman, M. (2020). Dark networks in the Atlantic Basin: Emerging trends and implications for international security. Stanford University Press.</w:t>
      </w:r>
    </w:p>
    <w:p w14:paraId="1919A035"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Moore, M. H. (2014). Recognizing Public Value. Harvard University Press.</w:t>
      </w:r>
    </w:p>
    <w:p w14:paraId="0723C7BB"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Moynihan, D.P., &amp; Pandey, S.K. (2005). Testing how management matters in an Era of Government by performance management</w:t>
      </w:r>
      <w:proofErr w:type="gramStart"/>
      <w:r w:rsidRPr="00424058">
        <w:rPr>
          <w:rFonts w:ascii="Arial" w:eastAsia="Times New Roman" w:hAnsi="Arial" w:cs="Arial"/>
          <w:kern w:val="0"/>
          <w:sz w:val="20"/>
          <w:szCs w:val="20"/>
          <w:lang w:eastAsia="en-GB"/>
          <w14:ligatures w14:val="none"/>
        </w:rPr>
        <w:t xml:space="preserve">.  </w:t>
      </w:r>
      <w:proofErr w:type="gramEnd"/>
      <w:r w:rsidRPr="00424058">
        <w:rPr>
          <w:rFonts w:ascii="Arial" w:eastAsia="Times New Roman" w:hAnsi="Arial" w:cs="Arial"/>
          <w:kern w:val="0"/>
          <w:sz w:val="20"/>
          <w:szCs w:val="20"/>
          <w:lang w:eastAsia="en-GB"/>
          <w14:ligatures w14:val="none"/>
        </w:rPr>
        <w:t>Journal of public administration research and theory, 15(3), 421 – 439).</w:t>
      </w:r>
    </w:p>
    <w:p w14:paraId="02B20670"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 xml:space="preserve">National Policing Improvement Agency (2009). </w:t>
      </w:r>
      <w:r w:rsidRPr="00424058">
        <w:rPr>
          <w:rFonts w:ascii="Arial" w:eastAsia="Times New Roman" w:hAnsi="Arial" w:cs="Arial"/>
          <w:i/>
          <w:iCs/>
          <w:kern w:val="0"/>
          <w:sz w:val="20"/>
          <w:szCs w:val="20"/>
          <w:lang w:eastAsia="en-GB"/>
          <w14:ligatures w14:val="none"/>
        </w:rPr>
        <w:t>Multi-Agency Interoperability</w:t>
      </w:r>
      <w:r w:rsidRPr="00424058">
        <w:rPr>
          <w:rFonts w:ascii="Arial" w:eastAsia="Times New Roman" w:hAnsi="Arial" w:cs="Arial"/>
          <w:kern w:val="0"/>
          <w:sz w:val="20"/>
          <w:szCs w:val="20"/>
          <w:lang w:eastAsia="en-GB"/>
          <w14:ligatures w14:val="none"/>
        </w:rPr>
        <w:t>. [online] Available at: https://library.college.police.uk/docs/acpo/Multi-agency-Interoperability-130609.pdf [Accessed 4 Mar. 2024].</w:t>
      </w:r>
    </w:p>
    <w:p w14:paraId="02AD9E54" w14:textId="77777777" w:rsidR="00DB42A4" w:rsidRPr="00AD4E92" w:rsidRDefault="00DB42A4" w:rsidP="00DB42A4">
      <w:pPr>
        <w:pStyle w:val="NormalWeb"/>
        <w:numPr>
          <w:ilvl w:val="0"/>
          <w:numId w:val="2"/>
        </w:numPr>
        <w:spacing w:before="0" w:beforeAutospacing="0" w:after="240" w:afterAutospacing="0" w:line="360" w:lineRule="auto"/>
        <w:rPr>
          <w:rFonts w:ascii="Arial" w:hAnsi="Arial" w:cs="Arial"/>
          <w:sz w:val="20"/>
          <w:szCs w:val="20"/>
        </w:rPr>
      </w:pPr>
      <w:r w:rsidRPr="00AD4E92">
        <w:rPr>
          <w:rFonts w:ascii="Arial" w:hAnsi="Arial" w:cs="Arial"/>
          <w:sz w:val="20"/>
          <w:szCs w:val="20"/>
        </w:rPr>
        <w:t xml:space="preserve">National Protective Security Authority (2023). </w:t>
      </w:r>
      <w:r w:rsidRPr="00AD4E92">
        <w:rPr>
          <w:rFonts w:ascii="Arial" w:hAnsi="Arial" w:cs="Arial"/>
          <w:i/>
          <w:iCs/>
          <w:sz w:val="20"/>
          <w:szCs w:val="20"/>
        </w:rPr>
        <w:t>Reducing Insider Risk | NPSA</w:t>
      </w:r>
      <w:r w:rsidRPr="00AD4E92">
        <w:rPr>
          <w:rFonts w:ascii="Arial" w:hAnsi="Arial" w:cs="Arial"/>
          <w:sz w:val="20"/>
          <w:szCs w:val="20"/>
        </w:rPr>
        <w:t>. [online] www.npsa.gov.uk. Available at: https://www.npsa.gov.uk/reducing-insider-risk [Accessed 4 Mar. 2024].</w:t>
      </w:r>
    </w:p>
    <w:p w14:paraId="599FB35D"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Nesser, P. (2017). Islamist terrorism in Europe: A history. Oxford University Press.</w:t>
      </w:r>
    </w:p>
    <w:p w14:paraId="5EB0E61F" w14:textId="77777777" w:rsidR="00DB42A4" w:rsidRPr="00AD4E92" w:rsidRDefault="00DB42A4" w:rsidP="00DB42A4">
      <w:pPr>
        <w:pStyle w:val="NormalWeb"/>
        <w:numPr>
          <w:ilvl w:val="0"/>
          <w:numId w:val="2"/>
        </w:numPr>
        <w:spacing w:before="0" w:beforeAutospacing="0" w:after="240" w:afterAutospacing="0" w:line="360" w:lineRule="auto"/>
        <w:rPr>
          <w:rFonts w:ascii="Arial" w:hAnsi="Arial" w:cs="Arial"/>
          <w:sz w:val="20"/>
          <w:szCs w:val="20"/>
        </w:rPr>
      </w:pPr>
      <w:r w:rsidRPr="00AD4E92">
        <w:rPr>
          <w:rFonts w:ascii="Arial" w:hAnsi="Arial" w:cs="Arial"/>
          <w:sz w:val="20"/>
          <w:szCs w:val="20"/>
        </w:rPr>
        <w:t xml:space="preserve">Nurse, J., Buckley, O., Legg, P., Goldsmith, M., Creese, S., Wright, G. and Whitty, M. (2014). 2014 IEEE Security and Privacy Workshops 2014 IEEE Security and Privacy Workshops 2014 IEEE Security and Privacy Workshops. </w:t>
      </w:r>
      <w:r w:rsidRPr="00AD4E92">
        <w:rPr>
          <w:rFonts w:ascii="Arial" w:hAnsi="Arial" w:cs="Arial"/>
          <w:i/>
          <w:iCs/>
          <w:sz w:val="20"/>
          <w:szCs w:val="20"/>
        </w:rPr>
        <w:t>Understanding Insider Threat: A Framework for Characterising Attacks</w:t>
      </w:r>
      <w:r w:rsidRPr="00AD4E92">
        <w:rPr>
          <w:rFonts w:ascii="Arial" w:hAnsi="Arial" w:cs="Arial"/>
          <w:sz w:val="20"/>
          <w:szCs w:val="20"/>
        </w:rPr>
        <w:t>. [online] doi:https://doi.org/10.1109/SPW.2014.38.</w:t>
      </w:r>
    </w:p>
    <w:p w14:paraId="437928AD" w14:textId="77777777" w:rsidR="00DB42A4" w:rsidRPr="00AD4E92" w:rsidRDefault="00DB42A4" w:rsidP="00DB42A4">
      <w:pPr>
        <w:pStyle w:val="NormalWeb"/>
        <w:numPr>
          <w:ilvl w:val="0"/>
          <w:numId w:val="2"/>
        </w:numPr>
        <w:spacing w:before="0" w:beforeAutospacing="0" w:after="240" w:afterAutospacing="0" w:line="360" w:lineRule="auto"/>
        <w:rPr>
          <w:rFonts w:ascii="Arial" w:hAnsi="Arial" w:cs="Arial"/>
          <w:sz w:val="20"/>
          <w:szCs w:val="20"/>
        </w:rPr>
      </w:pPr>
      <w:r w:rsidRPr="00AD4E92">
        <w:rPr>
          <w:rFonts w:ascii="Arial" w:hAnsi="Arial" w:cs="Arial"/>
          <w:sz w:val="20"/>
          <w:szCs w:val="20"/>
        </w:rPr>
        <w:t xml:space="preserve">Pfluke, C. (2019). A history of the Five Eyes Alliance: Possibility for reform and additions. </w:t>
      </w:r>
      <w:r w:rsidRPr="00AD4E92">
        <w:rPr>
          <w:rFonts w:ascii="Arial" w:hAnsi="Arial" w:cs="Arial"/>
          <w:i/>
          <w:iCs/>
          <w:sz w:val="20"/>
          <w:szCs w:val="20"/>
        </w:rPr>
        <w:t>Comparative Strategy</w:t>
      </w:r>
      <w:r w:rsidRPr="00AD4E92">
        <w:rPr>
          <w:rFonts w:ascii="Arial" w:hAnsi="Arial" w:cs="Arial"/>
          <w:sz w:val="20"/>
          <w:szCs w:val="20"/>
        </w:rPr>
        <w:t>, 38(4), pp.302–315.</w:t>
      </w:r>
    </w:p>
    <w:p w14:paraId="1A1A4087"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Reinares, F., &amp; García-Calvo, C. (2019). The evolution of terrorism in Spain: The effects of 9/11 on Jihadism. Palgrave Macmillan.</w:t>
      </w:r>
    </w:p>
    <w:p w14:paraId="7C2A400C"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Reisig, M. D., &amp; Lloyd, C. (2015). Procedural Justice, Police Legitimacy, and Cooperation with the Police Among Young Black Males: Do Process-Based Values Matter? Journal of Contemporary Criminal Justice, 31(2), 171–189.</w:t>
      </w:r>
    </w:p>
    <w:p w14:paraId="7BE817B9"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Riccio, B. J., &amp; Furst-Holloway, S. (2015). Diversity and Inclusion in Law Enforcement: A Promising Approach to Organizational Reform. Public Administration Review, 75(4), 615–624.</w:t>
      </w:r>
    </w:p>
    <w:p w14:paraId="11E30EB8"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Schuurman, B., &amp; Bakker, E. (2021). Lone-Actor Terrorist Radicalization and the Role of the Internet. Oxford University Press.</w:t>
      </w:r>
    </w:p>
    <w:p w14:paraId="4EB85BB8"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Slovic, P., Fischhoff, B., &amp; Lichtenstein, S. (2002). Facts Versus Fears: Understanding Perceived Risk. In P. Slovic (Ed.), The Perception of Risk (pp. 463–489). Earthscan.</w:t>
      </w:r>
    </w:p>
    <w:p w14:paraId="11A38880"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Sullivan, B., &amp; Ganor, B. (2018). Countering terrorism: Dimensions of preparedness. Routledge.</w:t>
      </w:r>
    </w:p>
    <w:p w14:paraId="49B84422" w14:textId="77777777" w:rsidR="00DB42A4" w:rsidRPr="00424058" w:rsidRDefault="00DB42A4" w:rsidP="00656C6B">
      <w:pPr>
        <w:pStyle w:val="PlainText"/>
        <w:numPr>
          <w:ilvl w:val="0"/>
          <w:numId w:val="2"/>
        </w:numPr>
        <w:rPr>
          <w:rFonts w:ascii="Arial" w:hAnsi="Arial" w:cs="Arial"/>
          <w:sz w:val="20"/>
          <w:szCs w:val="20"/>
        </w:rPr>
      </w:pPr>
      <w:r w:rsidRPr="00424058">
        <w:rPr>
          <w:rFonts w:ascii="Arial" w:hAnsi="Arial" w:cs="Arial"/>
          <w:sz w:val="20"/>
          <w:szCs w:val="20"/>
        </w:rPr>
        <w:t>Violanti, J. M., Charles, L. E., McCanlies, E., Hartley, T. A., Baughman, P., Andrew, M. E., &amp; Fekedulegn, D. (2017). Police Stressors and Health: A State-of-the-Art Review. Policing: An International Journal, 40(4), 642–656.</w:t>
      </w:r>
    </w:p>
    <w:p w14:paraId="3D1A9794" w14:textId="77777777" w:rsidR="00DB42A4" w:rsidRPr="00424058" w:rsidRDefault="00DB42A4" w:rsidP="00656C6B">
      <w:pPr>
        <w:pStyle w:val="ListParagraph"/>
        <w:numPr>
          <w:ilvl w:val="0"/>
          <w:numId w:val="2"/>
        </w:numPr>
        <w:spacing w:after="240" w:line="360" w:lineRule="auto"/>
        <w:rPr>
          <w:rFonts w:ascii="Arial" w:eastAsia="Times New Roman" w:hAnsi="Arial" w:cs="Arial"/>
          <w:kern w:val="0"/>
          <w:sz w:val="20"/>
          <w:szCs w:val="20"/>
          <w:lang w:eastAsia="en-GB"/>
          <w14:ligatures w14:val="none"/>
        </w:rPr>
      </w:pPr>
      <w:r w:rsidRPr="00424058">
        <w:rPr>
          <w:rFonts w:ascii="Arial" w:eastAsia="Times New Roman" w:hAnsi="Arial" w:cs="Arial"/>
          <w:kern w:val="0"/>
          <w:sz w:val="20"/>
          <w:szCs w:val="20"/>
          <w:lang w:eastAsia="en-GB"/>
          <w14:ligatures w14:val="none"/>
        </w:rPr>
        <w:t>Wachtendorf, T., &amp; Kendra, J. M. (2009). Improvising Terrorism: an analysis of the discursive logics of homeland security</w:t>
      </w:r>
      <w:proofErr w:type="gramStart"/>
      <w:r w:rsidRPr="00424058">
        <w:rPr>
          <w:rFonts w:ascii="Arial" w:eastAsia="Times New Roman" w:hAnsi="Arial" w:cs="Arial"/>
          <w:kern w:val="0"/>
          <w:sz w:val="20"/>
          <w:szCs w:val="20"/>
          <w:lang w:eastAsia="en-GB"/>
          <w14:ligatures w14:val="none"/>
        </w:rPr>
        <w:t xml:space="preserve">.  </w:t>
      </w:r>
      <w:proofErr w:type="gramEnd"/>
      <w:r w:rsidRPr="00424058">
        <w:rPr>
          <w:rFonts w:ascii="Arial" w:eastAsia="Times New Roman" w:hAnsi="Arial" w:cs="Arial"/>
          <w:kern w:val="0"/>
          <w:sz w:val="20"/>
          <w:szCs w:val="20"/>
          <w:lang w:eastAsia="en-GB"/>
          <w14:ligatures w14:val="none"/>
        </w:rPr>
        <w:t>Administration &amp; Society, 41(3), 336-362.</w:t>
      </w:r>
    </w:p>
    <w:p w14:paraId="4035F0B1" w14:textId="77777777" w:rsidR="00DB42A4" w:rsidRPr="00DB42A4" w:rsidRDefault="00DB42A4" w:rsidP="00DB42A4">
      <w:pPr>
        <w:pStyle w:val="ListParagraph"/>
        <w:numPr>
          <w:ilvl w:val="0"/>
          <w:numId w:val="2"/>
        </w:numPr>
        <w:spacing w:after="240" w:line="360" w:lineRule="auto"/>
        <w:rPr>
          <w:rFonts w:ascii="Arial" w:hAnsi="Arial" w:cs="Arial"/>
          <w:sz w:val="20"/>
          <w:szCs w:val="20"/>
        </w:rPr>
      </w:pPr>
      <w:r w:rsidRPr="00DB42A4">
        <w:rPr>
          <w:rFonts w:ascii="Arial" w:eastAsia="Times New Roman" w:hAnsi="Arial" w:cs="Arial"/>
          <w:kern w:val="0"/>
          <w:sz w:val="20"/>
          <w:szCs w:val="20"/>
          <w:lang w:eastAsia="en-GB"/>
          <w14:ligatures w14:val="none"/>
        </w:rPr>
        <w:t>Waugh, W.L. &amp; Streib, G. (2006)</w:t>
      </w:r>
      <w:proofErr w:type="gramStart"/>
      <w:r w:rsidRPr="00DB42A4">
        <w:rPr>
          <w:rFonts w:ascii="Arial" w:eastAsia="Times New Roman" w:hAnsi="Arial" w:cs="Arial"/>
          <w:kern w:val="0"/>
          <w:sz w:val="20"/>
          <w:szCs w:val="20"/>
          <w:lang w:eastAsia="en-GB"/>
          <w14:ligatures w14:val="none"/>
        </w:rPr>
        <w:t xml:space="preserve">.  </w:t>
      </w:r>
      <w:proofErr w:type="gramEnd"/>
      <w:r w:rsidRPr="00DB42A4">
        <w:rPr>
          <w:rFonts w:ascii="Arial" w:eastAsia="Times New Roman" w:hAnsi="Arial" w:cs="Arial"/>
          <w:kern w:val="0"/>
          <w:sz w:val="20"/>
          <w:szCs w:val="20"/>
          <w:lang w:eastAsia="en-GB"/>
          <w14:ligatures w14:val="none"/>
        </w:rPr>
        <w:t>Collaboration and leadership for effective management</w:t>
      </w:r>
      <w:proofErr w:type="gramStart"/>
      <w:r w:rsidRPr="00DB42A4">
        <w:rPr>
          <w:rFonts w:ascii="Arial" w:eastAsia="Times New Roman" w:hAnsi="Arial" w:cs="Arial"/>
          <w:kern w:val="0"/>
          <w:sz w:val="20"/>
          <w:szCs w:val="20"/>
          <w:lang w:eastAsia="en-GB"/>
          <w14:ligatures w14:val="none"/>
        </w:rPr>
        <w:t xml:space="preserve">.  </w:t>
      </w:r>
      <w:proofErr w:type="gramEnd"/>
      <w:r w:rsidRPr="00DB42A4">
        <w:rPr>
          <w:rFonts w:ascii="Arial" w:eastAsia="Times New Roman" w:hAnsi="Arial" w:cs="Arial"/>
          <w:kern w:val="0"/>
          <w:sz w:val="20"/>
          <w:szCs w:val="20"/>
          <w:lang w:eastAsia="en-GB"/>
          <w14:ligatures w14:val="none"/>
        </w:rPr>
        <w:t>Public administration review, 66, 131-140.</w:t>
      </w:r>
    </w:p>
    <w:p w14:paraId="705F8DAA" w14:textId="77777777" w:rsidR="00DB42A4" w:rsidRPr="00AD4E92" w:rsidRDefault="00DB42A4" w:rsidP="00DB42A4">
      <w:pPr>
        <w:pStyle w:val="PlainText"/>
        <w:numPr>
          <w:ilvl w:val="0"/>
          <w:numId w:val="2"/>
        </w:numPr>
        <w:rPr>
          <w:rFonts w:ascii="Arial" w:hAnsi="Arial" w:cs="Arial"/>
          <w:sz w:val="20"/>
          <w:szCs w:val="20"/>
        </w:rPr>
      </w:pPr>
      <w:r w:rsidRPr="00AD4E92">
        <w:rPr>
          <w:rFonts w:ascii="Arial" w:hAnsi="Arial" w:cs="Arial"/>
          <w:sz w:val="20"/>
          <w:szCs w:val="20"/>
        </w:rPr>
        <w:t xml:space="preserve">Williams, M. J., &amp; Levi, M. (2020). Networks, </w:t>
      </w:r>
      <w:proofErr w:type="gramStart"/>
      <w:r w:rsidRPr="00AD4E92">
        <w:rPr>
          <w:rFonts w:ascii="Arial" w:hAnsi="Arial" w:cs="Arial"/>
          <w:sz w:val="20"/>
          <w:szCs w:val="20"/>
        </w:rPr>
        <w:t>terrorism</w:t>
      </w:r>
      <w:proofErr w:type="gramEnd"/>
      <w:r w:rsidRPr="00AD4E92">
        <w:rPr>
          <w:rFonts w:ascii="Arial" w:hAnsi="Arial" w:cs="Arial"/>
          <w:sz w:val="20"/>
          <w:szCs w:val="20"/>
        </w:rPr>
        <w:t xml:space="preserve"> and global insurgency. Routledge.</w:t>
      </w:r>
    </w:p>
    <w:p w14:paraId="3C38AD78" w14:textId="464E448A" w:rsidR="00E71CCC" w:rsidRPr="000443BD" w:rsidRDefault="00E71CCC" w:rsidP="00F02CEF">
      <w:pPr>
        <w:pStyle w:val="PlainText"/>
        <w:jc w:val="both"/>
        <w:rPr>
          <w:rFonts w:ascii="Arial" w:hAnsi="Arial" w:cs="Arial"/>
          <w:sz w:val="20"/>
          <w:szCs w:val="20"/>
        </w:rPr>
      </w:pPr>
    </w:p>
    <w:sectPr w:rsidR="00E71CCC" w:rsidRPr="000443BD" w:rsidSect="00E71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AD5CFE"/>
    <w:multiLevelType w:val="hybridMultilevel"/>
    <w:tmpl w:val="7C44E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731CB1"/>
    <w:multiLevelType w:val="hybridMultilevel"/>
    <w:tmpl w:val="F0B61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3908238">
    <w:abstractNumId w:val="1"/>
  </w:num>
  <w:num w:numId="2" w16cid:durableId="1024749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CCC"/>
    <w:rsid w:val="000443BD"/>
    <w:rsid w:val="001C3F0D"/>
    <w:rsid w:val="003B7A1C"/>
    <w:rsid w:val="00656C6B"/>
    <w:rsid w:val="008E0A9E"/>
    <w:rsid w:val="00991D6E"/>
    <w:rsid w:val="00B8692A"/>
    <w:rsid w:val="00CD1C05"/>
    <w:rsid w:val="00D3795B"/>
    <w:rsid w:val="00DB42A4"/>
    <w:rsid w:val="00E71CCC"/>
    <w:rsid w:val="00F02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28C47"/>
  <w15:chartTrackingRefBased/>
  <w15:docId w15:val="{8685066F-2A38-4E78-A658-FDBE0AD11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F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E71CCC"/>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E71CCC"/>
    <w:rPr>
      <w:rFonts w:ascii="Calibri" w:hAnsi="Calibri"/>
      <w:szCs w:val="21"/>
    </w:rPr>
  </w:style>
  <w:style w:type="paragraph" w:customStyle="1" w:styleId="Default">
    <w:name w:val="Default"/>
    <w:rsid w:val="00E71CCC"/>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E71C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E71CCC"/>
    <w:pPr>
      <w:ind w:left="720"/>
      <w:contextualSpacing/>
    </w:pPr>
  </w:style>
  <w:style w:type="character" w:customStyle="1" w:styleId="cf01">
    <w:name w:val="cf01"/>
    <w:basedOn w:val="DefaultParagraphFont"/>
    <w:rsid w:val="00656C6B"/>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5276</Words>
  <Characters>30079</Characters>
  <Application>Microsoft Office Word</Application>
  <DocSecurity>0</DocSecurity>
  <Lines>250</Lines>
  <Paragraphs>70</Paragraphs>
  <ScaleCrop>false</ScaleCrop>
  <Company>South Wales Police</Company>
  <LinksUpToDate>false</LinksUpToDate>
  <CharactersWithSpaces>35285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Humphreys,Anthony swp8329</dc:creator>
  <cp:keywords/>
  <dc:description/>
  <cp:lastModifiedBy>Humphreys,Anthony swp8329</cp:lastModifiedBy>
  <cp:revision>12</cp:revision>
  <dcterms:created xsi:type="dcterms:W3CDTF">2024-03-04T23:07:00Z</dcterms:created>
  <dcterms:modified xsi:type="dcterms:W3CDTF">2024-04-08T18:03:00Z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2024-03-04T23:11:23Z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f75ce4a5-2b7e-499a-b81a-c126461c12d6</vt:lpwstr>
  </property>
  <property fmtid="{D5CDD505-2E9C-101B-9397-08002B2CF9AE}" pid="8" name="MSIP_Label_66cf8fe5-b7b7-4df7-b38d-1c61ac2f6639_ContentBits">
    <vt:lpwstr>0</vt:lpwstr>
  </property>
</Properties>
</file>