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D6704B"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7E6EFC9"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 xml:space="preserve">Module </w:t>
      </w:r>
      <w:r w:rsidR="00332B7E" w:rsidRPr="00CD33A8">
        <w:rPr>
          <w:rFonts w:ascii="Arial" w:hAnsi="Arial" w:cs="Arial"/>
          <w:b/>
          <w:bCs/>
          <w:sz w:val="28"/>
          <w:szCs w:val="28"/>
          <w:lang w:val="nl-NL"/>
        </w:rPr>
        <w:t>name</w:t>
      </w:r>
      <w:r w:rsidR="00332B7E" w:rsidRPr="00BA0D49">
        <w:rPr>
          <w:rFonts w:ascii="Arial" w:hAnsi="Arial" w:cs="Arial"/>
          <w:sz w:val="28"/>
          <w:szCs w:val="28"/>
        </w:rPr>
        <w:t xml:space="preserve">: </w:t>
      </w:r>
      <w:r w:rsidR="00BA0D49" w:rsidRPr="00BA0D49">
        <w:rPr>
          <w:rFonts w:ascii="Arial" w:hAnsi="Arial" w:cs="Arial"/>
          <w:sz w:val="28"/>
          <w:szCs w:val="28"/>
        </w:rPr>
        <w:t>introduction</w:t>
      </w:r>
      <w:r w:rsidR="00452638" w:rsidRPr="00BA0D49">
        <w:rPr>
          <w:rFonts w:ascii="Arial" w:hAnsi="Arial" w:cs="Arial"/>
          <w:sz w:val="28"/>
          <w:szCs w:val="28"/>
        </w:rPr>
        <w:t xml:space="preserve"> independent</w:t>
      </w:r>
      <w:r w:rsidR="00312A83" w:rsidRPr="00BA0D49">
        <w:rPr>
          <w:rFonts w:ascii="Arial" w:hAnsi="Arial" w:cs="Arial"/>
          <w:sz w:val="28"/>
          <w:szCs w:val="28"/>
        </w:rPr>
        <w:t xml:space="preserve"> </w:t>
      </w:r>
      <w:r w:rsidR="00AD0A70" w:rsidRPr="00BA0D49">
        <w:rPr>
          <w:rFonts w:ascii="Arial" w:hAnsi="Arial" w:cs="Arial"/>
          <w:sz w:val="28"/>
          <w:szCs w:val="28"/>
        </w:rPr>
        <w:t>research</w:t>
      </w:r>
      <w:r w:rsidR="00312A83" w:rsidRPr="00BA0D49">
        <w:rPr>
          <w:rFonts w:ascii="Arial" w:hAnsi="Arial" w:cs="Arial"/>
          <w:sz w:val="28"/>
          <w:szCs w:val="28"/>
        </w:rPr>
        <w:t xml:space="preserve"> </w:t>
      </w:r>
      <w:r w:rsidR="00AD0A70" w:rsidRPr="00BA0D49">
        <w:rPr>
          <w:rFonts w:ascii="Arial" w:hAnsi="Arial" w:cs="Arial"/>
          <w:sz w:val="28"/>
          <w:szCs w:val="28"/>
        </w:rPr>
        <w:t>skills</w:t>
      </w:r>
      <w:r w:rsidR="00312A83">
        <w:rPr>
          <w:rFonts w:ascii="Arial" w:hAnsi="Arial" w:cs="Arial"/>
          <w:sz w:val="28"/>
          <w:szCs w:val="28"/>
          <w:lang w:val="nl-NL"/>
        </w:rPr>
        <w:t xml:space="preserve"> </w:t>
      </w:r>
    </w:p>
    <w:p w14:paraId="537571AF" w14:textId="00E62BD8"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B972F7">
        <w:rPr>
          <w:rFonts w:ascii="Arial" w:hAnsi="Arial" w:cs="Arial"/>
          <w:sz w:val="28"/>
          <w:szCs w:val="28"/>
        </w:rPr>
        <w:t xml:space="preserve"> bmhp5015</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79AB5B66"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8313C">
        <w:rPr>
          <w:rFonts w:ascii="Arial" w:hAnsi="Arial" w:cs="Arial"/>
          <w:sz w:val="28"/>
          <w:szCs w:val="28"/>
          <w:lang w:val="nl-NL"/>
        </w:rPr>
        <w:t xml:space="preserve"> Eugenio Ananias </w:t>
      </w:r>
    </w:p>
    <w:p w14:paraId="39AA4413" w14:textId="63A81270"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32B7E">
        <w:rPr>
          <w:rFonts w:ascii="Arial" w:hAnsi="Arial" w:cs="Arial"/>
          <w:sz w:val="28"/>
          <w:szCs w:val="28"/>
          <w:lang w:val="nl-NL"/>
        </w:rPr>
        <w:t>2308808</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518984EB" w:rsidR="00074402"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Word count</w:t>
      </w:r>
      <w:r w:rsidR="00074402" w:rsidRPr="00CD33A8">
        <w:rPr>
          <w:rFonts w:ascii="Arial" w:hAnsi="Arial" w:cs="Arial"/>
          <w:sz w:val="28"/>
          <w:szCs w:val="28"/>
        </w:rPr>
        <w:t>:</w:t>
      </w:r>
      <w:r w:rsidR="00B8688D">
        <w:rPr>
          <w:rFonts w:ascii="Arial" w:hAnsi="Arial" w:cs="Arial"/>
          <w:sz w:val="28"/>
          <w:szCs w:val="28"/>
        </w:rPr>
        <w:t xml:space="preserve"> 3</w:t>
      </w:r>
      <w:r w:rsidR="00095020">
        <w:rPr>
          <w:rFonts w:ascii="Arial" w:hAnsi="Arial" w:cs="Arial"/>
          <w:sz w:val="28"/>
          <w:szCs w:val="28"/>
        </w:rPr>
        <w:t>,300</w:t>
      </w:r>
    </w:p>
    <w:p w14:paraId="1BDC3571" w14:textId="77777777" w:rsidR="0022463E" w:rsidRDefault="0022463E" w:rsidP="00CD33A8">
      <w:pPr>
        <w:tabs>
          <w:tab w:val="left" w:pos="6540"/>
        </w:tabs>
        <w:spacing w:line="360" w:lineRule="auto"/>
        <w:rPr>
          <w:rFonts w:ascii="Arial" w:hAnsi="Arial" w:cs="Arial"/>
          <w:sz w:val="28"/>
          <w:szCs w:val="28"/>
        </w:rPr>
      </w:pPr>
    </w:p>
    <w:p w14:paraId="5AAC700E" w14:textId="77777777" w:rsidR="0022463E" w:rsidRDefault="0022463E" w:rsidP="00CD33A8">
      <w:pPr>
        <w:tabs>
          <w:tab w:val="left" w:pos="6540"/>
        </w:tabs>
        <w:spacing w:line="360" w:lineRule="auto"/>
        <w:rPr>
          <w:rFonts w:ascii="Arial" w:hAnsi="Arial" w:cs="Arial"/>
          <w:sz w:val="28"/>
          <w:szCs w:val="28"/>
        </w:rPr>
      </w:pPr>
    </w:p>
    <w:p w14:paraId="3B69C40F" w14:textId="77777777" w:rsidR="0022463E" w:rsidRDefault="0022463E" w:rsidP="00CD33A8">
      <w:pPr>
        <w:tabs>
          <w:tab w:val="left" w:pos="6540"/>
        </w:tabs>
        <w:spacing w:line="360" w:lineRule="auto"/>
        <w:rPr>
          <w:rFonts w:ascii="Arial" w:hAnsi="Arial" w:cs="Arial"/>
          <w:sz w:val="28"/>
          <w:szCs w:val="28"/>
        </w:rPr>
      </w:pPr>
    </w:p>
    <w:p w14:paraId="233176C4" w14:textId="77777777" w:rsidR="0022463E" w:rsidRDefault="0022463E" w:rsidP="00CD33A8">
      <w:pPr>
        <w:tabs>
          <w:tab w:val="left" w:pos="6540"/>
        </w:tabs>
        <w:spacing w:line="360" w:lineRule="auto"/>
        <w:rPr>
          <w:rFonts w:ascii="Arial" w:hAnsi="Arial" w:cs="Arial"/>
          <w:sz w:val="28"/>
          <w:szCs w:val="28"/>
        </w:rPr>
      </w:pPr>
    </w:p>
    <w:p w14:paraId="6B8A2CCA" w14:textId="77777777" w:rsidR="0022463E" w:rsidRDefault="0022463E" w:rsidP="00CD33A8">
      <w:pPr>
        <w:tabs>
          <w:tab w:val="left" w:pos="6540"/>
        </w:tabs>
        <w:spacing w:line="360" w:lineRule="auto"/>
        <w:rPr>
          <w:rFonts w:ascii="Arial" w:hAnsi="Arial" w:cs="Arial"/>
          <w:sz w:val="28"/>
          <w:szCs w:val="28"/>
        </w:rPr>
      </w:pPr>
    </w:p>
    <w:p w14:paraId="2A45FDEF" w14:textId="77777777" w:rsidR="0022463E" w:rsidRDefault="0022463E" w:rsidP="00CD33A8">
      <w:pPr>
        <w:tabs>
          <w:tab w:val="left" w:pos="6540"/>
        </w:tabs>
        <w:spacing w:line="360" w:lineRule="auto"/>
        <w:rPr>
          <w:rFonts w:ascii="Arial" w:hAnsi="Arial" w:cs="Arial"/>
          <w:sz w:val="28"/>
          <w:szCs w:val="28"/>
        </w:rPr>
      </w:pPr>
    </w:p>
    <w:p w14:paraId="511AFCFA" w14:textId="77777777" w:rsidR="0022463E" w:rsidRDefault="0022463E" w:rsidP="00CD33A8">
      <w:pPr>
        <w:tabs>
          <w:tab w:val="left" w:pos="6540"/>
        </w:tabs>
        <w:spacing w:line="360" w:lineRule="auto"/>
        <w:rPr>
          <w:rFonts w:ascii="Arial" w:hAnsi="Arial" w:cs="Arial"/>
          <w:sz w:val="28"/>
          <w:szCs w:val="28"/>
        </w:rPr>
      </w:pPr>
    </w:p>
    <w:p w14:paraId="146EDB37" w14:textId="77777777" w:rsidR="0022463E" w:rsidRDefault="0022463E" w:rsidP="00CD33A8">
      <w:pPr>
        <w:tabs>
          <w:tab w:val="left" w:pos="6540"/>
        </w:tabs>
        <w:spacing w:line="360" w:lineRule="auto"/>
        <w:rPr>
          <w:rFonts w:ascii="Arial" w:hAnsi="Arial" w:cs="Arial"/>
          <w:sz w:val="28"/>
          <w:szCs w:val="28"/>
        </w:rPr>
      </w:pPr>
    </w:p>
    <w:p w14:paraId="5444852B" w14:textId="77777777" w:rsidR="0022463E" w:rsidRDefault="0022463E" w:rsidP="00CD33A8">
      <w:pPr>
        <w:tabs>
          <w:tab w:val="left" w:pos="6540"/>
        </w:tabs>
        <w:spacing w:line="360" w:lineRule="auto"/>
        <w:rPr>
          <w:rFonts w:ascii="Arial" w:hAnsi="Arial" w:cs="Arial"/>
          <w:sz w:val="28"/>
          <w:szCs w:val="28"/>
        </w:rPr>
      </w:pPr>
    </w:p>
    <w:p w14:paraId="49F26485" w14:textId="77777777" w:rsidR="0022463E" w:rsidRDefault="0022463E" w:rsidP="00CD33A8">
      <w:pPr>
        <w:tabs>
          <w:tab w:val="left" w:pos="6540"/>
        </w:tabs>
        <w:spacing w:line="360" w:lineRule="auto"/>
        <w:rPr>
          <w:rFonts w:ascii="Arial" w:hAnsi="Arial" w:cs="Arial"/>
          <w:sz w:val="28"/>
          <w:szCs w:val="28"/>
        </w:rPr>
      </w:pPr>
    </w:p>
    <w:p w14:paraId="74B2E679" w14:textId="77777777" w:rsidR="0022463E" w:rsidRDefault="0022463E" w:rsidP="00CD33A8">
      <w:pPr>
        <w:tabs>
          <w:tab w:val="left" w:pos="6540"/>
        </w:tabs>
        <w:spacing w:line="360" w:lineRule="auto"/>
        <w:rPr>
          <w:rFonts w:ascii="Arial" w:hAnsi="Arial" w:cs="Arial"/>
          <w:sz w:val="28"/>
          <w:szCs w:val="28"/>
        </w:rPr>
      </w:pPr>
    </w:p>
    <w:p w14:paraId="62626A43" w14:textId="77777777" w:rsidR="0022463E" w:rsidRDefault="0022463E" w:rsidP="00CD33A8">
      <w:pPr>
        <w:tabs>
          <w:tab w:val="left" w:pos="6540"/>
        </w:tabs>
        <w:spacing w:line="360" w:lineRule="auto"/>
        <w:rPr>
          <w:rFonts w:ascii="Arial" w:hAnsi="Arial" w:cs="Arial"/>
          <w:sz w:val="28"/>
          <w:szCs w:val="28"/>
        </w:rPr>
      </w:pPr>
    </w:p>
    <w:p w14:paraId="56C9589D" w14:textId="18F91F40" w:rsidR="0022463E" w:rsidRPr="0022463E" w:rsidRDefault="00C8478A" w:rsidP="0022463E">
      <w:pPr>
        <w:tabs>
          <w:tab w:val="left" w:pos="6540"/>
        </w:tabs>
        <w:spacing w:line="360" w:lineRule="auto"/>
        <w:jc w:val="center"/>
        <w:rPr>
          <w:rFonts w:ascii="Arial" w:hAnsi="Arial" w:cs="Arial"/>
          <w:iCs/>
          <w:sz w:val="36"/>
          <w:szCs w:val="36"/>
        </w:rPr>
      </w:pPr>
      <w:r>
        <w:rPr>
          <w:rFonts w:ascii="Arial" w:hAnsi="Arial" w:cs="Arial"/>
          <w:iCs/>
          <w:sz w:val="36"/>
          <w:szCs w:val="36"/>
        </w:rPr>
        <w:t>Project title</w:t>
      </w:r>
    </w:p>
    <w:p w14:paraId="69C56E47" w14:textId="77777777" w:rsidR="0022463E" w:rsidRPr="00212378" w:rsidRDefault="0022463E" w:rsidP="00CD33A8">
      <w:pPr>
        <w:tabs>
          <w:tab w:val="left" w:pos="6540"/>
        </w:tabs>
        <w:spacing w:line="360" w:lineRule="auto"/>
        <w:rPr>
          <w:rFonts w:ascii="Arial" w:hAnsi="Arial" w:cs="Arial"/>
          <w:sz w:val="28"/>
          <w:szCs w:val="28"/>
          <w:u w:val="single"/>
        </w:rPr>
      </w:pPr>
    </w:p>
    <w:p w14:paraId="52887C16" w14:textId="77777777" w:rsidR="0022463E" w:rsidRPr="00CD33A8" w:rsidRDefault="0022463E" w:rsidP="00CD33A8">
      <w:pPr>
        <w:tabs>
          <w:tab w:val="left" w:pos="6540"/>
        </w:tabs>
        <w:spacing w:line="360" w:lineRule="auto"/>
        <w:rPr>
          <w:rFonts w:ascii="Arial" w:hAnsi="Arial" w:cs="Arial"/>
          <w:sz w:val="28"/>
          <w:szCs w:val="28"/>
        </w:rPr>
      </w:pPr>
    </w:p>
    <w:p w14:paraId="39D08584" w14:textId="2716B6DB" w:rsidR="00074402" w:rsidRPr="00E514E2" w:rsidRDefault="00E514E2" w:rsidP="00CD33A8">
      <w:pPr>
        <w:tabs>
          <w:tab w:val="left" w:pos="6540"/>
        </w:tabs>
        <w:spacing w:line="360" w:lineRule="auto"/>
        <w:rPr>
          <w:rFonts w:asciiTheme="minorBidi" w:hAnsiTheme="minorBidi"/>
          <w:sz w:val="32"/>
          <w:szCs w:val="32"/>
          <w:u w:val="single"/>
        </w:rPr>
      </w:pPr>
      <w:r w:rsidRPr="00E514E2">
        <w:rPr>
          <w:rStyle w:val="normaltextrun"/>
          <w:rFonts w:ascii="Segoe UI" w:hAnsi="Segoe UI" w:cs="Segoe UI"/>
          <w:b/>
          <w:bCs/>
          <w:color w:val="000000"/>
          <w:sz w:val="32"/>
          <w:szCs w:val="32"/>
          <w:u w:val="single"/>
        </w:rPr>
        <w:t>The efficacy and implementation of digital tools for connecting patients with</w:t>
      </w:r>
      <w:r w:rsidRPr="00E514E2">
        <w:rPr>
          <w:rStyle w:val="apple-converted-space"/>
          <w:rFonts w:ascii="Segoe UI" w:hAnsi="Segoe UI" w:cs="Segoe UI"/>
          <w:b/>
          <w:bCs/>
          <w:color w:val="000000"/>
          <w:sz w:val="32"/>
          <w:szCs w:val="32"/>
          <w:u w:val="single"/>
        </w:rPr>
        <w:t> </w:t>
      </w:r>
      <w:r w:rsidRPr="00E514E2">
        <w:rPr>
          <w:rStyle w:val="normaltextrun"/>
          <w:rFonts w:ascii="Segoe UI" w:hAnsi="Segoe UI" w:cs="Segoe UI"/>
          <w:b/>
          <w:bCs/>
          <w:color w:val="000000"/>
          <w:sz w:val="32"/>
          <w:szCs w:val="32"/>
          <w:u w:val="single"/>
        </w:rPr>
        <w:t>non</w:t>
      </w:r>
      <w:r w:rsidRPr="00E514E2">
        <w:rPr>
          <w:rStyle w:val="nobreakhyphenblob"/>
          <w:rFonts w:ascii="Segoe UI" w:hAnsi="Segoe UI" w:cs="Segoe UI"/>
          <w:color w:val="000000"/>
          <w:sz w:val="32"/>
          <w:szCs w:val="32"/>
          <w:u w:val="single"/>
        </w:rPr>
        <w:noBreakHyphen/>
      </w:r>
      <w:r w:rsidRPr="00E514E2">
        <w:rPr>
          <w:rStyle w:val="normaltextrun"/>
          <w:rFonts w:ascii="Segoe UI" w:hAnsi="Segoe UI" w:cs="Segoe UI"/>
          <w:b/>
          <w:bCs/>
          <w:color w:val="000000"/>
          <w:sz w:val="32"/>
          <w:szCs w:val="32"/>
          <w:u w:val="single"/>
        </w:rPr>
        <w:t>clinical</w:t>
      </w:r>
      <w:r w:rsidRPr="00E514E2">
        <w:rPr>
          <w:rStyle w:val="apple-converted-space"/>
          <w:rFonts w:ascii="Segoe UI" w:hAnsi="Segoe UI" w:cs="Segoe UI"/>
          <w:b/>
          <w:bCs/>
          <w:color w:val="000000"/>
          <w:sz w:val="32"/>
          <w:szCs w:val="32"/>
          <w:u w:val="single"/>
        </w:rPr>
        <w:t> </w:t>
      </w:r>
      <w:r w:rsidRPr="00E514E2">
        <w:rPr>
          <w:rStyle w:val="normaltextrun"/>
          <w:rFonts w:ascii="Segoe UI" w:hAnsi="Segoe UI" w:cs="Segoe UI"/>
          <w:b/>
          <w:bCs/>
          <w:color w:val="000000"/>
          <w:sz w:val="32"/>
          <w:szCs w:val="32"/>
          <w:u w:val="single"/>
        </w:rPr>
        <w:t>support in the UK. </w:t>
      </w:r>
      <w:r w:rsidRPr="00E514E2">
        <w:rPr>
          <w:rStyle w:val="eop"/>
          <w:rFonts w:ascii="Segoe UI" w:hAnsi="Segoe UI" w:cs="Segoe UI"/>
          <w:color w:val="000000"/>
          <w:sz w:val="32"/>
          <w:szCs w:val="32"/>
          <w:u w:val="single"/>
        </w:rPr>
        <w:t> </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2FDC7F9" w14:textId="77777777" w:rsidR="001D510F" w:rsidRDefault="00CD33A8" w:rsidP="00E620E7">
      <w:pPr>
        <w:pStyle w:val="Heading1"/>
        <w:rPr>
          <w:rStyle w:val="Heading1Char"/>
          <w:color w:val="000000"/>
        </w:rPr>
      </w:pPr>
      <w:r w:rsidRPr="00F13A75">
        <w:rPr>
          <w:u w:val="single"/>
        </w:rPr>
        <w:lastRenderedPageBreak/>
        <w:t>Abstract</w:t>
      </w:r>
      <w:r w:rsidR="001D510F" w:rsidRPr="001D510F">
        <w:rPr>
          <w:rStyle w:val="Heading1Char"/>
          <w:color w:val="000000"/>
        </w:rPr>
        <w:t xml:space="preserve"> </w:t>
      </w:r>
    </w:p>
    <w:p w14:paraId="3914D9AE" w14:textId="7909AB4E" w:rsidR="00CD33A8" w:rsidRPr="00F13A75" w:rsidRDefault="001D510F" w:rsidP="00E620E7">
      <w:pPr>
        <w:pStyle w:val="Heading1"/>
        <w:rPr>
          <w:u w:val="single"/>
        </w:rPr>
      </w:pPr>
      <w:r>
        <w:rPr>
          <w:rStyle w:val="normaltextrun"/>
          <w:color w:val="000000"/>
        </w:rPr>
        <w:t>Background: Digital tools are increasingly used within the UK health system to support social prescribing and connect patients to non-clinical services addressing social determinants of health. Aim: This scoping review aims to explore the efficacy and implementation of digital tools used to connect patients with non-clinical support services in the UK. Methods: A secondary scoping review was conducted using PubMed and ProQuest databases. Articles published from 2016 onwards, based in the UK, and focusing on digital tools supporting non-clinical or social prescribing interventions were included. A thematic analysis was undertaken. Results: Three UK-based peer-reviewed studies were included. Two overarching themes</w:t>
      </w:r>
      <w:r>
        <w:rPr>
          <w:rStyle w:val="apple-converted-space"/>
          <w:color w:val="000000"/>
        </w:rPr>
        <w:t> </w:t>
      </w:r>
      <w:r>
        <w:rPr>
          <w:rStyle w:val="normaltextrun"/>
          <w:color w:val="000000"/>
        </w:rPr>
        <w:t>emerged: (1) Improved access and care coordination, and (2) Implementation challenges and digital exclusion. Evidence suggests digital tools can enhance referrals and system efficiency, though concerns</w:t>
      </w:r>
      <w:r>
        <w:rPr>
          <w:rStyle w:val="apple-converted-space"/>
          <w:color w:val="000000"/>
        </w:rPr>
        <w:t> </w:t>
      </w:r>
      <w:r>
        <w:rPr>
          <w:rStyle w:val="normaltextrun"/>
          <w:color w:val="000000"/>
        </w:rPr>
        <w:t>remain</w:t>
      </w:r>
      <w:r>
        <w:rPr>
          <w:rStyle w:val="apple-converted-space"/>
          <w:color w:val="000000"/>
        </w:rPr>
        <w:t> </w:t>
      </w:r>
      <w:r>
        <w:rPr>
          <w:rStyle w:val="normaltextrun"/>
          <w:color w:val="000000"/>
        </w:rPr>
        <w:t>regarding</w:t>
      </w:r>
      <w:r>
        <w:rPr>
          <w:rStyle w:val="apple-converted-space"/>
          <w:color w:val="000000"/>
        </w:rPr>
        <w:t> </w:t>
      </w:r>
      <w:r>
        <w:rPr>
          <w:rStyle w:val="normaltextrun"/>
          <w:color w:val="000000"/>
        </w:rPr>
        <w:t>equity, literacy, and evaluation quality. Conclusion: Digital tools show promise in supporting non-clinical care pathways, but further robust evaluation is needed</w:t>
      </w:r>
      <w:r>
        <w:rPr>
          <w:rStyle w:val="apple-converted-space"/>
          <w:color w:val="000000"/>
        </w:rPr>
        <w:t> </w:t>
      </w:r>
      <w:r>
        <w:rPr>
          <w:rStyle w:val="normaltextrun"/>
          <w:color w:val="000000"/>
        </w:rPr>
        <w:t>to</w:t>
      </w:r>
      <w:r>
        <w:rPr>
          <w:rStyle w:val="apple-converted-space"/>
          <w:color w:val="000000"/>
        </w:rPr>
        <w:t> </w:t>
      </w:r>
      <w:r>
        <w:rPr>
          <w:rStyle w:val="normaltextrun"/>
          <w:color w:val="000000"/>
        </w:rPr>
        <w:t>ensure</w:t>
      </w:r>
      <w:r>
        <w:rPr>
          <w:rStyle w:val="apple-converted-space"/>
          <w:color w:val="000000"/>
        </w:rPr>
        <w:t> </w:t>
      </w:r>
      <w:r>
        <w:rPr>
          <w:rStyle w:val="normaltextrun"/>
          <w:color w:val="000000"/>
        </w:rPr>
        <w:t>equitable</w:t>
      </w:r>
      <w:r>
        <w:rPr>
          <w:rStyle w:val="apple-converted-space"/>
          <w:color w:val="000000"/>
        </w:rPr>
        <w:t> </w:t>
      </w:r>
      <w:r>
        <w:rPr>
          <w:rStyle w:val="normaltextrun"/>
          <w:color w:val="000000"/>
        </w:rPr>
        <w:t>implementation and measurable health outcomes.</w:t>
      </w:r>
      <w:r>
        <w:rPr>
          <w:rStyle w:val="eop"/>
          <w:color w:val="000000"/>
        </w:rPr>
        <w:t> </w:t>
      </w:r>
    </w:p>
    <w:p w14:paraId="46C3E29E" w14:textId="77777777" w:rsidR="00CD33A8" w:rsidRPr="00CD33A8" w:rsidRDefault="00CD33A8" w:rsidP="00CD33A8">
      <w:pPr>
        <w:rPr>
          <w:rFonts w:ascii="Arial" w:hAnsi="Arial" w:cs="Arial"/>
          <w:sz w:val="22"/>
        </w:rPr>
      </w:pPr>
    </w:p>
    <w:p w14:paraId="13775A05" w14:textId="77777777" w:rsidR="009C2D56" w:rsidRDefault="009C2D56" w:rsidP="009C2D56"/>
    <w:p w14:paraId="7641A993" w14:textId="77777777" w:rsidR="00D04B2E" w:rsidRDefault="00D04B2E" w:rsidP="00D04B2E">
      <w:pPr>
        <w:pStyle w:val="paragraph"/>
        <w:spacing w:before="0" w:after="0"/>
        <w:textAlignment w:val="baseline"/>
        <w:rPr>
          <w:rFonts w:ascii="Segoe UI" w:hAnsi="Segoe UI" w:cs="Segoe UI"/>
          <w:sz w:val="18"/>
          <w:szCs w:val="18"/>
        </w:rPr>
      </w:pPr>
      <w:r>
        <w:rPr>
          <w:rStyle w:val="normaltextrun"/>
          <w:rFonts w:ascii="Arial" w:hAnsi="Arial" w:cs="Arial"/>
          <w:b/>
          <w:bCs/>
          <w:color w:val="000000"/>
        </w:rPr>
        <w:lastRenderedPageBreak/>
        <w:t>Background:</w:t>
      </w:r>
      <w:r>
        <w:rPr>
          <w:rStyle w:val="normaltextrun"/>
          <w:rFonts w:ascii="Arial" w:hAnsi="Arial" w:cs="Arial"/>
          <w:color w:val="000000"/>
        </w:rPr>
        <w:t> Digital tools are increasingly used within the UK health system to support social prescribing and connect patients to</w:t>
      </w:r>
      <w:r>
        <w:rPr>
          <w:rStyle w:val="apple-converted-space"/>
          <w:rFonts w:ascii="Arial" w:hAnsi="Arial" w:cs="Arial"/>
          <w:color w:val="000000"/>
        </w:rPr>
        <w:t> </w:t>
      </w:r>
      <w:r>
        <w:rPr>
          <w:rStyle w:val="normaltextrun"/>
          <w:rFonts w:ascii="Arial" w:hAnsi="Arial" w:cs="Arial"/>
          <w:color w:val="000000"/>
        </w:rPr>
        <w:t>non</w:t>
      </w:r>
      <w:r>
        <w:rPr>
          <w:rStyle w:val="nobreakhyphenblob"/>
          <w:rFonts w:ascii="Arial" w:hAnsi="Arial" w:cs="Arial"/>
          <w:color w:val="000000"/>
        </w:rPr>
        <w:noBreakHyphen/>
      </w:r>
      <w:r>
        <w:rPr>
          <w:rStyle w:val="normaltextrun"/>
          <w:rFonts w:ascii="Arial" w:hAnsi="Arial" w:cs="Arial"/>
          <w:color w:val="000000"/>
        </w:rPr>
        <w:t>clinical</w:t>
      </w:r>
      <w:r>
        <w:rPr>
          <w:rStyle w:val="apple-converted-space"/>
          <w:rFonts w:ascii="Arial" w:hAnsi="Arial" w:cs="Arial"/>
          <w:color w:val="000000"/>
        </w:rPr>
        <w:t> </w:t>
      </w:r>
      <w:r>
        <w:rPr>
          <w:rStyle w:val="normaltextrun"/>
          <w:rFonts w:ascii="Arial" w:hAnsi="Arial" w:cs="Arial"/>
          <w:color w:val="000000"/>
        </w:rPr>
        <w:t>services addressing social determinants of health.</w:t>
      </w:r>
      <w:r>
        <w:rPr>
          <w:rStyle w:val="scxw250372743"/>
          <w:rFonts w:ascii="Arial" w:hAnsi="Arial" w:cs="Arial"/>
          <w:color w:val="000000"/>
        </w:rPr>
        <w:t> </w:t>
      </w:r>
      <w:r>
        <w:rPr>
          <w:rFonts w:ascii="Arial" w:hAnsi="Arial" w:cs="Arial"/>
          <w:color w:val="000000"/>
        </w:rPr>
        <w:br/>
      </w:r>
      <w:r>
        <w:rPr>
          <w:rStyle w:val="normaltextrun"/>
          <w:rFonts w:ascii="Arial" w:hAnsi="Arial" w:cs="Arial"/>
          <w:b/>
          <w:bCs/>
          <w:color w:val="000000"/>
        </w:rPr>
        <w:t>Aim:</w:t>
      </w:r>
      <w:r>
        <w:rPr>
          <w:rStyle w:val="normaltextrun"/>
          <w:rFonts w:ascii="Arial" w:hAnsi="Arial" w:cs="Arial"/>
          <w:color w:val="000000"/>
        </w:rPr>
        <w:t> This scoping review aims to explore the efficacy and implementation of digital tools used to connect patients with</w:t>
      </w:r>
      <w:r>
        <w:rPr>
          <w:rStyle w:val="apple-converted-space"/>
          <w:rFonts w:ascii="Arial" w:hAnsi="Arial" w:cs="Arial"/>
          <w:color w:val="000000"/>
        </w:rPr>
        <w:t> </w:t>
      </w:r>
      <w:r>
        <w:rPr>
          <w:rStyle w:val="normaltextrun"/>
          <w:rFonts w:ascii="Arial" w:hAnsi="Arial" w:cs="Arial"/>
          <w:color w:val="000000"/>
        </w:rPr>
        <w:t>non</w:t>
      </w:r>
      <w:r>
        <w:rPr>
          <w:rStyle w:val="nobreakhyphenblob"/>
          <w:rFonts w:ascii="Arial" w:hAnsi="Arial" w:cs="Arial"/>
          <w:color w:val="000000"/>
        </w:rPr>
        <w:noBreakHyphen/>
      </w:r>
      <w:r>
        <w:rPr>
          <w:rStyle w:val="normaltextrun"/>
          <w:rFonts w:ascii="Arial" w:hAnsi="Arial" w:cs="Arial"/>
          <w:color w:val="000000"/>
        </w:rPr>
        <w:t>clinical</w:t>
      </w:r>
      <w:r>
        <w:rPr>
          <w:rStyle w:val="apple-converted-space"/>
          <w:rFonts w:ascii="Arial" w:hAnsi="Arial" w:cs="Arial"/>
          <w:color w:val="000000"/>
        </w:rPr>
        <w:t> </w:t>
      </w:r>
      <w:r>
        <w:rPr>
          <w:rStyle w:val="normaltextrun"/>
          <w:rFonts w:ascii="Arial" w:hAnsi="Arial" w:cs="Arial"/>
          <w:color w:val="000000"/>
        </w:rPr>
        <w:t>support services in the UK.</w:t>
      </w:r>
      <w:r>
        <w:rPr>
          <w:rStyle w:val="scxw250372743"/>
          <w:rFonts w:ascii="Arial" w:hAnsi="Arial" w:cs="Arial"/>
          <w:color w:val="000000"/>
        </w:rPr>
        <w:t> </w:t>
      </w:r>
      <w:r>
        <w:rPr>
          <w:rFonts w:ascii="Arial" w:hAnsi="Arial" w:cs="Arial"/>
          <w:color w:val="000000"/>
        </w:rPr>
        <w:br/>
      </w:r>
      <w:r>
        <w:rPr>
          <w:rStyle w:val="normaltextrun"/>
          <w:rFonts w:ascii="Arial" w:hAnsi="Arial" w:cs="Arial"/>
          <w:b/>
          <w:bCs/>
          <w:color w:val="000000"/>
        </w:rPr>
        <w:t>Methods:</w:t>
      </w:r>
      <w:r>
        <w:rPr>
          <w:rStyle w:val="normaltextrun"/>
          <w:rFonts w:ascii="Arial" w:hAnsi="Arial" w:cs="Arial"/>
          <w:color w:val="000000"/>
        </w:rPr>
        <w:t> A secondary scoping review was conducted using PubMed and ProQuest databases. Articles published from 2016 onwards, based in the UK, and focusing on digital tools supporting</w:t>
      </w:r>
      <w:r>
        <w:rPr>
          <w:rStyle w:val="apple-converted-space"/>
          <w:rFonts w:ascii="Arial" w:hAnsi="Arial" w:cs="Arial"/>
          <w:color w:val="000000"/>
        </w:rPr>
        <w:t> </w:t>
      </w:r>
      <w:r>
        <w:rPr>
          <w:rStyle w:val="normaltextrun"/>
          <w:rFonts w:ascii="Arial" w:hAnsi="Arial" w:cs="Arial"/>
          <w:color w:val="000000"/>
        </w:rPr>
        <w:t>non</w:t>
      </w:r>
      <w:r>
        <w:rPr>
          <w:rStyle w:val="nobreakhyphenblob"/>
          <w:rFonts w:ascii="Arial" w:hAnsi="Arial" w:cs="Arial"/>
          <w:color w:val="000000"/>
        </w:rPr>
        <w:noBreakHyphen/>
      </w:r>
      <w:r>
        <w:rPr>
          <w:rStyle w:val="normaltextrun"/>
          <w:rFonts w:ascii="Arial" w:hAnsi="Arial" w:cs="Arial"/>
          <w:color w:val="000000"/>
        </w:rPr>
        <w:t>clinical</w:t>
      </w:r>
      <w:r>
        <w:rPr>
          <w:rStyle w:val="apple-converted-space"/>
          <w:rFonts w:ascii="Arial" w:hAnsi="Arial" w:cs="Arial"/>
          <w:color w:val="000000"/>
        </w:rPr>
        <w:t> </w:t>
      </w:r>
      <w:r>
        <w:rPr>
          <w:rStyle w:val="normaltextrun"/>
          <w:rFonts w:ascii="Arial" w:hAnsi="Arial" w:cs="Arial"/>
          <w:color w:val="000000"/>
        </w:rPr>
        <w:t>or social prescribing interventions were included. A thematic analysis was undertaken.</w:t>
      </w:r>
      <w:r>
        <w:rPr>
          <w:rStyle w:val="scxw250372743"/>
          <w:rFonts w:ascii="Arial" w:hAnsi="Arial" w:cs="Arial"/>
          <w:color w:val="000000"/>
        </w:rPr>
        <w:t> </w:t>
      </w:r>
      <w:r>
        <w:rPr>
          <w:rFonts w:ascii="Arial" w:hAnsi="Arial" w:cs="Arial"/>
          <w:color w:val="000000"/>
        </w:rPr>
        <w:br/>
      </w:r>
      <w:r>
        <w:rPr>
          <w:rStyle w:val="normaltextrun"/>
          <w:rFonts w:ascii="Arial" w:hAnsi="Arial" w:cs="Arial"/>
          <w:b/>
          <w:bCs/>
          <w:color w:val="000000"/>
        </w:rPr>
        <w:t>Results:</w:t>
      </w:r>
      <w:r>
        <w:rPr>
          <w:rStyle w:val="normaltextrun"/>
          <w:rFonts w:ascii="Arial" w:hAnsi="Arial" w:cs="Arial"/>
          <w:color w:val="000000"/>
        </w:rPr>
        <w:t> Three UK-based</w:t>
      </w:r>
      <w:r>
        <w:rPr>
          <w:rStyle w:val="apple-converted-space"/>
          <w:rFonts w:ascii="Arial" w:hAnsi="Arial" w:cs="Arial"/>
          <w:color w:val="000000"/>
        </w:rPr>
        <w:t> </w:t>
      </w:r>
      <w:r>
        <w:rPr>
          <w:rStyle w:val="normaltextrun"/>
          <w:rFonts w:ascii="Arial" w:hAnsi="Arial" w:cs="Arial"/>
          <w:color w:val="000000"/>
        </w:rPr>
        <w:t>peer</w:t>
      </w:r>
      <w:r>
        <w:rPr>
          <w:rStyle w:val="nobreakhyphenblob"/>
          <w:rFonts w:ascii="Arial" w:hAnsi="Arial" w:cs="Arial"/>
          <w:color w:val="000000"/>
        </w:rPr>
        <w:noBreakHyphen/>
      </w:r>
      <w:r>
        <w:rPr>
          <w:rStyle w:val="normaltextrun"/>
          <w:rFonts w:ascii="Arial" w:hAnsi="Arial" w:cs="Arial"/>
          <w:color w:val="000000"/>
        </w:rPr>
        <w:t>reviewed</w:t>
      </w:r>
      <w:r>
        <w:rPr>
          <w:rStyle w:val="apple-converted-space"/>
          <w:rFonts w:ascii="Arial" w:hAnsi="Arial" w:cs="Arial"/>
          <w:color w:val="000000"/>
        </w:rPr>
        <w:t> </w:t>
      </w:r>
      <w:r>
        <w:rPr>
          <w:rStyle w:val="normaltextrun"/>
          <w:rFonts w:ascii="Arial" w:hAnsi="Arial" w:cs="Arial"/>
          <w:color w:val="000000"/>
        </w:rPr>
        <w:t>studies were included. Two overarching themes</w:t>
      </w:r>
      <w:r>
        <w:rPr>
          <w:rStyle w:val="apple-converted-space"/>
          <w:rFonts w:ascii="Arial" w:hAnsi="Arial" w:cs="Arial"/>
          <w:color w:val="000000"/>
        </w:rPr>
        <w:t> </w:t>
      </w:r>
      <w:r>
        <w:rPr>
          <w:rStyle w:val="normaltextrun"/>
          <w:rFonts w:ascii="Arial" w:hAnsi="Arial" w:cs="Arial"/>
          <w:color w:val="000000"/>
        </w:rPr>
        <w:t>emerged: </w:t>
      </w:r>
      <w:r>
        <w:rPr>
          <w:rStyle w:val="normaltextrun"/>
          <w:rFonts w:ascii="Arial" w:hAnsi="Arial" w:cs="Arial"/>
          <w:b/>
          <w:bCs/>
          <w:color w:val="000000"/>
        </w:rPr>
        <w:t>(1) Improved access and care coordination</w:t>
      </w:r>
      <w:r>
        <w:rPr>
          <w:rStyle w:val="normaltextrun"/>
          <w:rFonts w:ascii="Arial" w:hAnsi="Arial" w:cs="Arial"/>
          <w:color w:val="000000"/>
        </w:rPr>
        <w:t>, and </w:t>
      </w:r>
      <w:r>
        <w:rPr>
          <w:rStyle w:val="normaltextrun"/>
          <w:rFonts w:ascii="Arial" w:hAnsi="Arial" w:cs="Arial"/>
          <w:b/>
          <w:bCs/>
          <w:color w:val="000000"/>
        </w:rPr>
        <w:t>(2) Implementation challenges and digital exclusion</w:t>
      </w:r>
      <w:r>
        <w:rPr>
          <w:rStyle w:val="normaltextrun"/>
          <w:rFonts w:ascii="Arial" w:hAnsi="Arial" w:cs="Arial"/>
          <w:color w:val="000000"/>
        </w:rPr>
        <w:t>. Evidence suggests digital tools can enhance referrals and system efficiency, though concerns</w:t>
      </w:r>
      <w:r>
        <w:rPr>
          <w:rStyle w:val="apple-converted-space"/>
          <w:rFonts w:ascii="Arial" w:hAnsi="Arial" w:cs="Arial"/>
          <w:color w:val="000000"/>
        </w:rPr>
        <w:t> </w:t>
      </w:r>
      <w:r>
        <w:rPr>
          <w:rStyle w:val="normaltextrun"/>
          <w:rFonts w:ascii="Arial" w:hAnsi="Arial" w:cs="Arial"/>
          <w:color w:val="000000"/>
        </w:rPr>
        <w:t>remain</w:t>
      </w:r>
      <w:r>
        <w:rPr>
          <w:rStyle w:val="apple-converted-space"/>
          <w:rFonts w:ascii="Arial" w:hAnsi="Arial" w:cs="Arial"/>
          <w:color w:val="000000"/>
        </w:rPr>
        <w:t> </w:t>
      </w:r>
      <w:r>
        <w:rPr>
          <w:rStyle w:val="normaltextrun"/>
          <w:rFonts w:ascii="Arial" w:hAnsi="Arial" w:cs="Arial"/>
          <w:color w:val="000000"/>
        </w:rPr>
        <w:t>regarding</w:t>
      </w:r>
      <w:r>
        <w:rPr>
          <w:rStyle w:val="apple-converted-space"/>
          <w:rFonts w:ascii="Arial" w:hAnsi="Arial" w:cs="Arial"/>
          <w:color w:val="000000"/>
        </w:rPr>
        <w:t> </w:t>
      </w:r>
      <w:r>
        <w:rPr>
          <w:rStyle w:val="normaltextrun"/>
          <w:rFonts w:ascii="Arial" w:hAnsi="Arial" w:cs="Arial"/>
          <w:color w:val="000000"/>
        </w:rPr>
        <w:t>equity, literacy, and evaluation quality.</w:t>
      </w:r>
      <w:r>
        <w:rPr>
          <w:rStyle w:val="scxw250372743"/>
          <w:rFonts w:ascii="Arial" w:hAnsi="Arial" w:cs="Arial"/>
          <w:color w:val="000000"/>
        </w:rPr>
        <w:t> </w:t>
      </w:r>
      <w:r>
        <w:rPr>
          <w:rFonts w:ascii="Arial" w:hAnsi="Arial" w:cs="Arial"/>
          <w:color w:val="000000"/>
        </w:rPr>
        <w:br/>
      </w:r>
      <w:r>
        <w:rPr>
          <w:rStyle w:val="normaltextrun"/>
          <w:rFonts w:ascii="Arial" w:hAnsi="Arial" w:cs="Arial"/>
          <w:b/>
          <w:bCs/>
          <w:color w:val="000000"/>
        </w:rPr>
        <w:t>Conclusion:</w:t>
      </w:r>
      <w:r>
        <w:rPr>
          <w:rStyle w:val="normaltextrun"/>
          <w:rFonts w:ascii="Arial" w:hAnsi="Arial" w:cs="Arial"/>
          <w:color w:val="000000"/>
        </w:rPr>
        <w:t> Digital tools show promise in supporting</w:t>
      </w:r>
      <w:r>
        <w:rPr>
          <w:rStyle w:val="apple-converted-space"/>
          <w:rFonts w:ascii="Arial" w:hAnsi="Arial" w:cs="Arial"/>
          <w:color w:val="000000"/>
        </w:rPr>
        <w:t> </w:t>
      </w:r>
      <w:r>
        <w:rPr>
          <w:rStyle w:val="normaltextrun"/>
          <w:rFonts w:ascii="Arial" w:hAnsi="Arial" w:cs="Arial"/>
          <w:color w:val="000000"/>
        </w:rPr>
        <w:t>non</w:t>
      </w:r>
      <w:r>
        <w:rPr>
          <w:rStyle w:val="nobreakhyphenblob"/>
          <w:rFonts w:ascii="Arial" w:hAnsi="Arial" w:cs="Arial"/>
          <w:color w:val="000000"/>
        </w:rPr>
        <w:noBreakHyphen/>
      </w:r>
      <w:r>
        <w:rPr>
          <w:rStyle w:val="normaltextrun"/>
          <w:rFonts w:ascii="Arial" w:hAnsi="Arial" w:cs="Arial"/>
          <w:color w:val="000000"/>
        </w:rPr>
        <w:t>clinical</w:t>
      </w:r>
      <w:r>
        <w:rPr>
          <w:rStyle w:val="apple-converted-space"/>
          <w:rFonts w:ascii="Arial" w:hAnsi="Arial" w:cs="Arial"/>
          <w:color w:val="000000"/>
        </w:rPr>
        <w:t> </w:t>
      </w:r>
      <w:r>
        <w:rPr>
          <w:rStyle w:val="normaltextrun"/>
          <w:rFonts w:ascii="Arial" w:hAnsi="Arial" w:cs="Arial"/>
          <w:color w:val="000000"/>
        </w:rPr>
        <w:t>care pathways, but further robust evaluation is needed to ensure</w:t>
      </w:r>
      <w:r>
        <w:rPr>
          <w:rStyle w:val="apple-converted-space"/>
          <w:rFonts w:ascii="Arial" w:hAnsi="Arial" w:cs="Arial"/>
          <w:color w:val="000000"/>
        </w:rPr>
        <w:t> </w:t>
      </w:r>
      <w:r>
        <w:rPr>
          <w:rStyle w:val="normaltextrun"/>
          <w:rFonts w:ascii="Arial" w:hAnsi="Arial" w:cs="Arial"/>
          <w:color w:val="000000"/>
        </w:rPr>
        <w:t>equitable</w:t>
      </w:r>
      <w:r>
        <w:rPr>
          <w:rStyle w:val="apple-converted-space"/>
          <w:rFonts w:ascii="Arial" w:hAnsi="Arial" w:cs="Arial"/>
          <w:color w:val="000000"/>
        </w:rPr>
        <w:t> </w:t>
      </w:r>
      <w:r>
        <w:rPr>
          <w:rStyle w:val="normaltextrun"/>
          <w:rFonts w:ascii="Arial" w:hAnsi="Arial" w:cs="Arial"/>
          <w:color w:val="000000"/>
        </w:rPr>
        <w:t>implementation and measurable health outcomes.</w:t>
      </w:r>
      <w:r>
        <w:rPr>
          <w:rStyle w:val="eop"/>
          <w:rFonts w:ascii="Arial" w:hAnsi="Arial" w:cs="Arial"/>
          <w:color w:val="000000"/>
        </w:rPr>
        <w:t> </w:t>
      </w:r>
    </w:p>
    <w:p w14:paraId="50135AEC" w14:textId="77777777" w:rsidR="00D04B2E" w:rsidRDefault="00D04B2E" w:rsidP="00D04B2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193E694" w14:textId="77777777" w:rsidR="00D04B2E" w:rsidRDefault="00D04B2E" w:rsidP="00D04B2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6D3452B" w14:textId="3EE3A2BC" w:rsidR="009C2D56" w:rsidRDefault="00D04B2E" w:rsidP="009C2D56">
      <w:r>
        <w:t xml:space="preserve"> </w:t>
      </w:r>
    </w:p>
    <w:p w14:paraId="7DA13878" w14:textId="77777777" w:rsidR="009C2D56" w:rsidRDefault="009C2D56" w:rsidP="009C2D56"/>
    <w:p w14:paraId="01E61BEA" w14:textId="699DE0DC" w:rsidR="009C2D56" w:rsidRPr="00C764AA" w:rsidRDefault="00D04B2E" w:rsidP="009C2D56">
      <w:pPr>
        <w:rPr>
          <w:rStyle w:val="eop"/>
          <w:rFonts w:ascii="Arial" w:hAnsi="Arial" w:cs="Arial"/>
          <w:u w:val="single"/>
        </w:rPr>
      </w:pPr>
      <w:r w:rsidRPr="00C764AA">
        <w:rPr>
          <w:rStyle w:val="normaltextrun"/>
          <w:rFonts w:cs="Arial"/>
          <w:b/>
          <w:bCs/>
          <w:u w:val="single"/>
        </w:rPr>
        <w:t>INTRODUCTION </w:t>
      </w:r>
      <w:r w:rsidRPr="00C764AA">
        <w:rPr>
          <w:rStyle w:val="eop"/>
          <w:rFonts w:ascii="Arial" w:hAnsi="Arial" w:cs="Arial"/>
          <w:u w:val="single"/>
        </w:rPr>
        <w:t> </w:t>
      </w:r>
    </w:p>
    <w:p w14:paraId="51B1EDE6" w14:textId="77777777" w:rsidR="00FB4FA4" w:rsidRDefault="00FB4FA4" w:rsidP="00FB4FA4">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Health outcomes are affected by more than just medical treatments; they are also shaped by various social factors like housing problems, joblessness, feelings of isolation, and money troubles. These non-medical issues are closely linked to poor physical and mental health and can lead to a greater need for primary care services. </w:t>
      </w:r>
    </w:p>
    <w:p w14:paraId="32006633" w14:textId="77777777" w:rsidR="00FB4FA4" w:rsidRDefault="00FB4FA4" w:rsidP="00FB4FA4">
      <w:pPr>
        <w:autoSpaceDE w:val="0"/>
        <w:autoSpaceDN w:val="0"/>
        <w:adjustRightInd w:val="0"/>
        <w:rPr>
          <w:rFonts w:ascii="AppleSystemUIFont" w:hAnsi="AppleSystemUIFont" w:cs="AppleSystemUIFont"/>
          <w:sz w:val="26"/>
          <w:szCs w:val="26"/>
        </w:rPr>
      </w:pPr>
    </w:p>
    <w:p w14:paraId="641ACD7D" w14:textId="545D7D9B" w:rsidR="002B28ED" w:rsidRDefault="00FB4FA4" w:rsidP="00FB4FA4">
      <w:pPr>
        <w:rPr>
          <w:rFonts w:ascii="AppleSystemUIFont" w:hAnsi="AppleSystemUIFont" w:cs="AppleSystemUIFont"/>
          <w:sz w:val="26"/>
          <w:szCs w:val="26"/>
        </w:rPr>
      </w:pPr>
      <w:r>
        <w:rPr>
          <w:rFonts w:ascii="AppleSystemUIFont" w:hAnsi="AppleSystemUIFont" w:cs="AppleSystemUIFont"/>
          <w:sz w:val="26"/>
          <w:szCs w:val="26"/>
        </w:rPr>
        <w:t>To tackle these problems, the UK National Health Service (NHS) has started to focus on more comprehensive care models that consider the broader aspects of health instead of only concentrating on medical solutions. One approach is called social prescribing, which allows healthcare workers to connect patients with community resources that aren't clinical, such as advice on welfare, exercise groups, and activities that promote social interaction. Social prescribing has become an important part of the NHS Long Term Plan aimed at easing the workload on general practitioners (GPs), enhancing patient wellbeing, and encouraging personalized care. Research indicates that social prescribing can help people with complex social challenges, though results have varied based on how well it is put into practice.</w:t>
      </w:r>
    </w:p>
    <w:p w14:paraId="4555EFBF" w14:textId="77777777" w:rsidR="00FB4FA4" w:rsidRDefault="00FB4FA4" w:rsidP="00FB4FA4">
      <w:pPr>
        <w:rPr>
          <w:rFonts w:ascii="AppleSystemUIFont" w:hAnsi="AppleSystemUIFont" w:cs="AppleSystemUIFont"/>
          <w:sz w:val="26"/>
          <w:szCs w:val="26"/>
        </w:rPr>
      </w:pPr>
    </w:p>
    <w:p w14:paraId="27081621" w14:textId="77777777" w:rsidR="007E7BDA" w:rsidRDefault="007E7BDA" w:rsidP="007E7BDA">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In recent years, digital tools have become essential for helping with social prescribing and other non-medical referral options. These tools include online referral platforms, electronic lists of community services, and systems that track outcomes to help communication between primary care providers, link workers, and voluntary organizations.</w:t>
      </w:r>
    </w:p>
    <w:p w14:paraId="7C45A75B" w14:textId="77777777" w:rsidR="007E7BDA" w:rsidRDefault="007E7BDA" w:rsidP="007E7BDA">
      <w:pPr>
        <w:autoSpaceDE w:val="0"/>
        <w:autoSpaceDN w:val="0"/>
        <w:adjustRightInd w:val="0"/>
        <w:rPr>
          <w:rFonts w:ascii="AppleSystemUIFont" w:hAnsi="AppleSystemUIFont" w:cs="AppleSystemUIFont"/>
          <w:sz w:val="26"/>
          <w:szCs w:val="26"/>
        </w:rPr>
      </w:pPr>
    </w:p>
    <w:p w14:paraId="43EAB093" w14:textId="1732572E" w:rsidR="009B0B7F" w:rsidRDefault="007E7BDA" w:rsidP="007E7BDA">
      <w:pPr>
        <w:rPr>
          <w:rStyle w:val="eop"/>
          <w:rFonts w:ascii="Arial" w:hAnsi="Arial" w:cs="Arial"/>
        </w:rPr>
      </w:pPr>
      <w:r>
        <w:rPr>
          <w:rFonts w:ascii="AppleSystemUIFont" w:hAnsi="AppleSystemUIFont" w:cs="AppleSystemUIFont"/>
          <w:sz w:val="26"/>
          <w:szCs w:val="26"/>
        </w:rPr>
        <w:lastRenderedPageBreak/>
        <w:t>Digital systems aim to make processes more efficient, improve coordination among services, and provide clear data on patient involvement and results. Research shows that these digital tools can enhance access to non-clinical support by making referral processes easier and allowing better tracking of service usage. Carnes et al. (2017) found that using digital methods for social prescribing led to fewer visits to general practitioners (GPs), indicating better care coordination and a more suitable use of primary care resources. Additionally, qualitative evidence suggests that when non-clinical pathways are in place.</w:t>
      </w:r>
    </w:p>
    <w:p w14:paraId="0094DF6D" w14:textId="57162804" w:rsidR="002B28ED" w:rsidRDefault="00D43DC0" w:rsidP="009C2D56">
      <w:pPr>
        <w:rPr>
          <w:rFonts w:ascii="AppleSystemUIFont" w:hAnsi="AppleSystemUIFont" w:cs="AppleSystemUIFont"/>
          <w:sz w:val="26"/>
          <w:szCs w:val="26"/>
        </w:rPr>
      </w:pPr>
      <w:r>
        <w:rPr>
          <w:rFonts w:ascii="AppleSystemUIFont" w:hAnsi="AppleSystemUIFont" w:cs="AppleSystemUIFont"/>
          <w:sz w:val="26"/>
          <w:szCs w:val="26"/>
        </w:rPr>
        <w:t xml:space="preserve">When services are well-coordinated, patients feel more supported, empowered, and involved with community services. However, even though there is increasing investment in policy and technology, the proof of how effective digital tools </w:t>
      </w:r>
      <w:r w:rsidR="00201AD9">
        <w:rPr>
          <w:rFonts w:ascii="AppleSystemUIFont" w:hAnsi="AppleSystemUIFont" w:cs="AppleSystemUIFont"/>
          <w:sz w:val="26"/>
          <w:szCs w:val="26"/>
        </w:rPr>
        <w:t>is</w:t>
      </w:r>
      <w:r>
        <w:rPr>
          <w:rFonts w:ascii="AppleSystemUIFont" w:hAnsi="AppleSystemUIFont" w:cs="AppleSystemUIFont"/>
          <w:sz w:val="26"/>
          <w:szCs w:val="26"/>
        </w:rPr>
        <w:t xml:space="preserve"> in non-clinical care is still mixed. Farre et al. (2023) discovered that while digital health programs in the UK show potential for improving service delivery, there isn't much strong evidence showing they positively affect health outcomes, especially for people from disadvantaged backgrounds. There are also worries about digital exclusion since those with low digital skills, limited access to technology, or challenging social situations might find it harder to take advantage of these digital systems.</w:t>
      </w:r>
      <w:r w:rsidR="008B7F45" w:rsidRPr="008B7F45">
        <w:rPr>
          <w:rFonts w:ascii="AppleSystemUIFont" w:hAnsi="AppleSystemUIFont" w:cs="AppleSystemUIFont"/>
          <w:sz w:val="26"/>
          <w:szCs w:val="26"/>
        </w:rPr>
        <w:t xml:space="preserve"> </w:t>
      </w:r>
      <w:r w:rsidR="008B7F45">
        <w:rPr>
          <w:rFonts w:ascii="AppleSystemUIFont" w:hAnsi="AppleSystemUIFont" w:cs="AppleSystemUIFont"/>
          <w:sz w:val="26"/>
          <w:szCs w:val="26"/>
        </w:rPr>
        <w:t>Patient experiences show that the success of digital-supported non-clinical care relies on how well technology, service delivery, and individual willingness to engage work together. Shankar et al. (2026) pointed out that when systems do not meet patient needs or preferences, the advantages of social prescribing diminish. This highlights the necessity for personalized and inclusive design. With the growing use of digital tools in the NHS and the need to tackle health inequalities, it's important to assess how well these tools help connect patients to non-clinical care. This scoping review looks at how effective and well-implemented digital tools are in linking patients with non-clinical support services in the UK, focusing specifically on their benefits, challenges, and gaps in current evidence.</w:t>
      </w:r>
    </w:p>
    <w:p w14:paraId="531F5580" w14:textId="77777777" w:rsidR="004A5A0A" w:rsidRPr="009C2D56" w:rsidRDefault="004A5A0A" w:rsidP="009C2D56"/>
    <w:p w14:paraId="62A24109" w14:textId="77777777" w:rsidR="00C8478A" w:rsidRDefault="00C8478A" w:rsidP="00C8478A">
      <w:pPr>
        <w:keepNext/>
        <w:keepLines/>
        <w:spacing w:before="40" w:line="360" w:lineRule="auto"/>
        <w:outlineLvl w:val="1"/>
        <w:rPr>
          <w:rFonts w:ascii="Arial" w:hAnsi="Arial" w:cs="Arial"/>
          <w:sz w:val="22"/>
        </w:rPr>
      </w:pPr>
    </w:p>
    <w:p w14:paraId="3C269585" w14:textId="77777777" w:rsidR="00714682" w:rsidRDefault="00C8478A" w:rsidP="00714682">
      <w:pPr>
        <w:autoSpaceDE w:val="0"/>
        <w:autoSpaceDN w:val="0"/>
        <w:adjustRightInd w:val="0"/>
        <w:rPr>
          <w:rFonts w:ascii="AppleSystemUIFont" w:hAnsi="AppleSystemUIFont" w:cs="AppleSystemUIFont"/>
          <w:sz w:val="26"/>
          <w:szCs w:val="26"/>
        </w:rPr>
      </w:pPr>
      <w:r>
        <w:rPr>
          <w:rFonts w:ascii="Arial" w:eastAsiaTheme="majorEastAsia" w:hAnsi="Arial" w:cs="Arial"/>
          <w:b/>
          <w:bCs/>
          <w:i/>
          <w:sz w:val="28"/>
          <w:szCs w:val="28"/>
        </w:rPr>
        <w:t>2</w:t>
      </w:r>
      <w:r w:rsidR="00D11142" w:rsidRPr="00D11142">
        <w:rPr>
          <w:rFonts w:ascii="Arial" w:eastAsiaTheme="majorEastAsia" w:hAnsi="Arial" w:cs="Arial"/>
          <w:b/>
          <w:bCs/>
          <w:i/>
          <w:sz w:val="28"/>
          <w:szCs w:val="28"/>
        </w:rPr>
        <w:t xml:space="preserve">) </w:t>
      </w:r>
      <w:r w:rsidR="00D11142" w:rsidRPr="00A9541C">
        <w:rPr>
          <w:rFonts w:ascii="Arial" w:eastAsiaTheme="majorEastAsia" w:hAnsi="Arial" w:cs="Arial"/>
          <w:b/>
          <w:bCs/>
          <w:i/>
          <w:sz w:val="28"/>
          <w:szCs w:val="28"/>
          <w:u w:val="single"/>
        </w:rPr>
        <w:t>Rationale</w:t>
      </w:r>
      <w:r w:rsidR="00D11142" w:rsidRPr="00D11142">
        <w:rPr>
          <w:rFonts w:ascii="Arial" w:eastAsiaTheme="majorEastAsia" w:hAnsi="Arial" w:cs="Arial"/>
          <w:b/>
          <w:bCs/>
          <w:i/>
          <w:sz w:val="28"/>
          <w:szCs w:val="28"/>
        </w:rPr>
        <w:t>:</w:t>
      </w:r>
      <w:r w:rsidR="009752AE">
        <w:rPr>
          <w:rFonts w:ascii="Arial" w:eastAsiaTheme="majorEastAsia" w:hAnsi="Arial" w:cs="Arial"/>
          <w:b/>
          <w:bCs/>
          <w:i/>
          <w:sz w:val="28"/>
          <w:szCs w:val="28"/>
        </w:rPr>
        <w:t xml:space="preserve"> </w:t>
      </w:r>
      <w:r w:rsidR="00714682">
        <w:rPr>
          <w:rFonts w:ascii="AppleSystemUIFont" w:hAnsi="AppleSystemUIFont" w:cs="AppleSystemUIFont"/>
          <w:sz w:val="26"/>
          <w:szCs w:val="26"/>
        </w:rPr>
        <w:t>Primary care services in the United Kingdom are facing more pressure because of higher demand, shortages of staff, and an increase in long-term health issues and complicated social needs. Many patients visit their general practitioners with problems that are more social than medical, like feeling lonely, financial troubles, housing issues, and job loss. To tackle these problems, non-clinical approaches, especially social prescribing, have become an important way to handle the broader factors affecting health while decreasing unnecessary use of clinical services.</w:t>
      </w:r>
    </w:p>
    <w:p w14:paraId="2F42EA48" w14:textId="77777777" w:rsidR="00714682" w:rsidRDefault="00714682" w:rsidP="00714682">
      <w:pPr>
        <w:autoSpaceDE w:val="0"/>
        <w:autoSpaceDN w:val="0"/>
        <w:adjustRightInd w:val="0"/>
        <w:rPr>
          <w:rFonts w:ascii="AppleSystemUIFont" w:hAnsi="AppleSystemUIFont" w:cs="AppleSystemUIFont"/>
          <w:sz w:val="26"/>
          <w:szCs w:val="26"/>
        </w:rPr>
      </w:pPr>
    </w:p>
    <w:p w14:paraId="4F44C643" w14:textId="69328C72" w:rsidR="00D44D2F" w:rsidRDefault="00714682" w:rsidP="00D44D2F">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At the same time, the use of digital tools to assist non-clinical care has grown quickly. Digital referral platforms and tracking systems are being promoted as ways to boost efficiency, improve coordination between different services, and provide evidence of their effectiveness. However, even with substantial investment and support from policies, the current information about how well these digital tools work, how they </w:t>
      </w:r>
      <w:r>
        <w:rPr>
          <w:rFonts w:ascii="AppleSystemUIFont" w:hAnsi="AppleSystemUIFont" w:cs="AppleSystemUIFont"/>
          <w:sz w:val="26"/>
          <w:szCs w:val="26"/>
        </w:rPr>
        <w:lastRenderedPageBreak/>
        <w:t>are implemented, and their fairness is still scattered and inconsistent. Studies on this topic vary widely in their design, what they measure, and the groups they focus on, making it hard for healthcare providers and decision-makers to find clear guidance on best practices.</w:t>
      </w:r>
      <w:r w:rsidR="00D44D2F" w:rsidRPr="00D44D2F">
        <w:rPr>
          <w:rFonts w:ascii="AppleSystemUIFont" w:hAnsi="AppleSystemUIFont" w:cs="AppleSystemUIFont"/>
          <w:sz w:val="26"/>
          <w:szCs w:val="26"/>
        </w:rPr>
        <w:t xml:space="preserve"> </w:t>
      </w:r>
      <w:r w:rsidR="00D44D2F">
        <w:rPr>
          <w:rFonts w:ascii="AppleSystemUIFont" w:hAnsi="AppleSystemUIFont" w:cs="AppleSystemUIFont"/>
          <w:sz w:val="26"/>
          <w:szCs w:val="26"/>
        </w:rPr>
        <w:t>There are increasing worries that digital methods might accidentally make health inequalities worse if we don't properly address issues like digital skills, access to technology, and how ready patients are. This is especially important because the people who would benefit the most from non-clinical support often face the greatest risks of being left out of the digital world. It is crucial to understand how digital tools work in real life, who they help, and under what situations they are most effective.</w:t>
      </w:r>
    </w:p>
    <w:p w14:paraId="1C76DC26" w14:textId="77777777" w:rsidR="00D44D2F" w:rsidRDefault="00D44D2F" w:rsidP="00D44D2F">
      <w:pPr>
        <w:autoSpaceDE w:val="0"/>
        <w:autoSpaceDN w:val="0"/>
        <w:adjustRightInd w:val="0"/>
        <w:rPr>
          <w:rFonts w:ascii="AppleSystemUIFont" w:hAnsi="AppleSystemUIFont" w:cs="AppleSystemUIFont"/>
          <w:sz w:val="26"/>
          <w:szCs w:val="26"/>
        </w:rPr>
      </w:pPr>
    </w:p>
    <w:p w14:paraId="39C3C645" w14:textId="16E84F2F" w:rsidR="00D11142" w:rsidRDefault="00D44D2F" w:rsidP="00D44D2F">
      <w:pPr>
        <w:keepNext/>
        <w:keepLines/>
        <w:spacing w:before="40" w:line="360" w:lineRule="auto"/>
        <w:outlineLvl w:val="1"/>
        <w:rPr>
          <w:rFonts w:ascii="AppleSystemUIFont" w:hAnsi="AppleSystemUIFont" w:cs="AppleSystemUIFont"/>
          <w:sz w:val="26"/>
          <w:szCs w:val="26"/>
        </w:rPr>
      </w:pPr>
      <w:r>
        <w:rPr>
          <w:rFonts w:ascii="AppleSystemUIFont" w:hAnsi="AppleSystemUIFont" w:cs="AppleSystemUIFont"/>
          <w:sz w:val="26"/>
          <w:szCs w:val="26"/>
        </w:rPr>
        <w:t>A scoping review is a good choice for this study because it allows us to thoroughly examine existing research, find key themes, and identify gaps in the available evidence. Unlike systematic reviews, scoping reviews fit well with new and complicated areas where interventions and results vary widely. By combining UK-based studies published after 2016, this review offers timely and useful information for policymakers and commissioners.</w:t>
      </w:r>
    </w:p>
    <w:p w14:paraId="234E9EE4" w14:textId="77777777" w:rsidR="006F7D7D" w:rsidRDefault="006F7D7D" w:rsidP="00D44D2F">
      <w:pPr>
        <w:keepNext/>
        <w:keepLines/>
        <w:spacing w:before="40" w:line="360" w:lineRule="auto"/>
        <w:outlineLvl w:val="1"/>
        <w:rPr>
          <w:rFonts w:ascii="AppleSystemUIFont" w:hAnsi="AppleSystemUIFont" w:cs="AppleSystemUIFont"/>
          <w:sz w:val="26"/>
          <w:szCs w:val="26"/>
        </w:rPr>
      </w:pPr>
    </w:p>
    <w:p w14:paraId="1965CA92" w14:textId="77777777" w:rsidR="006F7D7D" w:rsidRDefault="006F7D7D" w:rsidP="00D44D2F">
      <w:pPr>
        <w:keepNext/>
        <w:keepLines/>
        <w:spacing w:before="40" w:line="360" w:lineRule="auto"/>
        <w:outlineLvl w:val="1"/>
        <w:rPr>
          <w:rFonts w:ascii="AppleSystemUIFont" w:hAnsi="AppleSystemUIFont" w:cs="AppleSystemUIFont"/>
          <w:sz w:val="26"/>
          <w:szCs w:val="26"/>
        </w:rPr>
      </w:pPr>
    </w:p>
    <w:p w14:paraId="67C12016" w14:textId="77777777" w:rsidR="006F7D7D" w:rsidRDefault="006F7D7D" w:rsidP="00D44D2F">
      <w:pPr>
        <w:keepNext/>
        <w:keepLines/>
        <w:spacing w:before="40" w:line="360" w:lineRule="auto"/>
        <w:outlineLvl w:val="1"/>
        <w:rPr>
          <w:rFonts w:ascii="Arial" w:eastAsiaTheme="majorEastAsia" w:hAnsi="Arial" w:cs="Arial"/>
          <w:b/>
          <w:bCs/>
          <w:i/>
          <w:sz w:val="28"/>
          <w:szCs w:val="28"/>
        </w:rPr>
      </w:pPr>
    </w:p>
    <w:p w14:paraId="2391A1C0" w14:textId="77777777" w:rsidR="00085775" w:rsidRPr="00085775" w:rsidRDefault="00085775" w:rsidP="00085775">
      <w:pPr>
        <w:ind w:left="720"/>
        <w:textAlignment w:val="baseline"/>
        <w:rPr>
          <w:rFonts w:ascii="Segoe UI" w:hAnsi="Segoe UI" w:cs="Segoe UI"/>
          <w:sz w:val="18"/>
          <w:szCs w:val="18"/>
        </w:rPr>
      </w:pPr>
      <w:r w:rsidRPr="00085775">
        <w:rPr>
          <w:rFonts w:ascii="Arial" w:hAnsi="Arial" w:cs="Arial"/>
          <w:b/>
          <w:bCs/>
        </w:rPr>
        <w:t>Aim </w:t>
      </w:r>
      <w:r w:rsidRPr="00085775">
        <w:rPr>
          <w:rFonts w:ascii="Arial" w:hAnsi="Arial" w:cs="Arial"/>
        </w:rPr>
        <w:t> </w:t>
      </w:r>
    </w:p>
    <w:p w14:paraId="24F6FC99" w14:textId="77777777" w:rsidR="00085775" w:rsidRPr="00085775" w:rsidRDefault="00085775" w:rsidP="00085775">
      <w:pPr>
        <w:ind w:left="720"/>
        <w:textAlignment w:val="baseline"/>
        <w:rPr>
          <w:rFonts w:ascii="Segoe UI" w:hAnsi="Segoe UI" w:cs="Segoe UI"/>
          <w:sz w:val="18"/>
          <w:szCs w:val="18"/>
        </w:rPr>
      </w:pPr>
      <w:r w:rsidRPr="00085775">
        <w:rPr>
          <w:rFonts w:ascii="Arial" w:hAnsi="Arial" w:cs="Arial"/>
        </w:rPr>
        <w:t>To explore implementation facilitators and barriers of the efficacy and implementation of digital tools used to connect patients with non</w:t>
      </w:r>
      <w:r w:rsidRPr="00085775">
        <w:rPr>
          <w:rFonts w:ascii="Arial" w:hAnsi="Arial" w:cs="Arial"/>
        </w:rPr>
        <w:noBreakHyphen/>
        <w:t>clinical support services in the UK. </w:t>
      </w:r>
    </w:p>
    <w:p w14:paraId="324535C0" w14:textId="77777777" w:rsidR="00085775" w:rsidRPr="00085775" w:rsidRDefault="00085775" w:rsidP="00085775">
      <w:pPr>
        <w:ind w:left="720"/>
        <w:textAlignment w:val="baseline"/>
        <w:rPr>
          <w:rFonts w:ascii="Segoe UI" w:hAnsi="Segoe UI" w:cs="Segoe UI"/>
          <w:sz w:val="18"/>
          <w:szCs w:val="18"/>
        </w:rPr>
      </w:pPr>
      <w:r w:rsidRPr="00085775">
        <w:rPr>
          <w:rFonts w:ascii="Arial" w:hAnsi="Arial" w:cs="Arial"/>
          <w:b/>
          <w:bCs/>
        </w:rPr>
        <w:t>Objectives</w:t>
      </w:r>
      <w:r w:rsidRPr="00085775">
        <w:rPr>
          <w:rFonts w:ascii="Arial" w:hAnsi="Arial" w:cs="Arial"/>
        </w:rPr>
        <w:t> </w:t>
      </w:r>
    </w:p>
    <w:p w14:paraId="242BDB1F" w14:textId="77777777" w:rsidR="00085775" w:rsidRPr="00085775" w:rsidRDefault="00085775" w:rsidP="00085775">
      <w:pPr>
        <w:numPr>
          <w:ilvl w:val="0"/>
          <w:numId w:val="6"/>
        </w:numPr>
        <w:ind w:left="1800" w:firstLine="0"/>
        <w:textAlignment w:val="baseline"/>
        <w:rPr>
          <w:rFonts w:ascii="Arial" w:hAnsi="Arial" w:cs="Arial"/>
        </w:rPr>
      </w:pPr>
      <w:r w:rsidRPr="00085775">
        <w:rPr>
          <w:rFonts w:ascii="Arial" w:hAnsi="Arial" w:cs="Arial"/>
        </w:rPr>
        <w:t>To identify how digital tools are used within non</w:t>
      </w:r>
      <w:r w:rsidRPr="00085775">
        <w:rPr>
          <w:rFonts w:ascii="Arial" w:hAnsi="Arial" w:cs="Arial"/>
        </w:rPr>
        <w:noBreakHyphen/>
        <w:t>clinical referral pathways </w:t>
      </w:r>
    </w:p>
    <w:p w14:paraId="4181FBF8" w14:textId="77777777" w:rsidR="00085775" w:rsidRPr="00085775" w:rsidRDefault="00085775" w:rsidP="00085775">
      <w:pPr>
        <w:numPr>
          <w:ilvl w:val="0"/>
          <w:numId w:val="7"/>
        </w:numPr>
        <w:ind w:left="1800" w:firstLine="0"/>
        <w:textAlignment w:val="baseline"/>
        <w:rPr>
          <w:rFonts w:ascii="Arial" w:hAnsi="Arial" w:cs="Arial"/>
        </w:rPr>
      </w:pPr>
      <w:r w:rsidRPr="00085775">
        <w:rPr>
          <w:rFonts w:ascii="Arial" w:hAnsi="Arial" w:cs="Arial"/>
        </w:rPr>
        <w:t>To evaluate evidence on their effectiveness </w:t>
      </w:r>
    </w:p>
    <w:p w14:paraId="32AC2C6A" w14:textId="77777777" w:rsidR="00085775" w:rsidRPr="00085775" w:rsidRDefault="00085775" w:rsidP="00085775">
      <w:pPr>
        <w:numPr>
          <w:ilvl w:val="0"/>
          <w:numId w:val="8"/>
        </w:numPr>
        <w:ind w:left="1800" w:firstLine="0"/>
        <w:textAlignment w:val="baseline"/>
        <w:rPr>
          <w:rFonts w:ascii="Arial" w:hAnsi="Arial" w:cs="Arial"/>
        </w:rPr>
      </w:pPr>
      <w:r w:rsidRPr="00085775">
        <w:rPr>
          <w:rFonts w:ascii="Arial" w:hAnsi="Arial" w:cs="Arial"/>
        </w:rPr>
        <w:t>To examine the efficacy and implementation of digital tools used to connect patients with non</w:t>
      </w:r>
      <w:r w:rsidRPr="00085775">
        <w:rPr>
          <w:rFonts w:ascii="Arial" w:hAnsi="Arial" w:cs="Arial"/>
        </w:rPr>
        <w:noBreakHyphen/>
        <w:t>clinical support services in the UK. </w:t>
      </w:r>
    </w:p>
    <w:p w14:paraId="1230B7C0" w14:textId="77777777" w:rsidR="00085775" w:rsidRPr="00085775" w:rsidRDefault="00085775" w:rsidP="00085775">
      <w:pPr>
        <w:ind w:left="720"/>
        <w:textAlignment w:val="baseline"/>
        <w:rPr>
          <w:rFonts w:ascii="Segoe UI" w:hAnsi="Segoe UI" w:cs="Segoe UI"/>
          <w:sz w:val="18"/>
          <w:szCs w:val="18"/>
        </w:rPr>
      </w:pPr>
      <w:r w:rsidRPr="00085775">
        <w:rPr>
          <w:rFonts w:ascii="Arial" w:hAnsi="Arial" w:cs="Arial"/>
        </w:rPr>
        <w:t> </w:t>
      </w:r>
    </w:p>
    <w:p w14:paraId="72060109" w14:textId="77777777" w:rsidR="00085775" w:rsidRPr="00085775" w:rsidRDefault="00085775" w:rsidP="00085775">
      <w:pPr>
        <w:textAlignment w:val="baseline"/>
        <w:rPr>
          <w:rFonts w:ascii="Segoe UI" w:hAnsi="Segoe UI" w:cs="Segoe UI"/>
          <w:sz w:val="18"/>
          <w:szCs w:val="18"/>
        </w:rPr>
      </w:pPr>
      <w:r w:rsidRPr="00085775">
        <w:rPr>
          <w:rFonts w:ascii="Arial" w:hAnsi="Arial" w:cs="Arial"/>
          <w:b/>
          <w:bCs/>
        </w:rPr>
        <w:t>Review Question</w:t>
      </w:r>
      <w:r w:rsidRPr="00085775">
        <w:rPr>
          <w:rFonts w:ascii="Arial" w:hAnsi="Arial" w:cs="Arial"/>
        </w:rPr>
        <w:t> </w:t>
      </w:r>
    </w:p>
    <w:p w14:paraId="6B62B0A0" w14:textId="77777777" w:rsidR="00085775" w:rsidRPr="00085775" w:rsidRDefault="00085775" w:rsidP="00085775">
      <w:pPr>
        <w:ind w:left="720"/>
        <w:textAlignment w:val="baseline"/>
        <w:rPr>
          <w:rFonts w:ascii="Segoe UI" w:hAnsi="Segoe UI" w:cs="Segoe UI"/>
          <w:sz w:val="18"/>
          <w:szCs w:val="18"/>
        </w:rPr>
      </w:pPr>
      <w:r w:rsidRPr="00085775">
        <w:rPr>
          <w:rFonts w:ascii="Arial" w:hAnsi="Arial" w:cs="Arial"/>
        </w:rPr>
        <w:t> </w:t>
      </w:r>
    </w:p>
    <w:p w14:paraId="441EDBCB" w14:textId="01AF8149" w:rsidR="00085775" w:rsidRPr="00085775" w:rsidRDefault="00085775" w:rsidP="00085775">
      <w:pPr>
        <w:ind w:left="720"/>
        <w:textAlignment w:val="baseline"/>
        <w:rPr>
          <w:rFonts w:ascii="Segoe UI" w:hAnsi="Segoe UI" w:cs="Segoe UI"/>
          <w:sz w:val="18"/>
          <w:szCs w:val="18"/>
        </w:rPr>
      </w:pPr>
      <w:r w:rsidRPr="00085775">
        <w:rPr>
          <w:rFonts w:ascii="Arial" w:hAnsi="Arial" w:cs="Arial"/>
        </w:rPr>
        <w:t>How effective are digital tools in connecting patients with non</w:t>
      </w:r>
      <w:r w:rsidRPr="00085775">
        <w:rPr>
          <w:rFonts w:ascii="Arial" w:hAnsi="Arial" w:cs="Arial"/>
        </w:rPr>
        <w:noBreakHyphen/>
        <w:t>clinical support services in the UK, and what factors influence their </w:t>
      </w:r>
      <w:r w:rsidR="00201AD9" w:rsidRPr="00085775">
        <w:rPr>
          <w:rFonts w:ascii="Arial" w:hAnsi="Arial" w:cs="Arial"/>
        </w:rPr>
        <w:t>implementation?</w:t>
      </w:r>
      <w:r w:rsidRPr="00085775">
        <w:rPr>
          <w:rFonts w:ascii="Arial" w:hAnsi="Arial" w:cs="Arial"/>
        </w:rPr>
        <w:t>  </w:t>
      </w:r>
    </w:p>
    <w:p w14:paraId="6EE2C359"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0C6D2DEA" w14:textId="77777777" w:rsidR="00085775" w:rsidRPr="00085775" w:rsidRDefault="00085775" w:rsidP="00085775">
      <w:pPr>
        <w:textAlignment w:val="baseline"/>
        <w:rPr>
          <w:rFonts w:ascii="Segoe UI" w:hAnsi="Segoe UI" w:cs="Segoe UI"/>
          <w:b/>
          <w:bCs/>
          <w:sz w:val="18"/>
          <w:szCs w:val="18"/>
        </w:rPr>
      </w:pPr>
      <w:r w:rsidRPr="00085775">
        <w:rPr>
          <w:rFonts w:ascii="Arial" w:hAnsi="Arial" w:cs="Arial"/>
          <w:b/>
          <w:bCs/>
        </w:rPr>
        <w:t>2. Background </w:t>
      </w:r>
    </w:p>
    <w:p w14:paraId="538711CB"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Contextual information  </w:t>
      </w:r>
    </w:p>
    <w:p w14:paraId="7FC283E4"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xml:space="preserve">The use of technology in non-clinical care fits with the NHS Long Term Plan (2019), which aims to increase social prescribing for at least 900,000 people. In the past, </w:t>
      </w:r>
      <w:r w:rsidRPr="00085775">
        <w:rPr>
          <w:rFonts w:ascii="Arial" w:hAnsi="Arial" w:cs="Arial"/>
        </w:rPr>
        <w:lastRenderedPageBreak/>
        <w:t>these connections were made through face-to-face "Link Workers." However, the arrival of Digital Social Prescribing (DSP) tools has changed this. </w:t>
      </w:r>
    </w:p>
    <w:p w14:paraId="644AB84A"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218CCF78"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Important laws, like the Health and Care Act 2022, highlight the need for integrated care, where digital records should ideally connect clinical data with community assistance. Current guidelines from NICE (National Institute for Health and Care Excellence) are increasingly in Favor of "Digital Therapeutics," but there is still less standardization for non-clinical social support compared to clinical treatments. This review mainly focuses on the UK's move towards Integrated Care Boards (ICBs), which aim to use data and technology to address health inequalities through non-clinical approaches. </w:t>
      </w:r>
    </w:p>
    <w:p w14:paraId="31FFE73E"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4156F54A"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400CE176"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The "biopsychosocial" paradigm of health is having a growing impact on how care is provided in the UK National Health Service (NHS).  </w:t>
      </w:r>
    </w:p>
    <w:p w14:paraId="493253F1"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2ACB29DB" w14:textId="1F05CB9B" w:rsidR="00085775" w:rsidRPr="00085775" w:rsidRDefault="00085775" w:rsidP="00085775">
      <w:pPr>
        <w:textAlignment w:val="baseline"/>
        <w:rPr>
          <w:rFonts w:ascii="Segoe UI" w:hAnsi="Segoe UI" w:cs="Segoe UI"/>
          <w:sz w:val="18"/>
          <w:szCs w:val="18"/>
        </w:rPr>
      </w:pPr>
      <w:r w:rsidRPr="00085775">
        <w:rPr>
          <w:rFonts w:ascii="Arial" w:hAnsi="Arial" w:cs="Arial"/>
        </w:rPr>
        <w:t>This method acknowledges that biological variables like illness or physical trauma do not define health and well-being. Rather, it highlights the intricate interplay among biological, psychological, and social factors. To put it another way, being healthy encompasses more than just the absence of disease; it also involves a person's mental health, way of life, relationships, and general living circumstances. Health outcomes are influenced by several factors, including social support networks, housing, work, education, and income. The NHS has started to implement more preventative and holistic methods to care as knowledge of these broader determinants of health has increased. An important consequence of this change is the growing use of non-clinical assistance, which is </w:t>
      </w:r>
      <w:r w:rsidR="00201AD9" w:rsidRPr="00085775">
        <w:rPr>
          <w:rFonts w:ascii="Arial" w:hAnsi="Arial" w:cs="Arial"/>
        </w:rPr>
        <w:t>frequently provided</w:t>
      </w:r>
      <w:r w:rsidRPr="00085775">
        <w:rPr>
          <w:rFonts w:ascii="Arial" w:hAnsi="Arial" w:cs="Arial"/>
        </w:rPr>
        <w:t xml:space="preserve"> via a procedure called "social prescribing." Healthcare providers, especially general practitioners (GPs), can refer patients to a variety of community-based, non-medical services that might enhance their general well-being through social prescribing. Patients are linked to community options that can help address underlying social or emotional needs instead than depending just on medicine or clinical interventions. For people with chronic illnesses, whose medical care might not be enough to enhance quality of life, this is especially helpful. There are many different services and activities that fall under the category of non-clinical support. These include peer support groups, where people can talk about their and get  </w:t>
      </w:r>
    </w:p>
    <w:p w14:paraId="4F118036"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experiences support from others going through similar struggles. These groups can  </w:t>
      </w:r>
    </w:p>
    <w:p w14:paraId="6D7086A9"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10EAE294"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lessen feelings of loneliness and offer emotional support, which is crucial for people coping with long-term diseases or mental health issues. Another essential element is financial advising services, since financial stress may have a major negative influence on one's physical and emotional well-being.  </w:t>
      </w:r>
    </w:p>
    <w:p w14:paraId="1E0311DF"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76D16423"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These services can reduce a significant cause of anxiety by assisting people in a properly managing debt, obtaining assistance or creating budget.  </w:t>
      </w:r>
    </w:p>
    <w:p w14:paraId="59FB8188"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20A53120"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xml:space="preserve">Additionally, help with housing often comes as part of non-clinical care. Living in poor conditions, like overcrowded spaces, dampness, or lack of security, is closely related to bad health outcomes. Finding stable and safe housing can greatly improve a person's wellbeing. Community activities such as exercise classes, gardening groups, art therapy, and volunteering are also often recommended. These activities </w:t>
      </w:r>
      <w:r w:rsidRPr="00085775">
        <w:rPr>
          <w:rFonts w:ascii="Arial" w:hAnsi="Arial" w:cs="Arial"/>
        </w:rPr>
        <w:lastRenderedPageBreak/>
        <w:t>not only enhance physical health but also create a sense of purpose, belonging, and social connections. </w:t>
      </w:r>
    </w:p>
    <w:p w14:paraId="7C5A4F9E"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2FAD6D0A"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It is important to note that link workers usually coordinate social prescribing. They serve as a bridge between patients and community services. Link workers take the time to understand each person's needs, preferences, and situations so they can develop a personalised support plan together. This approach focuses on the individual, making sure that care is meaningful rather than generic or one-size-fits-all. The growing emphasis on non – clinical support reflects a broader recognition within the NHS that prevention and early intervention are key to reducing long -term demand on healthcare services. by addressing the issue such as loneliness, stress and social inequality, social prescribing can help prevent conditions from worsening and reduce the need for more intensive medical treatment. </w:t>
      </w:r>
    </w:p>
    <w:p w14:paraId="2B3CF03A"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5BD8A182" w14:textId="77777777" w:rsidR="00085775" w:rsidRPr="00085775" w:rsidRDefault="00085775" w:rsidP="00085775">
      <w:pPr>
        <w:textAlignment w:val="baseline"/>
        <w:rPr>
          <w:rFonts w:ascii="Segoe UI" w:hAnsi="Segoe UI" w:cs="Segoe UI"/>
          <w:sz w:val="18"/>
          <w:szCs w:val="18"/>
          <w:u w:val="single"/>
        </w:rPr>
      </w:pPr>
      <w:r w:rsidRPr="00085775">
        <w:rPr>
          <w:rFonts w:ascii="Arial" w:hAnsi="Arial" w:cs="Arial"/>
          <w:b/>
          <w:bCs/>
          <w:u w:val="single"/>
        </w:rPr>
        <w:t>Methods </w:t>
      </w:r>
      <w:r w:rsidRPr="00085775">
        <w:rPr>
          <w:rFonts w:ascii="Arial" w:hAnsi="Arial" w:cs="Arial"/>
          <w:u w:val="single"/>
        </w:rPr>
        <w:t> </w:t>
      </w:r>
    </w:p>
    <w:p w14:paraId="20B8DA29"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This study employed a secondary scoping review methodology, guided by the framework developed by Arksey and O’Malley. A scoping review approach was considered appropriate due to the emerging and heterogeneous nature of evidence relating to digital tools used to connect patients with non</w:t>
      </w:r>
      <w:r w:rsidRPr="00085775">
        <w:rPr>
          <w:rFonts w:ascii="Arial" w:hAnsi="Arial" w:cs="Arial"/>
        </w:rPr>
        <w:noBreakHyphen/>
        <w:t>clinical support services. This methodology allows for systematic mapping of existing literature, identification of key concepts, and recognition of gaps in the evidence base, rather than assessing intervention effectiveness alone. As a form of secondary research, this review synthesised existing peer</w:t>
      </w:r>
      <w:r w:rsidRPr="00085775">
        <w:rPr>
          <w:rFonts w:ascii="Arial" w:hAnsi="Arial" w:cs="Arial"/>
        </w:rPr>
        <w:noBreakHyphen/>
        <w:t>reviewed literature without collecting primary data. </w:t>
      </w:r>
    </w:p>
    <w:p w14:paraId="6E9619E1"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0F6BB56B" w14:textId="77777777" w:rsidR="00085775" w:rsidRPr="00085775" w:rsidRDefault="00085775" w:rsidP="00085775">
      <w:pPr>
        <w:textAlignment w:val="baseline"/>
        <w:rPr>
          <w:rFonts w:ascii="Segoe UI" w:hAnsi="Segoe UI" w:cs="Segoe UI"/>
          <w:sz w:val="18"/>
          <w:szCs w:val="18"/>
          <w:u w:val="single"/>
        </w:rPr>
      </w:pPr>
      <w:r w:rsidRPr="00085775">
        <w:rPr>
          <w:rFonts w:ascii="Arial" w:hAnsi="Arial" w:cs="Arial"/>
          <w:b/>
          <w:bCs/>
          <w:u w:val="single"/>
        </w:rPr>
        <w:t>Databases Searched</w:t>
      </w:r>
      <w:r w:rsidRPr="00085775">
        <w:rPr>
          <w:rFonts w:ascii="Arial" w:hAnsi="Arial" w:cs="Arial"/>
          <w:u w:val="single"/>
        </w:rPr>
        <w:t> </w:t>
      </w:r>
    </w:p>
    <w:p w14:paraId="321B73E8"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A comprehensive literature search was conducted using the following electronic databases: </w:t>
      </w:r>
    </w:p>
    <w:p w14:paraId="623A614C"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PubMed </w:t>
      </w:r>
    </w:p>
    <w:p w14:paraId="74B38E87"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ProQuest </w:t>
      </w:r>
    </w:p>
    <w:p w14:paraId="276FBCCB"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04AA72DE"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These databases were selected due to their extensive coverage of health, public health, social care, and interdisciplinary research, ensuring relevant UK-based studies were captured. </w:t>
      </w:r>
    </w:p>
    <w:p w14:paraId="1A056E31"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5D610279" w14:textId="77777777" w:rsidR="00085775" w:rsidRPr="00085775" w:rsidRDefault="00085775" w:rsidP="00085775">
      <w:pPr>
        <w:textAlignment w:val="baseline"/>
        <w:rPr>
          <w:rFonts w:ascii="Segoe UI" w:hAnsi="Segoe UI" w:cs="Segoe UI"/>
          <w:sz w:val="18"/>
          <w:szCs w:val="18"/>
        </w:rPr>
      </w:pPr>
      <w:r w:rsidRPr="00085775">
        <w:rPr>
          <w:rFonts w:ascii="Arial" w:hAnsi="Arial" w:cs="Arial"/>
          <w:b/>
          <w:bCs/>
        </w:rPr>
        <w:t>Search Strategy and Keywords</w:t>
      </w:r>
      <w:r w:rsidRPr="00085775">
        <w:rPr>
          <w:rFonts w:ascii="Arial" w:hAnsi="Arial" w:cs="Arial"/>
        </w:rPr>
        <w:t> </w:t>
      </w:r>
    </w:p>
    <w:p w14:paraId="6DA8D065"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A structured search strategy was applied using combinations of the following keywords and Boolean operators: </w:t>
      </w:r>
    </w:p>
    <w:p w14:paraId="004F96E0"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085BBD4F" w14:textId="17C296CC" w:rsidR="00085775" w:rsidRPr="00085775" w:rsidRDefault="00085775" w:rsidP="00085775">
      <w:pPr>
        <w:textAlignment w:val="baseline"/>
        <w:rPr>
          <w:rFonts w:ascii="Segoe UI" w:hAnsi="Segoe UI" w:cs="Segoe UI"/>
          <w:sz w:val="18"/>
          <w:szCs w:val="18"/>
        </w:rPr>
      </w:pPr>
      <w:r w:rsidRPr="00085775">
        <w:rPr>
          <w:rFonts w:ascii="Arial" w:hAnsi="Arial" w:cs="Arial"/>
        </w:rPr>
        <w:t>“</w:t>
      </w:r>
      <w:r w:rsidR="00201AD9" w:rsidRPr="00085775">
        <w:rPr>
          <w:rFonts w:ascii="Arial" w:hAnsi="Arial" w:cs="Arial"/>
        </w:rPr>
        <w:t>Digital</w:t>
      </w:r>
      <w:r w:rsidRPr="00085775">
        <w:rPr>
          <w:rFonts w:ascii="Arial" w:hAnsi="Arial" w:cs="Arial"/>
        </w:rPr>
        <w:t> social prescribing” </w:t>
      </w:r>
    </w:p>
    <w:p w14:paraId="427A4070" w14:textId="242E5A2B" w:rsidR="00085775" w:rsidRPr="00085775" w:rsidRDefault="00085775" w:rsidP="00085775">
      <w:pPr>
        <w:textAlignment w:val="baseline"/>
        <w:rPr>
          <w:rFonts w:ascii="Segoe UI" w:hAnsi="Segoe UI" w:cs="Segoe UI"/>
          <w:sz w:val="18"/>
          <w:szCs w:val="18"/>
        </w:rPr>
      </w:pPr>
      <w:r w:rsidRPr="00085775">
        <w:rPr>
          <w:rFonts w:ascii="Arial" w:hAnsi="Arial" w:cs="Arial"/>
        </w:rPr>
        <w:t>“</w:t>
      </w:r>
      <w:r w:rsidR="00201AD9" w:rsidRPr="00085775">
        <w:rPr>
          <w:rFonts w:ascii="Arial" w:hAnsi="Arial" w:cs="Arial"/>
        </w:rPr>
        <w:t>Non</w:t>
      </w:r>
      <w:r w:rsidRPr="00085775">
        <w:rPr>
          <w:rFonts w:ascii="Arial" w:hAnsi="Arial" w:cs="Arial"/>
        </w:rPr>
        <w:noBreakHyphen/>
        <w:t>clinical support” </w:t>
      </w:r>
    </w:p>
    <w:p w14:paraId="6706EE81" w14:textId="14BA8DCF" w:rsidR="00085775" w:rsidRPr="00085775" w:rsidRDefault="00085775" w:rsidP="00085775">
      <w:pPr>
        <w:textAlignment w:val="baseline"/>
        <w:rPr>
          <w:rFonts w:ascii="Segoe UI" w:hAnsi="Segoe UI" w:cs="Segoe UI"/>
          <w:sz w:val="18"/>
          <w:szCs w:val="18"/>
        </w:rPr>
      </w:pPr>
      <w:r w:rsidRPr="00085775">
        <w:rPr>
          <w:rFonts w:ascii="Arial" w:hAnsi="Arial" w:cs="Arial"/>
        </w:rPr>
        <w:t>“</w:t>
      </w:r>
      <w:r w:rsidR="00201AD9" w:rsidRPr="00085775">
        <w:rPr>
          <w:rFonts w:ascii="Arial" w:hAnsi="Arial" w:cs="Arial"/>
        </w:rPr>
        <w:t>Community</w:t>
      </w:r>
      <w:r w:rsidRPr="00085775">
        <w:rPr>
          <w:rFonts w:ascii="Arial" w:hAnsi="Arial" w:cs="Arial"/>
        </w:rPr>
        <w:t> referral” </w:t>
      </w:r>
    </w:p>
    <w:p w14:paraId="0FF8B604" w14:textId="2DFB0837" w:rsidR="00085775" w:rsidRPr="00085775" w:rsidRDefault="00085775" w:rsidP="00085775">
      <w:pPr>
        <w:textAlignment w:val="baseline"/>
        <w:rPr>
          <w:rFonts w:ascii="Segoe UI" w:hAnsi="Segoe UI" w:cs="Segoe UI"/>
          <w:sz w:val="18"/>
          <w:szCs w:val="18"/>
        </w:rPr>
      </w:pPr>
      <w:r w:rsidRPr="00085775">
        <w:rPr>
          <w:rFonts w:ascii="Arial" w:hAnsi="Arial" w:cs="Arial"/>
        </w:rPr>
        <w:t>“</w:t>
      </w:r>
      <w:r w:rsidR="00201AD9" w:rsidRPr="00085775">
        <w:rPr>
          <w:rFonts w:ascii="Arial" w:hAnsi="Arial" w:cs="Arial"/>
        </w:rPr>
        <w:t>Digital</w:t>
      </w:r>
      <w:r w:rsidRPr="00085775">
        <w:rPr>
          <w:rFonts w:ascii="Arial" w:hAnsi="Arial" w:cs="Arial"/>
        </w:rPr>
        <w:t> health” </w:t>
      </w:r>
    </w:p>
    <w:p w14:paraId="536B6130"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“UK” or “United Kingdom” </w:t>
      </w:r>
    </w:p>
    <w:p w14:paraId="597C4EF2"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10ED71F5"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Keywords were adapted according to database requirements. Searches were limited to titles, abstracts, and keywords to enhance relevance. Reference lists of included articles were also reviewed to identify any additional eligible studies. </w:t>
      </w:r>
    </w:p>
    <w:p w14:paraId="003987E5"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3A1EFF09"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Inclusion Criteria </w:t>
      </w:r>
    </w:p>
    <w:p w14:paraId="522AC181"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Studies were included in the review if they met the following criteria: </w:t>
      </w:r>
    </w:p>
    <w:p w14:paraId="4D4E53CB"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lastRenderedPageBreak/>
        <w:t> </w:t>
      </w:r>
    </w:p>
    <w:p w14:paraId="50F17C18" w14:textId="77777777" w:rsidR="00085775" w:rsidRPr="00085775" w:rsidRDefault="00085775" w:rsidP="00085775">
      <w:pPr>
        <w:numPr>
          <w:ilvl w:val="0"/>
          <w:numId w:val="9"/>
        </w:numPr>
        <w:ind w:left="1080" w:firstLine="0"/>
        <w:textAlignment w:val="baseline"/>
        <w:rPr>
          <w:rFonts w:ascii="Arial" w:hAnsi="Arial" w:cs="Arial"/>
        </w:rPr>
      </w:pPr>
      <w:r w:rsidRPr="00085775">
        <w:rPr>
          <w:rFonts w:ascii="Arial" w:hAnsi="Arial" w:cs="Arial"/>
        </w:rPr>
        <w:t>Peer</w:t>
      </w:r>
      <w:r w:rsidRPr="00085775">
        <w:rPr>
          <w:rFonts w:ascii="Arial" w:hAnsi="Arial" w:cs="Arial"/>
        </w:rPr>
        <w:noBreakHyphen/>
        <w:t>reviewed journal articles </w:t>
      </w:r>
    </w:p>
    <w:p w14:paraId="5B328D64" w14:textId="77777777" w:rsidR="00085775" w:rsidRPr="00085775" w:rsidRDefault="00085775" w:rsidP="00085775">
      <w:pPr>
        <w:numPr>
          <w:ilvl w:val="0"/>
          <w:numId w:val="10"/>
        </w:numPr>
        <w:ind w:left="1080" w:firstLine="0"/>
        <w:textAlignment w:val="baseline"/>
        <w:rPr>
          <w:rFonts w:ascii="Arial" w:hAnsi="Arial" w:cs="Arial"/>
        </w:rPr>
      </w:pPr>
      <w:r w:rsidRPr="00085775">
        <w:rPr>
          <w:rFonts w:ascii="Arial" w:hAnsi="Arial" w:cs="Arial"/>
        </w:rPr>
        <w:t>Conducted within the United Kingdom </w:t>
      </w:r>
    </w:p>
    <w:p w14:paraId="3D672C04" w14:textId="77777777" w:rsidR="00085775" w:rsidRPr="00085775" w:rsidRDefault="00085775" w:rsidP="00085775">
      <w:pPr>
        <w:numPr>
          <w:ilvl w:val="0"/>
          <w:numId w:val="11"/>
        </w:numPr>
        <w:ind w:left="1080" w:firstLine="0"/>
        <w:textAlignment w:val="baseline"/>
        <w:rPr>
          <w:rFonts w:ascii="Arial" w:hAnsi="Arial" w:cs="Arial"/>
        </w:rPr>
      </w:pPr>
      <w:r w:rsidRPr="00085775">
        <w:rPr>
          <w:rFonts w:ascii="Arial" w:hAnsi="Arial" w:cs="Arial"/>
        </w:rPr>
        <w:t>Published from 2016 onwards, reflecting recent policy and technological developments </w:t>
      </w:r>
    </w:p>
    <w:p w14:paraId="3A106481" w14:textId="77777777" w:rsidR="00085775" w:rsidRPr="00085775" w:rsidRDefault="00085775" w:rsidP="00085775">
      <w:pPr>
        <w:numPr>
          <w:ilvl w:val="0"/>
          <w:numId w:val="12"/>
        </w:numPr>
        <w:ind w:left="1080" w:firstLine="0"/>
        <w:textAlignment w:val="baseline"/>
        <w:rPr>
          <w:rFonts w:ascii="Arial" w:hAnsi="Arial" w:cs="Arial"/>
        </w:rPr>
      </w:pPr>
      <w:r w:rsidRPr="00085775">
        <w:rPr>
          <w:rFonts w:ascii="Arial" w:hAnsi="Arial" w:cs="Arial"/>
        </w:rPr>
        <w:t>Focused on digital tools or systems that support connections between patients and non</w:t>
      </w:r>
      <w:r w:rsidRPr="00085775">
        <w:rPr>
          <w:rFonts w:ascii="Arial" w:hAnsi="Arial" w:cs="Arial"/>
        </w:rPr>
        <w:noBreakHyphen/>
        <w:t>clinical or community</w:t>
      </w:r>
      <w:r w:rsidRPr="00085775">
        <w:rPr>
          <w:rFonts w:ascii="Arial" w:hAnsi="Arial" w:cs="Arial"/>
        </w:rPr>
        <w:noBreakHyphen/>
        <w:t>based services </w:t>
      </w:r>
    </w:p>
    <w:p w14:paraId="21EC748B"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073FBD82"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3355E2DE"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Exclusion Criteria </w:t>
      </w:r>
    </w:p>
    <w:p w14:paraId="00ED32CC"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Studies were excluded if they: </w:t>
      </w:r>
    </w:p>
    <w:p w14:paraId="26C26EEA" w14:textId="77777777" w:rsidR="00085775" w:rsidRPr="00085775" w:rsidRDefault="00085775" w:rsidP="00085775">
      <w:pPr>
        <w:numPr>
          <w:ilvl w:val="0"/>
          <w:numId w:val="13"/>
        </w:numPr>
        <w:ind w:left="1080" w:firstLine="0"/>
        <w:textAlignment w:val="baseline"/>
        <w:rPr>
          <w:rFonts w:ascii="Arial" w:hAnsi="Arial" w:cs="Arial"/>
        </w:rPr>
      </w:pPr>
      <w:r w:rsidRPr="00085775">
        <w:rPr>
          <w:rFonts w:ascii="Arial" w:hAnsi="Arial" w:cs="Arial"/>
        </w:rPr>
        <w:t>Were conducted outside the UK </w:t>
      </w:r>
    </w:p>
    <w:p w14:paraId="0C25C055" w14:textId="77777777" w:rsidR="00085775" w:rsidRPr="00085775" w:rsidRDefault="00085775" w:rsidP="00085775">
      <w:pPr>
        <w:numPr>
          <w:ilvl w:val="0"/>
          <w:numId w:val="14"/>
        </w:numPr>
        <w:ind w:left="1080" w:firstLine="0"/>
        <w:textAlignment w:val="baseline"/>
        <w:rPr>
          <w:rFonts w:ascii="Arial" w:hAnsi="Arial" w:cs="Arial"/>
        </w:rPr>
      </w:pPr>
      <w:r w:rsidRPr="00085775">
        <w:rPr>
          <w:rFonts w:ascii="Arial" w:hAnsi="Arial" w:cs="Arial"/>
        </w:rPr>
        <w:t>Focused solely on clinical interventions without reference to non</w:t>
      </w:r>
      <w:r w:rsidRPr="00085775">
        <w:rPr>
          <w:rFonts w:ascii="Arial" w:hAnsi="Arial" w:cs="Arial"/>
        </w:rPr>
        <w:noBreakHyphen/>
        <w:t>clinical or community support </w:t>
      </w:r>
    </w:p>
    <w:p w14:paraId="1F503A23" w14:textId="77777777" w:rsidR="00085775" w:rsidRPr="00085775" w:rsidRDefault="00085775" w:rsidP="00085775">
      <w:pPr>
        <w:numPr>
          <w:ilvl w:val="0"/>
          <w:numId w:val="15"/>
        </w:numPr>
        <w:ind w:left="1080" w:firstLine="0"/>
        <w:textAlignment w:val="baseline"/>
        <w:rPr>
          <w:rFonts w:ascii="Arial" w:hAnsi="Arial" w:cs="Arial"/>
        </w:rPr>
      </w:pPr>
      <w:r w:rsidRPr="00085775">
        <w:rPr>
          <w:rFonts w:ascii="Arial" w:hAnsi="Arial" w:cs="Arial"/>
        </w:rPr>
        <w:t>Were grey literature (e.g. policy reports, dissertations, service evaluations) </w:t>
      </w:r>
    </w:p>
    <w:p w14:paraId="63D303DA" w14:textId="77777777" w:rsidR="00085775" w:rsidRPr="00085775" w:rsidRDefault="00085775" w:rsidP="00085775">
      <w:pPr>
        <w:numPr>
          <w:ilvl w:val="0"/>
          <w:numId w:val="16"/>
        </w:numPr>
        <w:ind w:left="1080" w:firstLine="0"/>
        <w:textAlignment w:val="baseline"/>
        <w:rPr>
          <w:rFonts w:ascii="Arial" w:hAnsi="Arial" w:cs="Arial"/>
        </w:rPr>
      </w:pPr>
      <w:r w:rsidRPr="00085775">
        <w:rPr>
          <w:rFonts w:ascii="Arial" w:hAnsi="Arial" w:cs="Arial"/>
        </w:rPr>
        <w:t>Were published prior to 2016 </w:t>
      </w:r>
    </w:p>
    <w:p w14:paraId="3147AE0E"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25ED27E1"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Study Selection and Data Extraction </w:t>
      </w:r>
    </w:p>
    <w:p w14:paraId="161F9F95"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Titles and abstracts were screened to assess eligibility against inclusion and exclusion criteria. Full</w:t>
      </w:r>
      <w:r w:rsidRPr="00085775">
        <w:rPr>
          <w:rFonts w:ascii="Arial" w:hAnsi="Arial" w:cs="Arial"/>
        </w:rPr>
        <w:noBreakHyphen/>
        <w:t>text articles were then reviewed to confirm relevance. Data were extracted using a structured table capturing author(s), year of publication, study aim, methods, sample size, and key findings to support consistent comparison across studies. </w:t>
      </w:r>
    </w:p>
    <w:p w14:paraId="5639DD7C"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04F2CD65"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Data Analysis </w:t>
      </w:r>
    </w:p>
    <w:p w14:paraId="71BE4C04"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An inductive thematic analysis was undertaken to synthesise findings across the included studies. This involved familiarisation with the data, identification of recurring patterns, and grouping of codes into overarching themes relating to the efficacy and implementation of digital tools for non</w:t>
      </w:r>
      <w:r w:rsidRPr="00085775">
        <w:rPr>
          <w:rFonts w:ascii="Arial" w:hAnsi="Arial" w:cs="Arial"/>
        </w:rPr>
        <w:noBreakHyphen/>
        <w:t>clinical care. Themes were refined to ensure they accurately reflected the findings of all included articles. </w:t>
      </w:r>
    </w:p>
    <w:p w14:paraId="2C773BBA"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 </w:t>
      </w:r>
    </w:p>
    <w:p w14:paraId="753B153A"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Ethical Considerations </w:t>
      </w:r>
    </w:p>
    <w:p w14:paraId="76AA36EC" w14:textId="77777777" w:rsidR="00085775" w:rsidRPr="00085775" w:rsidRDefault="00085775" w:rsidP="00085775">
      <w:pPr>
        <w:textAlignment w:val="baseline"/>
        <w:rPr>
          <w:rFonts w:ascii="Segoe UI" w:hAnsi="Segoe UI" w:cs="Segoe UI"/>
          <w:sz w:val="18"/>
          <w:szCs w:val="18"/>
        </w:rPr>
      </w:pPr>
      <w:r w:rsidRPr="00085775">
        <w:rPr>
          <w:rFonts w:ascii="Arial" w:hAnsi="Arial" w:cs="Arial"/>
        </w:rPr>
        <w:t>As a secondary review, ethical standards regarding accurate reporting, citation, and avoidance of data misrepresentation were maintained. </w:t>
      </w:r>
    </w:p>
    <w:p w14:paraId="7B09E84D" w14:textId="77777777" w:rsidR="00085775" w:rsidRPr="00085775" w:rsidRDefault="00085775" w:rsidP="00085775">
      <w:pPr>
        <w:textAlignment w:val="baseline"/>
        <w:rPr>
          <w:rFonts w:ascii="Segoe UI" w:hAnsi="Segoe UI" w:cs="Segoe UI"/>
          <w:b/>
          <w:bCs/>
          <w:sz w:val="18"/>
          <w:szCs w:val="18"/>
        </w:rPr>
      </w:pPr>
      <w:r w:rsidRPr="00085775">
        <w:rPr>
          <w:rFonts w:ascii="Arial" w:hAnsi="Arial" w:cs="Arial"/>
          <w:b/>
          <w:bCs/>
        </w:rPr>
        <w:t>4. Results </w:t>
      </w:r>
    </w:p>
    <w:p w14:paraId="4621D9D1" w14:textId="77777777" w:rsidR="00085775" w:rsidRPr="00085775" w:rsidRDefault="00085775" w:rsidP="00085775">
      <w:pPr>
        <w:textAlignment w:val="baseline"/>
        <w:rPr>
          <w:rFonts w:ascii="Segoe UI" w:hAnsi="Segoe UI" w:cs="Segoe UI"/>
          <w:b/>
          <w:bCs/>
          <w:i/>
          <w:iCs/>
          <w:color w:val="2F5496"/>
          <w:sz w:val="18"/>
          <w:szCs w:val="18"/>
        </w:rPr>
      </w:pPr>
      <w:r w:rsidRPr="00085775">
        <w:rPr>
          <w:rFonts w:ascii="Arial" w:hAnsi="Arial" w:cs="Arial"/>
          <w:b/>
          <w:bCs/>
          <w:i/>
          <w:iCs/>
          <w:color w:val="000000"/>
        </w:rPr>
        <w:t>Table 1: Summary of Included Studies </w:t>
      </w:r>
    </w:p>
    <w:tbl>
      <w:tblPr>
        <w:tblW w:w="15"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9"/>
        <w:gridCol w:w="496"/>
        <w:gridCol w:w="1096"/>
        <w:gridCol w:w="3411"/>
        <w:gridCol w:w="1096"/>
        <w:gridCol w:w="2002"/>
      </w:tblGrid>
      <w:tr w:rsidR="00085775" w:rsidRPr="00085775" w14:paraId="3CB2449D" w14:textId="77777777">
        <w:trPr>
          <w:tblCellSpacing w:w="15" w:type="dxa"/>
        </w:trPr>
        <w:tc>
          <w:tcPr>
            <w:tcW w:w="126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BAE0CE8" w14:textId="77777777" w:rsidR="00085775" w:rsidRPr="00085775" w:rsidRDefault="00085775" w:rsidP="00085775">
            <w:pPr>
              <w:jc w:val="center"/>
              <w:textAlignment w:val="baseline"/>
            </w:pPr>
            <w:r w:rsidRPr="00085775">
              <w:rPr>
                <w:rFonts w:ascii="Arial" w:hAnsi="Arial" w:cs="Arial"/>
                <w:b/>
                <w:bCs/>
              </w:rPr>
              <w:t>Author(s)</w:t>
            </w:r>
            <w:r w:rsidRPr="00085775">
              <w:rPr>
                <w:rFonts w:ascii="Arial" w:hAnsi="Arial" w:cs="Arial"/>
              </w:rPr>
              <w:t> </w:t>
            </w:r>
          </w:p>
        </w:tc>
        <w:tc>
          <w:tcPr>
            <w:tcW w:w="61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31DBEC" w14:textId="77777777" w:rsidR="00085775" w:rsidRPr="00085775" w:rsidRDefault="00085775" w:rsidP="00085775">
            <w:pPr>
              <w:jc w:val="center"/>
              <w:textAlignment w:val="baseline"/>
            </w:pPr>
            <w:r w:rsidRPr="00085775">
              <w:rPr>
                <w:rFonts w:ascii="Arial" w:hAnsi="Arial" w:cs="Arial"/>
                <w:b/>
                <w:bCs/>
              </w:rPr>
              <w:t>Year</w:t>
            </w:r>
            <w:r w:rsidRPr="00085775">
              <w:rPr>
                <w:rFonts w:ascii="Arial" w:hAnsi="Arial" w:cs="Arial"/>
              </w:rPr>
              <w:t> </w:t>
            </w:r>
          </w:p>
        </w:tc>
        <w:tc>
          <w:tcPr>
            <w:tcW w:w="169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CEDD0E" w14:textId="77777777" w:rsidR="00085775" w:rsidRPr="00085775" w:rsidRDefault="00085775" w:rsidP="00085775">
            <w:pPr>
              <w:jc w:val="center"/>
              <w:textAlignment w:val="baseline"/>
            </w:pPr>
            <w:r w:rsidRPr="00085775">
              <w:rPr>
                <w:rFonts w:ascii="Arial" w:hAnsi="Arial" w:cs="Arial"/>
                <w:b/>
                <w:bCs/>
              </w:rPr>
              <w:t>Aim</w:t>
            </w:r>
            <w:r w:rsidRPr="00085775">
              <w:rPr>
                <w:rFonts w:ascii="Arial" w:hAnsi="Arial" w:cs="Arial"/>
              </w:rPr>
              <w:t> </w:t>
            </w:r>
          </w:p>
        </w:tc>
        <w:tc>
          <w:tcPr>
            <w:tcW w:w="183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03205A" w14:textId="77777777" w:rsidR="00085775" w:rsidRPr="00085775" w:rsidRDefault="00085775" w:rsidP="00085775">
            <w:pPr>
              <w:jc w:val="center"/>
              <w:textAlignment w:val="baseline"/>
            </w:pPr>
            <w:r w:rsidRPr="00085775">
              <w:rPr>
                <w:rFonts w:ascii="Arial" w:hAnsi="Arial" w:cs="Arial"/>
                <w:b/>
                <w:bCs/>
              </w:rPr>
              <w:t>Methods</w:t>
            </w:r>
            <w:r w:rsidRPr="00085775">
              <w:rPr>
                <w:rFonts w:ascii="Arial" w:hAnsi="Arial" w:cs="Arial"/>
              </w:rPr>
              <w:t> </w:t>
            </w:r>
          </w:p>
        </w:tc>
        <w:tc>
          <w:tcPr>
            <w:tcW w:w="1530"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FCF45C" w14:textId="77777777" w:rsidR="00085775" w:rsidRPr="00085775" w:rsidRDefault="00085775" w:rsidP="00085775">
            <w:pPr>
              <w:jc w:val="center"/>
              <w:textAlignment w:val="baseline"/>
            </w:pPr>
            <w:r w:rsidRPr="00085775">
              <w:rPr>
                <w:rFonts w:ascii="Arial" w:hAnsi="Arial" w:cs="Arial"/>
                <w:b/>
                <w:bCs/>
              </w:rPr>
              <w:t>Sample Size / Data</w:t>
            </w:r>
            <w:r w:rsidRPr="00085775">
              <w:rPr>
                <w:rFonts w:ascii="Arial" w:hAnsi="Arial" w:cs="Arial"/>
              </w:rPr>
              <w:t> </w:t>
            </w:r>
          </w:p>
        </w:tc>
        <w:tc>
          <w:tcPr>
            <w:tcW w:w="2025"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375B31" w14:textId="77777777" w:rsidR="00085775" w:rsidRPr="00085775" w:rsidRDefault="00085775" w:rsidP="00085775">
            <w:pPr>
              <w:jc w:val="center"/>
              <w:textAlignment w:val="baseline"/>
            </w:pPr>
            <w:r w:rsidRPr="00085775">
              <w:rPr>
                <w:rFonts w:ascii="Arial" w:hAnsi="Arial" w:cs="Arial"/>
                <w:b/>
                <w:bCs/>
              </w:rPr>
              <w:t>Key Findings</w:t>
            </w:r>
            <w:r w:rsidRPr="00085775">
              <w:rPr>
                <w:rFonts w:ascii="Arial" w:hAnsi="Arial" w:cs="Arial"/>
              </w:rPr>
              <w:t> </w:t>
            </w:r>
          </w:p>
        </w:tc>
      </w:tr>
      <w:tr w:rsidR="00085775" w:rsidRPr="00085775" w14:paraId="76C0E3C8" w14:textId="77777777">
        <w:trPr>
          <w:tblCellSpacing w:w="15" w:type="dxa"/>
        </w:trPr>
        <w:tc>
          <w:tcPr>
            <w:tcW w:w="1260" w:type="dxa"/>
            <w:tcBorders>
              <w:top w:val="single" w:sz="6" w:space="0" w:color="E6E6E6"/>
              <w:left w:val="single" w:sz="6" w:space="0" w:color="E6E6E6"/>
              <w:bottom w:val="single" w:sz="6" w:space="0" w:color="E6E6E6"/>
              <w:right w:val="single" w:sz="6" w:space="0" w:color="E6E6E6"/>
            </w:tcBorders>
            <w:vAlign w:val="center"/>
            <w:hideMark/>
          </w:tcPr>
          <w:p w14:paraId="1DFEFE66" w14:textId="77777777" w:rsidR="00085775" w:rsidRPr="00085775" w:rsidRDefault="00085775" w:rsidP="00085775">
            <w:pPr>
              <w:textAlignment w:val="baseline"/>
            </w:pPr>
            <w:r w:rsidRPr="00085775">
              <w:rPr>
                <w:rFonts w:ascii="Arial" w:hAnsi="Arial" w:cs="Arial"/>
              </w:rPr>
              <w:t>Carnes et al. </w:t>
            </w:r>
          </w:p>
        </w:tc>
        <w:tc>
          <w:tcPr>
            <w:tcW w:w="615" w:type="dxa"/>
            <w:tcBorders>
              <w:top w:val="single" w:sz="6" w:space="0" w:color="E6E6E6"/>
              <w:left w:val="single" w:sz="6" w:space="0" w:color="E6E6E6"/>
              <w:bottom w:val="single" w:sz="6" w:space="0" w:color="E6E6E6"/>
              <w:right w:val="single" w:sz="6" w:space="0" w:color="E6E6E6"/>
            </w:tcBorders>
            <w:vAlign w:val="center"/>
            <w:hideMark/>
          </w:tcPr>
          <w:p w14:paraId="5A724DD8" w14:textId="77777777" w:rsidR="00085775" w:rsidRPr="00085775" w:rsidRDefault="00085775" w:rsidP="00085775">
            <w:pPr>
              <w:textAlignment w:val="baseline"/>
            </w:pPr>
            <w:r w:rsidRPr="00085775">
              <w:rPr>
                <w:rFonts w:ascii="Arial" w:hAnsi="Arial" w:cs="Arial"/>
              </w:rPr>
              <w:t>2017 </w:t>
            </w:r>
          </w:p>
        </w:tc>
        <w:tc>
          <w:tcPr>
            <w:tcW w:w="1695" w:type="dxa"/>
            <w:tcBorders>
              <w:top w:val="single" w:sz="6" w:space="0" w:color="E6E6E6"/>
              <w:left w:val="single" w:sz="6" w:space="0" w:color="E6E6E6"/>
              <w:bottom w:val="single" w:sz="6" w:space="0" w:color="E6E6E6"/>
              <w:right w:val="single" w:sz="6" w:space="0" w:color="E6E6E6"/>
            </w:tcBorders>
            <w:vAlign w:val="center"/>
            <w:hideMark/>
          </w:tcPr>
          <w:p w14:paraId="6E21398C" w14:textId="77777777" w:rsidR="00085775" w:rsidRPr="00085775" w:rsidRDefault="00085775" w:rsidP="00085775">
            <w:pPr>
              <w:textAlignment w:val="baseline"/>
            </w:pPr>
            <w:r w:rsidRPr="00085775">
              <w:rPr>
                <w:rFonts w:ascii="Arial" w:hAnsi="Arial" w:cs="Arial"/>
              </w:rPr>
              <w:t>To evaluate whether a social prescribing service could be impleme</w:t>
            </w:r>
            <w:r w:rsidRPr="00085775">
              <w:rPr>
                <w:rFonts w:ascii="Arial" w:hAnsi="Arial" w:cs="Arial"/>
              </w:rPr>
              <w:lastRenderedPageBreak/>
              <w:t>nted in UK primary care and assess its impact on wellbeing and service use </w:t>
            </w:r>
          </w:p>
        </w:tc>
        <w:tc>
          <w:tcPr>
            <w:tcW w:w="1830" w:type="dxa"/>
            <w:tcBorders>
              <w:top w:val="single" w:sz="6" w:space="0" w:color="E6E6E6"/>
              <w:left w:val="single" w:sz="6" w:space="0" w:color="E6E6E6"/>
              <w:bottom w:val="single" w:sz="6" w:space="0" w:color="E6E6E6"/>
              <w:right w:val="single" w:sz="6" w:space="0" w:color="E6E6E6"/>
            </w:tcBorders>
            <w:vAlign w:val="center"/>
            <w:hideMark/>
          </w:tcPr>
          <w:p w14:paraId="0BA9A726" w14:textId="2239E3AD" w:rsidR="00085775" w:rsidRPr="00085775" w:rsidRDefault="00085775" w:rsidP="00085775">
            <w:pPr>
              <w:textAlignment w:val="baseline"/>
            </w:pPr>
            <w:r w:rsidRPr="00085775">
              <w:rPr>
                <w:rFonts w:ascii="Arial" w:hAnsi="Arial" w:cs="Arial"/>
              </w:rPr>
              <w:lastRenderedPageBreak/>
              <w:t>Mixed</w:t>
            </w:r>
            <w:r w:rsidRPr="00085775">
              <w:rPr>
                <w:rFonts w:ascii="Arial" w:hAnsi="Arial" w:cs="Arial"/>
              </w:rPr>
              <w:noBreakHyphen/>
            </w:r>
            <w:r w:rsidR="00201AD9" w:rsidRPr="00085775">
              <w:rPr>
                <w:rFonts w:ascii="Arial" w:hAnsi="Arial" w:cs="Arial"/>
              </w:rPr>
              <w:t>methods evaluation</w:t>
            </w:r>
            <w:r w:rsidRPr="00085775">
              <w:rPr>
                <w:rFonts w:ascii="Arial" w:hAnsi="Arial" w:cs="Arial"/>
              </w:rPr>
              <w:t>: patient surveys with matched controls and qualitative interviews </w:t>
            </w:r>
          </w:p>
        </w:tc>
        <w:tc>
          <w:tcPr>
            <w:tcW w:w="1530" w:type="dxa"/>
            <w:tcBorders>
              <w:top w:val="single" w:sz="6" w:space="0" w:color="E6E6E6"/>
              <w:left w:val="single" w:sz="6" w:space="0" w:color="E6E6E6"/>
              <w:bottom w:val="single" w:sz="6" w:space="0" w:color="E6E6E6"/>
              <w:right w:val="single" w:sz="6" w:space="0" w:color="E6E6E6"/>
            </w:tcBorders>
            <w:vAlign w:val="center"/>
            <w:hideMark/>
          </w:tcPr>
          <w:p w14:paraId="067E16E1" w14:textId="77777777" w:rsidR="00085775" w:rsidRPr="00085775" w:rsidRDefault="00085775" w:rsidP="00085775">
            <w:pPr>
              <w:textAlignment w:val="baseline"/>
            </w:pPr>
            <w:r w:rsidRPr="00085775">
              <w:rPr>
                <w:rFonts w:ascii="Arial" w:hAnsi="Arial" w:cs="Arial"/>
              </w:rPr>
              <w:t>Quantitative surveys (n = 730); qualitative interviews (n = 31 patients) </w:t>
            </w:r>
          </w:p>
        </w:tc>
        <w:tc>
          <w:tcPr>
            <w:tcW w:w="2025" w:type="dxa"/>
            <w:tcBorders>
              <w:top w:val="single" w:sz="6" w:space="0" w:color="E6E6E6"/>
              <w:left w:val="single" w:sz="6" w:space="0" w:color="E6E6E6"/>
              <w:bottom w:val="single" w:sz="6" w:space="0" w:color="E6E6E6"/>
              <w:right w:val="single" w:sz="6" w:space="0" w:color="E6E6E6"/>
            </w:tcBorders>
            <w:vAlign w:val="center"/>
            <w:hideMark/>
          </w:tcPr>
          <w:p w14:paraId="2E406073" w14:textId="77777777" w:rsidR="00085775" w:rsidRPr="00085775" w:rsidRDefault="00085775" w:rsidP="00085775">
            <w:pPr>
              <w:textAlignment w:val="baseline"/>
            </w:pPr>
            <w:r w:rsidRPr="00085775">
              <w:rPr>
                <w:rFonts w:ascii="Arial" w:hAnsi="Arial" w:cs="Arial"/>
              </w:rPr>
              <w:t xml:space="preserve">Digital-supported social prescribing was feasible to implement and associated with reduced GP consultation rates; however, changes in </w:t>
            </w:r>
            <w:r w:rsidRPr="00085775">
              <w:rPr>
                <w:rFonts w:ascii="Arial" w:hAnsi="Arial" w:cs="Arial"/>
              </w:rPr>
              <w:lastRenderedPageBreak/>
              <w:t>wellbeing outcomes were limited and implementation was inconsistent across practices  </w:t>
            </w:r>
          </w:p>
        </w:tc>
      </w:tr>
      <w:tr w:rsidR="00085775" w:rsidRPr="00085775" w14:paraId="77FD51AA" w14:textId="77777777">
        <w:trPr>
          <w:tblCellSpacing w:w="15" w:type="dxa"/>
        </w:trPr>
        <w:tc>
          <w:tcPr>
            <w:tcW w:w="1260" w:type="dxa"/>
            <w:tcBorders>
              <w:top w:val="single" w:sz="6" w:space="0" w:color="E6E6E6"/>
              <w:left w:val="single" w:sz="6" w:space="0" w:color="E6E6E6"/>
              <w:bottom w:val="single" w:sz="6" w:space="0" w:color="E6E6E6"/>
              <w:right w:val="single" w:sz="6" w:space="0" w:color="E6E6E6"/>
            </w:tcBorders>
            <w:vAlign w:val="center"/>
            <w:hideMark/>
          </w:tcPr>
          <w:p w14:paraId="60EF5ED9" w14:textId="77777777" w:rsidR="00085775" w:rsidRPr="00085775" w:rsidRDefault="00085775" w:rsidP="00085775">
            <w:pPr>
              <w:textAlignment w:val="baseline"/>
            </w:pPr>
            <w:r w:rsidRPr="00085775">
              <w:rPr>
                <w:rFonts w:ascii="Arial" w:hAnsi="Arial" w:cs="Arial"/>
              </w:rPr>
              <w:lastRenderedPageBreak/>
              <w:t>Farre et al. </w:t>
            </w:r>
          </w:p>
        </w:tc>
        <w:tc>
          <w:tcPr>
            <w:tcW w:w="615" w:type="dxa"/>
            <w:tcBorders>
              <w:top w:val="single" w:sz="6" w:space="0" w:color="E6E6E6"/>
              <w:left w:val="single" w:sz="6" w:space="0" w:color="E6E6E6"/>
              <w:bottom w:val="single" w:sz="6" w:space="0" w:color="E6E6E6"/>
              <w:right w:val="single" w:sz="6" w:space="0" w:color="E6E6E6"/>
            </w:tcBorders>
            <w:vAlign w:val="center"/>
            <w:hideMark/>
          </w:tcPr>
          <w:p w14:paraId="5A1699F3" w14:textId="77777777" w:rsidR="00085775" w:rsidRPr="00085775" w:rsidRDefault="00085775" w:rsidP="00085775">
            <w:pPr>
              <w:textAlignment w:val="baseline"/>
            </w:pPr>
            <w:r w:rsidRPr="00085775">
              <w:rPr>
                <w:rFonts w:ascii="Arial" w:hAnsi="Arial" w:cs="Arial"/>
              </w:rPr>
              <w:t>2023 </w:t>
            </w:r>
          </w:p>
        </w:tc>
        <w:tc>
          <w:tcPr>
            <w:tcW w:w="1695" w:type="dxa"/>
            <w:tcBorders>
              <w:top w:val="single" w:sz="6" w:space="0" w:color="E6E6E6"/>
              <w:left w:val="single" w:sz="6" w:space="0" w:color="E6E6E6"/>
              <w:bottom w:val="single" w:sz="6" w:space="0" w:color="E6E6E6"/>
              <w:right w:val="single" w:sz="6" w:space="0" w:color="E6E6E6"/>
            </w:tcBorders>
            <w:vAlign w:val="center"/>
            <w:hideMark/>
          </w:tcPr>
          <w:p w14:paraId="301CE76E" w14:textId="77777777" w:rsidR="00085775" w:rsidRPr="00085775" w:rsidRDefault="00085775" w:rsidP="00085775">
            <w:pPr>
              <w:textAlignment w:val="baseline"/>
            </w:pPr>
            <w:r w:rsidRPr="00085775">
              <w:rPr>
                <w:rFonts w:ascii="Arial" w:hAnsi="Arial" w:cs="Arial"/>
              </w:rPr>
              <w:t>To explore how digital health technologies are used in the UK with explicit consideration of health inequalities </w:t>
            </w:r>
          </w:p>
        </w:tc>
        <w:tc>
          <w:tcPr>
            <w:tcW w:w="1830" w:type="dxa"/>
            <w:tcBorders>
              <w:top w:val="single" w:sz="6" w:space="0" w:color="E6E6E6"/>
              <w:left w:val="single" w:sz="6" w:space="0" w:color="E6E6E6"/>
              <w:bottom w:val="single" w:sz="6" w:space="0" w:color="E6E6E6"/>
              <w:right w:val="single" w:sz="6" w:space="0" w:color="E6E6E6"/>
            </w:tcBorders>
            <w:vAlign w:val="center"/>
            <w:hideMark/>
          </w:tcPr>
          <w:p w14:paraId="5FE72CDE" w14:textId="466359BC" w:rsidR="00085775" w:rsidRPr="00085775" w:rsidRDefault="00085775" w:rsidP="00085775">
            <w:pPr>
              <w:textAlignment w:val="baseline"/>
            </w:pPr>
            <w:r w:rsidRPr="00085775">
              <w:rPr>
                <w:rFonts w:ascii="Arial" w:hAnsi="Arial" w:cs="Arial"/>
              </w:rPr>
              <w:t>Scoping review of qualitative, quantitative and mixed</w:t>
            </w:r>
            <w:r w:rsidRPr="00085775">
              <w:rPr>
                <w:rFonts w:ascii="Arial" w:hAnsi="Arial" w:cs="Arial"/>
              </w:rPr>
              <w:noBreakHyphen/>
            </w:r>
            <w:r w:rsidR="00D315A9" w:rsidRPr="00085775">
              <w:rPr>
                <w:rFonts w:ascii="Arial" w:hAnsi="Arial" w:cs="Arial"/>
              </w:rPr>
              <w:t>methods studies</w:t>
            </w:r>
            <w:r w:rsidRPr="00085775">
              <w:rPr>
                <w:rFonts w:ascii="Arial" w:hAnsi="Arial" w:cs="Arial"/>
              </w:rPr>
              <w:t> </w:t>
            </w:r>
          </w:p>
        </w:tc>
        <w:tc>
          <w:tcPr>
            <w:tcW w:w="1530" w:type="dxa"/>
            <w:tcBorders>
              <w:top w:val="single" w:sz="6" w:space="0" w:color="E6E6E6"/>
              <w:left w:val="single" w:sz="6" w:space="0" w:color="E6E6E6"/>
              <w:bottom w:val="single" w:sz="6" w:space="0" w:color="E6E6E6"/>
              <w:right w:val="single" w:sz="6" w:space="0" w:color="E6E6E6"/>
            </w:tcBorders>
            <w:vAlign w:val="center"/>
            <w:hideMark/>
          </w:tcPr>
          <w:p w14:paraId="42B12C8C" w14:textId="77777777" w:rsidR="00085775" w:rsidRPr="00085775" w:rsidRDefault="00085775" w:rsidP="00085775">
            <w:pPr>
              <w:textAlignment w:val="baseline"/>
            </w:pPr>
            <w:r w:rsidRPr="00085775">
              <w:rPr>
                <w:rFonts w:ascii="Arial" w:hAnsi="Arial" w:cs="Arial"/>
              </w:rPr>
              <w:t>11 articles reporting 9 UK digital health interventions </w:t>
            </w:r>
          </w:p>
        </w:tc>
        <w:tc>
          <w:tcPr>
            <w:tcW w:w="2025" w:type="dxa"/>
            <w:tcBorders>
              <w:top w:val="single" w:sz="6" w:space="0" w:color="E6E6E6"/>
              <w:left w:val="single" w:sz="6" w:space="0" w:color="E6E6E6"/>
              <w:bottom w:val="single" w:sz="6" w:space="0" w:color="E6E6E6"/>
              <w:right w:val="single" w:sz="6" w:space="0" w:color="E6E6E6"/>
            </w:tcBorders>
            <w:vAlign w:val="center"/>
            <w:hideMark/>
          </w:tcPr>
          <w:p w14:paraId="2206BFEB" w14:textId="148FF8EF" w:rsidR="00085775" w:rsidRPr="00085775" w:rsidRDefault="00085775" w:rsidP="00085775">
            <w:pPr>
              <w:textAlignment w:val="baseline"/>
            </w:pPr>
            <w:r w:rsidRPr="00085775">
              <w:rPr>
                <w:rFonts w:ascii="Arial" w:hAnsi="Arial" w:cs="Arial"/>
              </w:rPr>
              <w:t>Digital tools can improve access, coordination and efficiency of non</w:t>
            </w:r>
            <w:r w:rsidRPr="00085775">
              <w:rPr>
                <w:rFonts w:ascii="Arial" w:hAnsi="Arial" w:cs="Arial"/>
              </w:rPr>
              <w:noBreakHyphen/>
            </w:r>
            <w:r w:rsidR="00D315A9" w:rsidRPr="00085775">
              <w:rPr>
                <w:rFonts w:ascii="Arial" w:hAnsi="Arial" w:cs="Arial"/>
              </w:rPr>
              <w:t>clinical services</w:t>
            </w:r>
            <w:r w:rsidRPr="00085775">
              <w:rPr>
                <w:rFonts w:ascii="Arial" w:hAnsi="Arial" w:cs="Arial"/>
              </w:rPr>
              <w:t>, but there is limited evidence of effectiveness and risk of </w:t>
            </w:r>
            <w:r w:rsidR="00D315A9" w:rsidRPr="00085775">
              <w:rPr>
                <w:rFonts w:ascii="Arial" w:hAnsi="Arial" w:cs="Arial"/>
              </w:rPr>
              <w:t>exacerbating digital</w:t>
            </w:r>
            <w:r w:rsidRPr="00085775">
              <w:rPr>
                <w:rFonts w:ascii="Arial" w:hAnsi="Arial" w:cs="Arial"/>
              </w:rPr>
              <w:t xml:space="preserve"> exclusion and health inequalities  </w:t>
            </w:r>
          </w:p>
        </w:tc>
      </w:tr>
      <w:tr w:rsidR="00085775" w:rsidRPr="00085775" w14:paraId="46C33D31" w14:textId="77777777">
        <w:trPr>
          <w:tblCellSpacing w:w="15" w:type="dxa"/>
        </w:trPr>
        <w:tc>
          <w:tcPr>
            <w:tcW w:w="1260" w:type="dxa"/>
            <w:tcBorders>
              <w:top w:val="single" w:sz="6" w:space="0" w:color="E6E6E6"/>
              <w:left w:val="single" w:sz="6" w:space="0" w:color="E6E6E6"/>
              <w:bottom w:val="single" w:sz="6" w:space="0" w:color="E6E6E6"/>
              <w:right w:val="single" w:sz="6" w:space="0" w:color="E6E6E6"/>
            </w:tcBorders>
            <w:vAlign w:val="center"/>
            <w:hideMark/>
          </w:tcPr>
          <w:p w14:paraId="4C32E8E8" w14:textId="164D9FF7" w:rsidR="00085775" w:rsidRPr="00085775" w:rsidRDefault="00D315A9" w:rsidP="00085775">
            <w:pPr>
              <w:textAlignment w:val="baseline"/>
            </w:pPr>
            <w:r w:rsidRPr="00085775">
              <w:rPr>
                <w:rFonts w:ascii="Arial" w:hAnsi="Arial" w:cs="Arial"/>
              </w:rPr>
              <w:t>Hardenite</w:t>
            </w:r>
            <w:r w:rsidR="00085775" w:rsidRPr="00085775">
              <w:rPr>
                <w:rFonts w:ascii="Arial" w:hAnsi="Arial" w:cs="Arial"/>
              </w:rPr>
              <w:t xml:space="preserve"> al. </w:t>
            </w:r>
          </w:p>
        </w:tc>
        <w:tc>
          <w:tcPr>
            <w:tcW w:w="615" w:type="dxa"/>
            <w:tcBorders>
              <w:top w:val="single" w:sz="6" w:space="0" w:color="E6E6E6"/>
              <w:left w:val="single" w:sz="6" w:space="0" w:color="E6E6E6"/>
              <w:bottom w:val="single" w:sz="6" w:space="0" w:color="E6E6E6"/>
              <w:right w:val="single" w:sz="6" w:space="0" w:color="E6E6E6"/>
            </w:tcBorders>
            <w:vAlign w:val="center"/>
            <w:hideMark/>
          </w:tcPr>
          <w:p w14:paraId="581DF9C0" w14:textId="77777777" w:rsidR="00085775" w:rsidRPr="00085775" w:rsidRDefault="00085775" w:rsidP="00085775">
            <w:pPr>
              <w:textAlignment w:val="baseline"/>
            </w:pPr>
            <w:r w:rsidRPr="00085775">
              <w:rPr>
                <w:rFonts w:ascii="Arial" w:hAnsi="Arial" w:cs="Arial"/>
              </w:rPr>
              <w:t>2025 </w:t>
            </w:r>
          </w:p>
        </w:tc>
        <w:tc>
          <w:tcPr>
            <w:tcW w:w="1695" w:type="dxa"/>
            <w:tcBorders>
              <w:top w:val="single" w:sz="6" w:space="0" w:color="E6E6E6"/>
              <w:left w:val="single" w:sz="6" w:space="0" w:color="E6E6E6"/>
              <w:bottom w:val="single" w:sz="6" w:space="0" w:color="E6E6E6"/>
              <w:right w:val="single" w:sz="6" w:space="0" w:color="E6E6E6"/>
            </w:tcBorders>
            <w:vAlign w:val="center"/>
            <w:hideMark/>
          </w:tcPr>
          <w:p w14:paraId="1103230E" w14:textId="77777777" w:rsidR="00085775" w:rsidRPr="00085775" w:rsidRDefault="00085775" w:rsidP="00085775">
            <w:pPr>
              <w:textAlignment w:val="baseline"/>
            </w:pPr>
            <w:r w:rsidRPr="00085775">
              <w:rPr>
                <w:rFonts w:ascii="Arial" w:hAnsi="Arial" w:cs="Arial"/>
              </w:rPr>
              <w:t>To synthesise patient experiences of social prescribing services in the UK </w:t>
            </w:r>
          </w:p>
        </w:tc>
        <w:tc>
          <w:tcPr>
            <w:tcW w:w="1830" w:type="dxa"/>
            <w:tcBorders>
              <w:top w:val="single" w:sz="6" w:space="0" w:color="E6E6E6"/>
              <w:left w:val="single" w:sz="6" w:space="0" w:color="E6E6E6"/>
              <w:bottom w:val="single" w:sz="6" w:space="0" w:color="E6E6E6"/>
              <w:right w:val="single" w:sz="6" w:space="0" w:color="E6E6E6"/>
            </w:tcBorders>
            <w:vAlign w:val="center"/>
            <w:hideMark/>
          </w:tcPr>
          <w:p w14:paraId="40647D91" w14:textId="77777777" w:rsidR="00085775" w:rsidRPr="00085775" w:rsidRDefault="00085775" w:rsidP="00085775">
            <w:pPr>
              <w:textAlignment w:val="baseline"/>
            </w:pPr>
            <w:r w:rsidRPr="00085775">
              <w:rPr>
                <w:rFonts w:ascii="Arial" w:hAnsi="Arial" w:cs="Arial"/>
              </w:rPr>
              <w:t>Qualitative systematic review using thematic synthesis </w:t>
            </w:r>
          </w:p>
        </w:tc>
        <w:tc>
          <w:tcPr>
            <w:tcW w:w="1530" w:type="dxa"/>
            <w:tcBorders>
              <w:top w:val="single" w:sz="6" w:space="0" w:color="E6E6E6"/>
              <w:left w:val="single" w:sz="6" w:space="0" w:color="E6E6E6"/>
              <w:bottom w:val="single" w:sz="6" w:space="0" w:color="E6E6E6"/>
              <w:right w:val="single" w:sz="6" w:space="0" w:color="E6E6E6"/>
            </w:tcBorders>
            <w:vAlign w:val="center"/>
            <w:hideMark/>
          </w:tcPr>
          <w:p w14:paraId="6A320754" w14:textId="77777777" w:rsidR="00085775" w:rsidRPr="00085775" w:rsidRDefault="00085775" w:rsidP="00085775">
            <w:pPr>
              <w:textAlignment w:val="baseline"/>
            </w:pPr>
            <w:r w:rsidRPr="00085775">
              <w:rPr>
                <w:rFonts w:ascii="Arial" w:hAnsi="Arial" w:cs="Arial"/>
              </w:rPr>
              <w:t>19 qualitative UK studies </w:t>
            </w:r>
          </w:p>
        </w:tc>
        <w:tc>
          <w:tcPr>
            <w:tcW w:w="2025" w:type="dxa"/>
            <w:tcBorders>
              <w:top w:val="single" w:sz="6" w:space="0" w:color="E6E6E6"/>
              <w:left w:val="single" w:sz="6" w:space="0" w:color="E6E6E6"/>
              <w:bottom w:val="single" w:sz="6" w:space="0" w:color="E6E6E6"/>
              <w:right w:val="single" w:sz="6" w:space="0" w:color="E6E6E6"/>
            </w:tcBorders>
            <w:vAlign w:val="center"/>
            <w:hideMark/>
          </w:tcPr>
          <w:p w14:paraId="1C5011B0" w14:textId="77777777" w:rsidR="00085775" w:rsidRPr="00085775" w:rsidRDefault="00085775" w:rsidP="00085775">
            <w:pPr>
              <w:textAlignment w:val="baseline"/>
            </w:pPr>
            <w:r w:rsidRPr="00085775">
              <w:rPr>
                <w:rFonts w:ascii="Arial" w:hAnsi="Arial" w:cs="Arial"/>
              </w:rPr>
              <w:t>Patients valued personalised, coordinated support often facilitated by systems including digital tools; misalignment between service delivery and patient needs reduced effectiveness </w:t>
            </w:r>
          </w:p>
        </w:tc>
      </w:tr>
    </w:tbl>
    <w:p w14:paraId="1257D89F" w14:textId="77777777" w:rsidR="00CD7FE5" w:rsidRDefault="00CD7FE5" w:rsidP="00C8478A">
      <w:pPr>
        <w:keepNext/>
        <w:keepLines/>
        <w:spacing w:before="40" w:line="360" w:lineRule="auto"/>
        <w:outlineLvl w:val="1"/>
        <w:rPr>
          <w:rFonts w:ascii="Arial" w:eastAsiaTheme="majorEastAsia" w:hAnsi="Arial" w:cs="Arial"/>
          <w:b/>
          <w:bCs/>
          <w:i/>
          <w:sz w:val="28"/>
          <w:szCs w:val="28"/>
        </w:rPr>
      </w:pPr>
    </w:p>
    <w:p w14:paraId="5B25B26C" w14:textId="77777777" w:rsidR="00D315A9" w:rsidRDefault="00D315A9" w:rsidP="00D315A9">
      <w:pPr>
        <w:pStyle w:val="paragraph"/>
        <w:spacing w:before="0" w:beforeAutospacing="0" w:after="0" w:afterAutospacing="0"/>
        <w:textAlignment w:val="baseline"/>
        <w:rPr>
          <w:rFonts w:ascii="Segoe UI" w:hAnsi="Segoe UI" w:cs="Segoe UI"/>
          <w:b/>
          <w:bCs/>
          <w:i/>
          <w:iCs/>
          <w:color w:val="2F5496"/>
          <w:sz w:val="18"/>
          <w:szCs w:val="18"/>
        </w:rPr>
      </w:pPr>
      <w:r>
        <w:rPr>
          <w:rStyle w:val="normaltextrun"/>
          <w:rFonts w:ascii="Arial" w:hAnsi="Arial" w:cs="Arial"/>
          <w:b/>
          <w:bCs/>
          <w:i/>
          <w:iCs/>
          <w:color w:val="000000"/>
        </w:rPr>
        <w:t>Thematic Analysis</w:t>
      </w:r>
      <w:r>
        <w:rPr>
          <w:rStyle w:val="eop"/>
          <w:rFonts w:ascii="Arial" w:hAnsi="Arial" w:cs="Arial"/>
          <w:b/>
          <w:bCs/>
          <w:i/>
          <w:iCs/>
          <w:color w:val="000000"/>
        </w:rPr>
        <w:t> </w:t>
      </w:r>
    </w:p>
    <w:p w14:paraId="503AB193"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A thematic analysis of the three studies</w:t>
      </w:r>
      <w:r>
        <w:rPr>
          <w:rStyle w:val="apple-converted-space"/>
          <w:rFonts w:ascii="Arial" w:hAnsi="Arial" w:cs="Arial"/>
          <w:color w:val="000000"/>
        </w:rPr>
        <w:t> </w:t>
      </w:r>
      <w:r>
        <w:rPr>
          <w:rStyle w:val="normaltextrun"/>
          <w:rFonts w:ascii="Arial" w:hAnsi="Arial" w:cs="Arial"/>
          <w:color w:val="000000"/>
        </w:rPr>
        <w:t>identified two overarching themes relating to the efficacy and implementation of digital tools for connecting patients with non</w:t>
      </w:r>
      <w:r>
        <w:rPr>
          <w:rStyle w:val="nobreakhyphenblob"/>
          <w:rFonts w:ascii="Arial" w:hAnsi="Arial" w:cs="Arial"/>
          <w:color w:val="000000"/>
        </w:rPr>
        <w:noBreakHyphen/>
      </w:r>
      <w:r>
        <w:rPr>
          <w:rStyle w:val="normaltextrun"/>
          <w:rFonts w:ascii="Arial" w:hAnsi="Arial" w:cs="Arial"/>
          <w:color w:val="000000"/>
        </w:rPr>
        <w:t>clinical support services in the UK.</w:t>
      </w:r>
      <w:r>
        <w:rPr>
          <w:rStyle w:val="eop"/>
          <w:rFonts w:ascii="Arial" w:hAnsi="Arial" w:cs="Arial"/>
          <w:color w:val="000000"/>
        </w:rPr>
        <w:t> </w:t>
      </w:r>
    </w:p>
    <w:p w14:paraId="76BB3428"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lastRenderedPageBreak/>
        <w:t> </w:t>
      </w:r>
    </w:p>
    <w:p w14:paraId="06CCE7FB" w14:textId="77777777" w:rsidR="00D315A9" w:rsidRDefault="00D315A9" w:rsidP="00D315A9">
      <w:pPr>
        <w:pStyle w:val="paragraph"/>
        <w:spacing w:before="0" w:after="0"/>
        <w:textAlignment w:val="baseline"/>
        <w:rPr>
          <w:rFonts w:ascii="Segoe UI" w:hAnsi="Segoe UI" w:cs="Segoe UI"/>
          <w:b/>
          <w:bCs/>
          <w:sz w:val="18"/>
          <w:szCs w:val="18"/>
        </w:rPr>
      </w:pPr>
      <w:r>
        <w:rPr>
          <w:rStyle w:val="normaltextrun"/>
          <w:rFonts w:ascii="Arial" w:hAnsi="Arial" w:cs="Arial"/>
          <w:b/>
          <w:bCs/>
          <w:color w:val="000000"/>
        </w:rPr>
        <w:t>Theme 1: Improved Access and Coordination of Non</w:t>
      </w:r>
      <w:r>
        <w:rPr>
          <w:rStyle w:val="nobreakhyphenblob"/>
          <w:rFonts w:ascii="Arial" w:hAnsi="Arial" w:cs="Arial"/>
          <w:b/>
          <w:bCs/>
          <w:color w:val="000000"/>
        </w:rPr>
        <w:noBreakHyphen/>
      </w:r>
      <w:r>
        <w:rPr>
          <w:rStyle w:val="normaltextrun"/>
          <w:rFonts w:ascii="Arial" w:hAnsi="Arial" w:cs="Arial"/>
          <w:b/>
          <w:bCs/>
          <w:color w:val="000000"/>
        </w:rPr>
        <w:t>Clinical Support</w:t>
      </w:r>
      <w:r>
        <w:rPr>
          <w:rStyle w:val="eop"/>
          <w:rFonts w:ascii="Arial" w:hAnsi="Arial" w:cs="Arial"/>
          <w:b/>
          <w:bCs/>
          <w:color w:val="000000"/>
        </w:rPr>
        <w:t> </w:t>
      </w:r>
    </w:p>
    <w:p w14:paraId="7DEC4EFD"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Across all three articles, digital tools were identified as enabling more efficient navigation and coordination of non</w:t>
      </w:r>
      <w:r>
        <w:rPr>
          <w:rStyle w:val="nobreakhyphenblob"/>
          <w:rFonts w:ascii="Arial" w:hAnsi="Arial" w:cs="Arial"/>
          <w:color w:val="000000"/>
        </w:rPr>
        <w:noBreakHyphen/>
      </w:r>
      <w:r>
        <w:rPr>
          <w:rStyle w:val="normaltextrun"/>
          <w:rFonts w:ascii="Arial" w:hAnsi="Arial" w:cs="Arial"/>
          <w:color w:val="000000"/>
        </w:rPr>
        <w:t>clinical services.</w:t>
      </w:r>
      <w:r>
        <w:rPr>
          <w:rStyle w:val="eop"/>
          <w:rFonts w:ascii="Arial" w:hAnsi="Arial" w:cs="Arial"/>
          <w:color w:val="000000"/>
        </w:rPr>
        <w:t> </w:t>
      </w:r>
    </w:p>
    <w:p w14:paraId="6D9F32B3"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Carnes et al. (2017) reported that digital systems supporting social prescribing facilitated referrals to community services and contributed to a reduction in GP consultation rates, indicating improved care coordination and reduced pressure on primary care services. </w:t>
      </w:r>
      <w:r>
        <w:rPr>
          <w:rStyle w:val="eop"/>
          <w:rFonts w:ascii="Arial" w:hAnsi="Arial" w:cs="Arial"/>
          <w:color w:val="000000"/>
        </w:rPr>
        <w:t> </w:t>
      </w:r>
    </w:p>
    <w:p w14:paraId="0F68E15C"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Similarly, Farre et al. (2023) found that digital platforms enhanced service delivery by improving referral processes, data</w:t>
      </w:r>
      <w:r>
        <w:rPr>
          <w:rStyle w:val="apple-converted-space"/>
          <w:rFonts w:ascii="Arial" w:hAnsi="Arial" w:cs="Arial"/>
          <w:color w:val="000000"/>
        </w:rPr>
        <w:t> </w:t>
      </w:r>
      <w:r>
        <w:rPr>
          <w:rStyle w:val="normaltextrun"/>
          <w:rFonts w:ascii="Arial" w:hAnsi="Arial" w:cs="Arial"/>
          <w:color w:val="000000"/>
        </w:rPr>
        <w:t>sharing</w:t>
      </w:r>
      <w:r>
        <w:rPr>
          <w:rStyle w:val="apple-converted-space"/>
          <w:rFonts w:ascii="Arial" w:hAnsi="Arial" w:cs="Arial"/>
          <w:color w:val="000000"/>
        </w:rPr>
        <w:t> </w:t>
      </w:r>
      <w:r>
        <w:rPr>
          <w:rStyle w:val="normaltextrun"/>
          <w:rFonts w:ascii="Arial" w:hAnsi="Arial" w:cs="Arial"/>
          <w:color w:val="000000"/>
        </w:rPr>
        <w:t>and monitoring of non</w:t>
      </w:r>
      <w:r>
        <w:rPr>
          <w:rStyle w:val="nobreakhyphenblob"/>
          <w:rFonts w:ascii="Arial" w:hAnsi="Arial" w:cs="Arial"/>
          <w:color w:val="000000"/>
        </w:rPr>
        <w:noBreakHyphen/>
      </w:r>
      <w:r>
        <w:rPr>
          <w:rStyle w:val="normaltextrun"/>
          <w:rFonts w:ascii="Arial" w:hAnsi="Arial" w:cs="Arial"/>
          <w:color w:val="000000"/>
        </w:rPr>
        <w:t>clinical interventions, particularly within community-based settings. </w:t>
      </w:r>
      <w:r>
        <w:rPr>
          <w:rStyle w:val="eop"/>
          <w:rFonts w:ascii="Arial" w:hAnsi="Arial" w:cs="Arial"/>
          <w:color w:val="000000"/>
        </w:rPr>
        <w:t> </w:t>
      </w:r>
    </w:p>
    <w:p w14:paraId="459A424A" w14:textId="4303DAE0"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Han Dayani</w:t>
      </w:r>
      <w:r>
        <w:rPr>
          <w:rStyle w:val="apple-converted-space"/>
          <w:rFonts w:ascii="Arial" w:hAnsi="Arial" w:cs="Arial"/>
          <w:color w:val="000000"/>
        </w:rPr>
        <w:t> </w:t>
      </w:r>
      <w:r>
        <w:rPr>
          <w:rStyle w:val="normaltextrun"/>
          <w:rFonts w:ascii="Arial" w:hAnsi="Arial" w:cs="Arial"/>
          <w:color w:val="000000"/>
        </w:rPr>
        <w:t>et al. (2025) reinforced these findings by highlighting that patients valued structured and coordinated pathways into non</w:t>
      </w:r>
      <w:r>
        <w:rPr>
          <w:rStyle w:val="nobreakhyphenblob"/>
          <w:rFonts w:ascii="Arial" w:hAnsi="Arial" w:cs="Arial"/>
          <w:color w:val="000000"/>
        </w:rPr>
        <w:noBreakHyphen/>
      </w:r>
      <w:r>
        <w:rPr>
          <w:rStyle w:val="normaltextrun"/>
          <w:rFonts w:ascii="Arial" w:hAnsi="Arial" w:cs="Arial"/>
          <w:color w:val="000000"/>
        </w:rPr>
        <w:t>clinical support. Digital tools were perceived as supporting continuity of care when they were aligned with personalised needs and delivered in a timely manner.  </w:t>
      </w:r>
      <w:r>
        <w:rPr>
          <w:rStyle w:val="eop"/>
          <w:rFonts w:ascii="Arial" w:hAnsi="Arial" w:cs="Arial"/>
          <w:color w:val="000000"/>
        </w:rPr>
        <w:t> </w:t>
      </w:r>
    </w:p>
    <w:p w14:paraId="49EDEFBE" w14:textId="77777777" w:rsidR="00D315A9" w:rsidRDefault="00D315A9" w:rsidP="00D315A9">
      <w:pPr>
        <w:pStyle w:val="paragraph"/>
        <w:spacing w:before="0" w:after="0"/>
        <w:textAlignment w:val="baseline"/>
        <w:rPr>
          <w:rFonts w:ascii="Segoe UI" w:hAnsi="Segoe UI" w:cs="Segoe UI"/>
          <w:sz w:val="18"/>
          <w:szCs w:val="18"/>
        </w:rPr>
      </w:pPr>
      <w:r>
        <w:rPr>
          <w:rStyle w:val="scxw85869854"/>
        </w:rPr>
        <w:t> </w:t>
      </w:r>
      <w:r>
        <w:br/>
      </w:r>
      <w:r>
        <w:rPr>
          <w:rStyle w:val="normaltextrun"/>
          <w:rFonts w:ascii="Arial" w:hAnsi="Arial" w:cs="Arial"/>
          <w:color w:val="000000"/>
        </w:rPr>
        <w:t>This theme</w:t>
      </w:r>
      <w:r>
        <w:rPr>
          <w:rStyle w:val="apple-converted-space"/>
          <w:rFonts w:ascii="Arial" w:hAnsi="Arial" w:cs="Arial"/>
          <w:color w:val="000000"/>
        </w:rPr>
        <w:t> </w:t>
      </w:r>
      <w:r>
        <w:rPr>
          <w:rStyle w:val="normaltextrun"/>
          <w:rFonts w:ascii="Arial" w:hAnsi="Arial" w:cs="Arial"/>
          <w:color w:val="000000"/>
        </w:rPr>
        <w:t>demonstrates</w:t>
      </w:r>
      <w:r>
        <w:rPr>
          <w:rStyle w:val="apple-converted-space"/>
          <w:rFonts w:ascii="Arial" w:hAnsi="Arial" w:cs="Arial"/>
          <w:color w:val="000000"/>
        </w:rPr>
        <w:t> </w:t>
      </w:r>
      <w:r>
        <w:rPr>
          <w:rStyle w:val="normaltextrun"/>
          <w:rFonts w:ascii="Arial" w:hAnsi="Arial" w:cs="Arial"/>
          <w:color w:val="000000"/>
        </w:rPr>
        <w:t>that digital tools can improve access to non</w:t>
      </w:r>
      <w:r>
        <w:rPr>
          <w:rStyle w:val="nobreakhyphenblob"/>
          <w:rFonts w:ascii="Arial" w:hAnsi="Arial" w:cs="Arial"/>
          <w:color w:val="000000"/>
        </w:rPr>
        <w:noBreakHyphen/>
      </w:r>
      <w:r>
        <w:rPr>
          <w:rStyle w:val="normaltextrun"/>
          <w:rFonts w:ascii="Arial" w:hAnsi="Arial" w:cs="Arial"/>
          <w:color w:val="000000"/>
        </w:rPr>
        <w:t>clinical services and strengthen integration between healthcare and community providers, supporting NHS goals for personalised and preventative care.</w:t>
      </w:r>
      <w:r>
        <w:rPr>
          <w:rStyle w:val="eop"/>
          <w:rFonts w:ascii="Arial" w:hAnsi="Arial" w:cs="Arial"/>
          <w:color w:val="000000"/>
        </w:rPr>
        <w:t> </w:t>
      </w:r>
    </w:p>
    <w:p w14:paraId="48132437"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216123CE" w14:textId="77777777" w:rsidR="00D315A9" w:rsidRDefault="00D315A9" w:rsidP="00D315A9">
      <w:pPr>
        <w:pStyle w:val="paragraph"/>
        <w:spacing w:before="0" w:after="0"/>
        <w:textAlignment w:val="baseline"/>
        <w:rPr>
          <w:rFonts w:ascii="Segoe UI" w:hAnsi="Segoe UI" w:cs="Segoe UI"/>
          <w:b/>
          <w:bCs/>
          <w:sz w:val="18"/>
          <w:szCs w:val="18"/>
        </w:rPr>
      </w:pPr>
      <w:r>
        <w:rPr>
          <w:rStyle w:val="normaltextrun"/>
          <w:rFonts w:ascii="Arial" w:hAnsi="Arial" w:cs="Arial"/>
          <w:b/>
          <w:bCs/>
          <w:color w:val="000000"/>
        </w:rPr>
        <w:t>Theme 2: Implementation Challenges and Risk of Digital Exclusion</w:t>
      </w:r>
      <w:r>
        <w:rPr>
          <w:rStyle w:val="eop"/>
          <w:rFonts w:ascii="Arial" w:hAnsi="Arial" w:cs="Arial"/>
          <w:b/>
          <w:bCs/>
          <w:color w:val="000000"/>
        </w:rPr>
        <w:t> </w:t>
      </w:r>
    </w:p>
    <w:p w14:paraId="26A756CD"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Despite their potential benefits, all three studies identified significant implementation challenges</w:t>
      </w:r>
      <w:r>
        <w:rPr>
          <w:rStyle w:val="normaltextrun"/>
          <w:rFonts w:ascii="Arial" w:hAnsi="Arial" w:cs="Arial"/>
          <w:b/>
          <w:bCs/>
          <w:color w:val="000000"/>
        </w:rPr>
        <w:t>,</w:t>
      </w:r>
      <w:r>
        <w:rPr>
          <w:rStyle w:val="apple-converted-space"/>
          <w:rFonts w:ascii="Arial" w:hAnsi="Arial" w:cs="Arial"/>
          <w:color w:val="000000"/>
        </w:rPr>
        <w:t> </w:t>
      </w:r>
      <w:r>
        <w:rPr>
          <w:rStyle w:val="normaltextrun"/>
          <w:rFonts w:ascii="Arial" w:hAnsi="Arial" w:cs="Arial"/>
          <w:color w:val="000000"/>
        </w:rPr>
        <w:t>particularly concerning equity and effectiveness.</w:t>
      </w:r>
      <w:r>
        <w:rPr>
          <w:rStyle w:val="eop"/>
          <w:rFonts w:ascii="Arial" w:hAnsi="Arial" w:cs="Arial"/>
          <w:color w:val="000000"/>
        </w:rPr>
        <w:t> </w:t>
      </w:r>
    </w:p>
    <w:p w14:paraId="7CB9BC74"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Carnes et al. (2017) found that while referral systems were in place, inconsistent delivery and insufficient follow</w:t>
      </w:r>
      <w:r>
        <w:rPr>
          <w:rStyle w:val="nobreakhyphenblob"/>
          <w:rFonts w:ascii="Arial" w:hAnsi="Arial" w:cs="Arial"/>
          <w:color w:val="000000"/>
        </w:rPr>
        <w:noBreakHyphen/>
      </w:r>
      <w:r>
        <w:rPr>
          <w:rStyle w:val="normaltextrun"/>
          <w:rFonts w:ascii="Arial" w:hAnsi="Arial" w:cs="Arial"/>
          <w:color w:val="000000"/>
        </w:rPr>
        <w:t>up limited the impact of digital-supported social prescribing on patient wellbeing.  </w:t>
      </w:r>
      <w:r>
        <w:rPr>
          <w:rStyle w:val="eop"/>
          <w:rFonts w:ascii="Arial" w:hAnsi="Arial" w:cs="Arial"/>
          <w:color w:val="000000"/>
        </w:rPr>
        <w:t> </w:t>
      </w:r>
    </w:p>
    <w:p w14:paraId="7C7FA101"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Farre et al. (2023) highlighted that many digital health interventions were designed around system efficiency rather than patient needs, with limited consideration of digital literacy, access to technology, and socio</w:t>
      </w:r>
      <w:r>
        <w:rPr>
          <w:rStyle w:val="nobreakhyphenblob"/>
          <w:rFonts w:ascii="Arial" w:hAnsi="Arial" w:cs="Arial"/>
          <w:color w:val="000000"/>
        </w:rPr>
        <w:noBreakHyphen/>
      </w:r>
      <w:r>
        <w:rPr>
          <w:rStyle w:val="normaltextrun"/>
          <w:rFonts w:ascii="Arial" w:hAnsi="Arial" w:cs="Arial"/>
          <w:color w:val="000000"/>
        </w:rPr>
        <w:t>economic disadvantage, increasing the risk of widening health inequalities.  </w:t>
      </w:r>
      <w:r>
        <w:rPr>
          <w:rStyle w:val="eop"/>
          <w:rFonts w:ascii="Arial" w:hAnsi="Arial" w:cs="Arial"/>
          <w:color w:val="000000"/>
        </w:rPr>
        <w:t> </w:t>
      </w:r>
    </w:p>
    <w:p w14:paraId="47508EBC" w14:textId="4E79614A"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Han Dayani</w:t>
      </w:r>
      <w:r>
        <w:rPr>
          <w:rStyle w:val="apple-converted-space"/>
          <w:rFonts w:ascii="Arial" w:hAnsi="Arial" w:cs="Arial"/>
          <w:color w:val="000000"/>
        </w:rPr>
        <w:t> </w:t>
      </w:r>
      <w:r>
        <w:rPr>
          <w:rStyle w:val="normaltextrun"/>
          <w:rFonts w:ascii="Arial" w:hAnsi="Arial" w:cs="Arial"/>
          <w:color w:val="000000"/>
        </w:rPr>
        <w:t>et al. (2025) reported that patients experienced reduced benefits when services were poorly coordinated or when digital processes did not match their readiness, preferences, or access capabilities.  </w:t>
      </w:r>
      <w:r>
        <w:rPr>
          <w:rStyle w:val="eop"/>
          <w:rFonts w:ascii="Arial" w:hAnsi="Arial" w:cs="Arial"/>
          <w:color w:val="000000"/>
        </w:rPr>
        <w:t> </w:t>
      </w:r>
    </w:p>
    <w:p w14:paraId="7880A75F" w14:textId="77777777" w:rsidR="00D315A9" w:rsidRDefault="00D315A9" w:rsidP="00D315A9">
      <w:pPr>
        <w:pStyle w:val="paragraph"/>
        <w:spacing w:before="0" w:after="0"/>
        <w:textAlignment w:val="baseline"/>
        <w:rPr>
          <w:rFonts w:ascii="Segoe UI" w:hAnsi="Segoe UI" w:cs="Segoe UI"/>
          <w:sz w:val="18"/>
          <w:szCs w:val="18"/>
        </w:rPr>
      </w:pPr>
      <w:r>
        <w:rPr>
          <w:rStyle w:val="scxw85869854"/>
        </w:rPr>
        <w:t> </w:t>
      </w:r>
      <w:r>
        <w:br/>
      </w:r>
      <w:r>
        <w:rPr>
          <w:rStyle w:val="normaltextrun"/>
          <w:rFonts w:ascii="Arial" w:hAnsi="Arial" w:cs="Arial"/>
          <w:color w:val="000000"/>
        </w:rPr>
        <w:t>This theme highlights that without inclusive design, staff training, and robust evaluation, digital tools may unintentionally exclude vulnerable populations and</w:t>
      </w:r>
      <w:r>
        <w:rPr>
          <w:rStyle w:val="apple-converted-space"/>
          <w:rFonts w:ascii="Arial" w:hAnsi="Arial" w:cs="Arial"/>
          <w:color w:val="000000"/>
        </w:rPr>
        <w:t> </w:t>
      </w:r>
      <w:r>
        <w:rPr>
          <w:rStyle w:val="normaltextrun"/>
          <w:rFonts w:ascii="Arial" w:hAnsi="Arial" w:cs="Arial"/>
          <w:color w:val="000000"/>
        </w:rPr>
        <w:t>fail to</w:t>
      </w:r>
      <w:r>
        <w:rPr>
          <w:rStyle w:val="apple-converted-space"/>
          <w:rFonts w:ascii="Arial" w:hAnsi="Arial" w:cs="Arial"/>
          <w:color w:val="000000"/>
        </w:rPr>
        <w:t> </w:t>
      </w:r>
      <w:r>
        <w:rPr>
          <w:rStyle w:val="normaltextrun"/>
          <w:rFonts w:ascii="Arial" w:hAnsi="Arial" w:cs="Arial"/>
          <w:color w:val="000000"/>
        </w:rPr>
        <w:t>deliver meaningful outcomes</w:t>
      </w:r>
      <w:r>
        <w:rPr>
          <w:rStyle w:val="eop"/>
          <w:rFonts w:ascii="Arial" w:hAnsi="Arial" w:cs="Arial"/>
          <w:color w:val="000000"/>
        </w:rPr>
        <w:t> </w:t>
      </w:r>
    </w:p>
    <w:p w14:paraId="7AA1E8FC" w14:textId="77777777" w:rsidR="00D315A9" w:rsidRDefault="00D315A9" w:rsidP="00D315A9">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rPr>
        <w:lastRenderedPageBreak/>
        <w:t xml:space="preserve">5. </w:t>
      </w:r>
      <w:r w:rsidRPr="000C400C">
        <w:rPr>
          <w:rStyle w:val="normaltextrun"/>
          <w:rFonts w:ascii="Arial" w:hAnsi="Arial" w:cs="Arial"/>
          <w:b/>
          <w:bCs/>
          <w:u w:val="single"/>
        </w:rPr>
        <w:t>Discussion</w:t>
      </w:r>
      <w:r>
        <w:rPr>
          <w:rStyle w:val="eop"/>
          <w:rFonts w:ascii="Arial" w:hAnsi="Arial" w:cs="Arial"/>
          <w:b/>
          <w:bCs/>
        </w:rPr>
        <w:t> </w:t>
      </w:r>
    </w:p>
    <w:p w14:paraId="307406F4"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This scoping review examined the efficacy and implementation of digital tools designed to connect patients with non</w:t>
      </w:r>
      <w:r>
        <w:rPr>
          <w:rStyle w:val="nobreakhyphenblob"/>
          <w:rFonts w:ascii="Arial" w:hAnsi="Arial" w:cs="Arial"/>
        </w:rPr>
        <w:noBreakHyphen/>
      </w:r>
      <w:r>
        <w:rPr>
          <w:rStyle w:val="normaltextrun"/>
          <w:rFonts w:ascii="Arial" w:hAnsi="Arial" w:cs="Arial"/>
        </w:rPr>
        <w:t>clinical support services in the UK. The findings highlight both the potential value of digital approaches in</w:t>
      </w:r>
      <w:r>
        <w:rPr>
          <w:rStyle w:val="apple-converted-space"/>
          <w:rFonts w:ascii="Arial" w:hAnsi="Arial" w:cs="Arial"/>
        </w:rPr>
        <w:t> </w:t>
      </w:r>
      <w:r>
        <w:rPr>
          <w:rStyle w:val="normaltextrun"/>
          <w:rFonts w:ascii="Arial" w:hAnsi="Arial" w:cs="Arial"/>
        </w:rPr>
        <w:t>facilitating</w:t>
      </w:r>
      <w:r>
        <w:rPr>
          <w:rStyle w:val="apple-converted-space"/>
          <w:rFonts w:ascii="Arial" w:hAnsi="Arial" w:cs="Arial"/>
        </w:rPr>
        <w:t> </w:t>
      </w:r>
      <w:r>
        <w:rPr>
          <w:rStyle w:val="normaltextrun"/>
          <w:rFonts w:ascii="Arial" w:hAnsi="Arial" w:cs="Arial"/>
        </w:rPr>
        <w:t>holistic, community</w:t>
      </w:r>
      <w:r>
        <w:rPr>
          <w:rStyle w:val="nobreakhyphenblob"/>
          <w:rFonts w:ascii="Arial" w:hAnsi="Arial" w:cs="Arial"/>
        </w:rPr>
        <w:noBreakHyphen/>
      </w:r>
      <w:r>
        <w:rPr>
          <w:rStyle w:val="normaltextrun"/>
          <w:rFonts w:ascii="Arial" w:hAnsi="Arial" w:cs="Arial"/>
        </w:rPr>
        <w:t>based care and the significant challenges that limit their consistent effectiveness. Two overarching themes were</w:t>
      </w:r>
      <w:r>
        <w:rPr>
          <w:rStyle w:val="apple-converted-space"/>
          <w:rFonts w:ascii="Arial" w:hAnsi="Arial" w:cs="Arial"/>
        </w:rPr>
        <w:t> </w:t>
      </w:r>
      <w:r>
        <w:rPr>
          <w:rStyle w:val="normaltextrun"/>
          <w:rFonts w:ascii="Arial" w:hAnsi="Arial" w:cs="Arial"/>
        </w:rPr>
        <w:t>identified: improved access and coordination of non</w:t>
      </w:r>
      <w:r>
        <w:rPr>
          <w:rStyle w:val="nobreakhyphenblob"/>
          <w:rFonts w:ascii="Arial" w:hAnsi="Arial" w:cs="Arial"/>
        </w:rPr>
        <w:noBreakHyphen/>
      </w:r>
      <w:r>
        <w:rPr>
          <w:rStyle w:val="normaltextrun"/>
          <w:rFonts w:ascii="Arial" w:hAnsi="Arial" w:cs="Arial"/>
        </w:rPr>
        <w:t>clinical support, and persistent implementation challenges, particularly digital</w:t>
      </w:r>
      <w:r>
        <w:rPr>
          <w:rStyle w:val="apple-converted-space"/>
          <w:rFonts w:ascii="Arial" w:hAnsi="Arial" w:cs="Arial"/>
        </w:rPr>
        <w:t> </w:t>
      </w:r>
      <w:r>
        <w:rPr>
          <w:rStyle w:val="normaltextrun"/>
          <w:rFonts w:ascii="Arial" w:hAnsi="Arial" w:cs="Arial"/>
        </w:rPr>
        <w:t>exclusion</w:t>
      </w:r>
      <w:r>
        <w:rPr>
          <w:rStyle w:val="apple-converted-space"/>
          <w:rFonts w:ascii="Arial" w:hAnsi="Arial" w:cs="Arial"/>
        </w:rPr>
        <w:t> </w:t>
      </w:r>
      <w:r>
        <w:rPr>
          <w:rStyle w:val="normaltextrun"/>
          <w:rFonts w:ascii="Arial" w:hAnsi="Arial" w:cs="Arial"/>
        </w:rPr>
        <w:t>and limited evidence of effectiveness.</w:t>
      </w:r>
      <w:r>
        <w:rPr>
          <w:rStyle w:val="eop"/>
          <w:rFonts w:ascii="Arial" w:hAnsi="Arial" w:cs="Arial"/>
        </w:rPr>
        <w:t> </w:t>
      </w:r>
    </w:p>
    <w:p w14:paraId="6E3B9EC5"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Efficacy of Digital Tools in Supporting Non</w:t>
      </w:r>
      <w:r>
        <w:rPr>
          <w:rStyle w:val="nobreakhyphenblob"/>
          <w:rFonts w:ascii="Arial" w:hAnsi="Arial" w:cs="Arial"/>
        </w:rPr>
        <w:noBreakHyphen/>
      </w:r>
      <w:r>
        <w:rPr>
          <w:rStyle w:val="normaltextrun"/>
          <w:rFonts w:ascii="Arial" w:hAnsi="Arial" w:cs="Arial"/>
        </w:rPr>
        <w:t>Clinical Care</w:t>
      </w:r>
      <w:r>
        <w:rPr>
          <w:rStyle w:val="eop"/>
          <w:rFonts w:ascii="Arial" w:hAnsi="Arial" w:cs="Arial"/>
        </w:rPr>
        <w:t> </w:t>
      </w:r>
    </w:p>
    <w:p w14:paraId="0046ED7F" w14:textId="18708EE0"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Across the included studies, digital tools</w:t>
      </w:r>
      <w:r>
        <w:rPr>
          <w:rStyle w:val="apple-converted-space"/>
          <w:rFonts w:ascii="Arial" w:hAnsi="Arial" w:cs="Arial"/>
        </w:rPr>
        <w:t> </w:t>
      </w:r>
      <w:r>
        <w:rPr>
          <w:rStyle w:val="normaltextrun"/>
          <w:rFonts w:ascii="Arial" w:hAnsi="Arial" w:cs="Arial"/>
        </w:rPr>
        <w:t>demonstrated</w:t>
      </w:r>
      <w:r>
        <w:rPr>
          <w:rStyle w:val="apple-converted-space"/>
          <w:rFonts w:ascii="Arial" w:hAnsi="Arial" w:cs="Arial"/>
        </w:rPr>
        <w:t> </w:t>
      </w:r>
      <w:r>
        <w:rPr>
          <w:rStyle w:val="normaltextrun"/>
          <w:rFonts w:ascii="Arial" w:hAnsi="Arial" w:cs="Arial"/>
        </w:rPr>
        <w:t>potential to improve efficiency within social prescribing and non</w:t>
      </w:r>
      <w:r>
        <w:rPr>
          <w:rStyle w:val="nobreakhyphenblob"/>
          <w:rFonts w:ascii="Arial" w:hAnsi="Arial" w:cs="Arial"/>
        </w:rPr>
        <w:noBreakHyphen/>
      </w:r>
      <w:r>
        <w:rPr>
          <w:rStyle w:val="normaltextrun"/>
          <w:rFonts w:ascii="Arial" w:hAnsi="Arial" w:cs="Arial"/>
        </w:rPr>
        <w:t>clinical referral pathways. Digitally enabled systems were found to support referral processes, information sharing, and follow</w:t>
      </w:r>
      <w:r>
        <w:rPr>
          <w:rStyle w:val="nobreakhyphenblob"/>
          <w:rFonts w:ascii="Arial" w:hAnsi="Arial" w:cs="Arial"/>
        </w:rPr>
        <w:noBreakHyphen/>
      </w:r>
      <w:r>
        <w:rPr>
          <w:rStyle w:val="normaltextrun"/>
          <w:rFonts w:ascii="Arial" w:hAnsi="Arial" w:cs="Arial"/>
        </w:rPr>
        <w:t>up, contributing to better coordination between primary care, link workers, and voluntary sector organisations. Carnes et al. (2017) reported that social prescribing services supported by structured systems were associated with reductions in GP consultation rates, suggesting that patients’ non</w:t>
      </w:r>
      <w:r>
        <w:rPr>
          <w:rStyle w:val="nobreakhyphenblob"/>
          <w:rFonts w:ascii="Arial" w:hAnsi="Arial" w:cs="Arial"/>
        </w:rPr>
        <w:noBreakHyphen/>
      </w:r>
      <w:r>
        <w:rPr>
          <w:rStyle w:val="normaltextrun"/>
          <w:rFonts w:ascii="Arial" w:hAnsi="Arial" w:cs="Arial"/>
        </w:rPr>
        <w:t>medical needs were being addressed more appropriately outside of traditional clinical settings. [PubMed...lm.nih.gov]</w:t>
      </w:r>
      <w:r>
        <w:rPr>
          <w:rStyle w:val="eop"/>
          <w:rFonts w:ascii="Arial" w:hAnsi="Arial" w:cs="Arial"/>
        </w:rPr>
        <w:t> </w:t>
      </w:r>
    </w:p>
    <w:p w14:paraId="3C11D344"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Similarly, Farre et al. (2023)</w:t>
      </w:r>
      <w:r>
        <w:rPr>
          <w:rStyle w:val="apple-converted-space"/>
          <w:rFonts w:ascii="Arial" w:hAnsi="Arial" w:cs="Arial"/>
        </w:rPr>
        <w:t> </w:t>
      </w:r>
      <w:r>
        <w:rPr>
          <w:rStyle w:val="normaltextrun"/>
          <w:rFonts w:ascii="Arial" w:hAnsi="Arial" w:cs="Arial"/>
        </w:rPr>
        <w:t>identified</w:t>
      </w:r>
      <w:r>
        <w:rPr>
          <w:rStyle w:val="apple-converted-space"/>
          <w:rFonts w:ascii="Arial" w:hAnsi="Arial" w:cs="Arial"/>
        </w:rPr>
        <w:t> </w:t>
      </w:r>
      <w:r>
        <w:rPr>
          <w:rStyle w:val="normaltextrun"/>
          <w:rFonts w:ascii="Arial" w:hAnsi="Arial" w:cs="Arial"/>
        </w:rPr>
        <w:t>that digital health interventions, including those supporting non</w:t>
      </w:r>
      <w:r>
        <w:rPr>
          <w:rStyle w:val="nobreakhyphenblob"/>
          <w:rFonts w:ascii="Arial" w:hAnsi="Arial" w:cs="Arial"/>
        </w:rPr>
        <w:noBreakHyphen/>
      </w:r>
      <w:r>
        <w:rPr>
          <w:rStyle w:val="normaltextrun"/>
          <w:rFonts w:ascii="Arial" w:hAnsi="Arial" w:cs="Arial"/>
        </w:rPr>
        <w:t>clinical care, can enhance service accessibility and administrative efficiency by streamlining referral pathways and enabling better data capture. These findings align with NHS</w:t>
      </w:r>
      <w:r>
        <w:rPr>
          <w:rStyle w:val="apple-converted-space"/>
          <w:rFonts w:ascii="Arial" w:hAnsi="Arial" w:cs="Arial"/>
        </w:rPr>
        <w:t> </w:t>
      </w:r>
      <w:r>
        <w:rPr>
          <w:rStyle w:val="normaltextrun"/>
          <w:rFonts w:ascii="Arial" w:hAnsi="Arial" w:cs="Arial"/>
        </w:rPr>
        <w:t>objectives</w:t>
      </w:r>
      <w:r>
        <w:rPr>
          <w:rStyle w:val="apple-converted-space"/>
          <w:rFonts w:ascii="Arial" w:hAnsi="Arial" w:cs="Arial"/>
        </w:rPr>
        <w:t> </w:t>
      </w:r>
      <w:r>
        <w:rPr>
          <w:rStyle w:val="normaltextrun"/>
          <w:rFonts w:ascii="Arial" w:hAnsi="Arial" w:cs="Arial"/>
        </w:rPr>
        <w:t>to reduce pressure on primary care and promote preventative, personalised models of care. </w:t>
      </w:r>
      <w:r>
        <w:rPr>
          <w:rStyle w:val="eop"/>
          <w:rFonts w:ascii="Arial" w:hAnsi="Arial" w:cs="Arial"/>
        </w:rPr>
        <w:t> </w:t>
      </w:r>
    </w:p>
    <w:p w14:paraId="12E29F0A" w14:textId="41C1EE3A"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Patient perspectives further support the perceived value of well</w:t>
      </w:r>
      <w:r>
        <w:rPr>
          <w:rStyle w:val="nobreakhyphenblob"/>
          <w:rFonts w:ascii="Arial" w:hAnsi="Arial" w:cs="Arial"/>
        </w:rPr>
        <w:noBreakHyphen/>
      </w:r>
      <w:r>
        <w:rPr>
          <w:rStyle w:val="normaltextrun"/>
          <w:rFonts w:ascii="Arial" w:hAnsi="Arial" w:cs="Arial"/>
        </w:rPr>
        <w:t>implemented systems.</w:t>
      </w:r>
      <w:r>
        <w:rPr>
          <w:rStyle w:val="apple-converted-space"/>
          <w:rFonts w:ascii="Arial" w:hAnsi="Arial" w:cs="Arial"/>
        </w:rPr>
        <w:t> </w:t>
      </w:r>
      <w:r>
        <w:rPr>
          <w:rStyle w:val="normaltextrun"/>
          <w:rFonts w:ascii="Arial" w:hAnsi="Arial" w:cs="Arial"/>
        </w:rPr>
        <w:t>Han Dayani</w:t>
      </w:r>
      <w:r>
        <w:rPr>
          <w:rStyle w:val="apple-converted-space"/>
          <w:rFonts w:ascii="Arial" w:hAnsi="Arial" w:cs="Arial"/>
        </w:rPr>
        <w:t> </w:t>
      </w:r>
      <w:r>
        <w:rPr>
          <w:rStyle w:val="normaltextrun"/>
          <w:rFonts w:ascii="Arial" w:hAnsi="Arial" w:cs="Arial"/>
        </w:rPr>
        <w:t>et al. (2025) found that patients experienced greater feelings of support and empowerment when care pathways were well coordinated and aligned with their needs, often</w:t>
      </w:r>
      <w:r>
        <w:rPr>
          <w:rStyle w:val="apple-converted-space"/>
          <w:rFonts w:ascii="Arial" w:hAnsi="Arial" w:cs="Arial"/>
        </w:rPr>
        <w:t> </w:t>
      </w:r>
      <w:r>
        <w:rPr>
          <w:rStyle w:val="normaltextrun"/>
          <w:rFonts w:ascii="Arial" w:hAnsi="Arial" w:cs="Arial"/>
        </w:rPr>
        <w:t>facilitated</w:t>
      </w:r>
      <w:r>
        <w:rPr>
          <w:rStyle w:val="apple-converted-space"/>
          <w:rFonts w:ascii="Arial" w:hAnsi="Arial" w:cs="Arial"/>
        </w:rPr>
        <w:t> </w:t>
      </w:r>
      <w:r>
        <w:rPr>
          <w:rStyle w:val="normaltextrun"/>
          <w:rFonts w:ascii="Arial" w:hAnsi="Arial" w:cs="Arial"/>
        </w:rPr>
        <w:t>by structured systems that may include digital tools. This suggests that the efficacy of digital tools is not solely dependent on the technology itself but on how effectively it is integrated into person</w:t>
      </w:r>
      <w:r>
        <w:rPr>
          <w:rStyle w:val="nobreakhyphenblob"/>
          <w:rFonts w:ascii="Arial" w:hAnsi="Arial" w:cs="Arial"/>
        </w:rPr>
        <w:noBreakHyphen/>
      </w:r>
      <w:r>
        <w:rPr>
          <w:rStyle w:val="normaltextrun"/>
          <w:rFonts w:ascii="Arial" w:hAnsi="Arial" w:cs="Arial"/>
        </w:rPr>
        <w:t>centred care models. </w:t>
      </w:r>
      <w:r>
        <w:rPr>
          <w:rStyle w:val="eop"/>
          <w:rFonts w:ascii="Arial" w:hAnsi="Arial" w:cs="Arial"/>
        </w:rPr>
        <w:t> </w:t>
      </w:r>
    </w:p>
    <w:p w14:paraId="1AFC0180"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Implementation Challenges and Digital Inequality</w:t>
      </w:r>
      <w:r>
        <w:rPr>
          <w:rStyle w:val="eop"/>
          <w:rFonts w:ascii="Arial" w:hAnsi="Arial" w:cs="Arial"/>
        </w:rPr>
        <w:t> </w:t>
      </w:r>
    </w:p>
    <w:p w14:paraId="50D24E2F"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Despite these potential benefits, the reviewed evidence highlights substantial challenges in the implementation of digital tools for non</w:t>
      </w:r>
      <w:r>
        <w:rPr>
          <w:rStyle w:val="nobreakhyphenblob"/>
          <w:rFonts w:ascii="Arial" w:hAnsi="Arial" w:cs="Arial"/>
        </w:rPr>
        <w:noBreakHyphen/>
      </w:r>
      <w:r>
        <w:rPr>
          <w:rStyle w:val="normaltextrun"/>
          <w:rFonts w:ascii="Arial" w:hAnsi="Arial" w:cs="Arial"/>
        </w:rPr>
        <w:t>clinical support. A consistent issue across studies was the lack of robust evidence</w:t>
      </w:r>
      <w:r>
        <w:rPr>
          <w:rStyle w:val="apple-converted-space"/>
          <w:rFonts w:ascii="Arial" w:hAnsi="Arial" w:cs="Arial"/>
        </w:rPr>
        <w:t> </w:t>
      </w:r>
      <w:r>
        <w:rPr>
          <w:rStyle w:val="normaltextrun"/>
          <w:rFonts w:ascii="Arial" w:hAnsi="Arial" w:cs="Arial"/>
        </w:rPr>
        <w:t>demonstrating</w:t>
      </w:r>
      <w:r>
        <w:rPr>
          <w:rStyle w:val="apple-converted-space"/>
          <w:rFonts w:ascii="Arial" w:hAnsi="Arial" w:cs="Arial"/>
        </w:rPr>
        <w:t> </w:t>
      </w:r>
      <w:r>
        <w:rPr>
          <w:rStyle w:val="normaltextrun"/>
          <w:rFonts w:ascii="Arial" w:hAnsi="Arial" w:cs="Arial"/>
        </w:rPr>
        <w:t>measurable health outcomes. While process indicators such as referral rates and service engagement were commonly reported, improvements in wellbeing or long</w:t>
      </w:r>
      <w:r>
        <w:rPr>
          <w:rStyle w:val="nobreakhyphenblob"/>
          <w:rFonts w:ascii="Arial" w:hAnsi="Arial" w:cs="Arial"/>
        </w:rPr>
        <w:noBreakHyphen/>
      </w:r>
      <w:r>
        <w:rPr>
          <w:rStyle w:val="normaltextrun"/>
          <w:rFonts w:ascii="Arial" w:hAnsi="Arial" w:cs="Arial"/>
        </w:rPr>
        <w:t>term health outcomes were inconsistent. Carnes et al. (2017) found limited changes in psychological wellbeing outcomes, despite reductions in GP appointments, raising questions about the depth and sustainability of impact. </w:t>
      </w:r>
      <w:r>
        <w:rPr>
          <w:rStyle w:val="eop"/>
          <w:rFonts w:ascii="Arial" w:hAnsi="Arial" w:cs="Arial"/>
        </w:rPr>
        <w:t> </w:t>
      </w:r>
    </w:p>
    <w:p w14:paraId="2F0E543E"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Farre et al. (2023) further emphasised that many digital interventions in the UK have been insufficiently evaluated and often prioritise system</w:t>
      </w:r>
      <w:r>
        <w:rPr>
          <w:rStyle w:val="nobreakhyphenblob"/>
          <w:rFonts w:ascii="Arial" w:hAnsi="Arial" w:cs="Arial"/>
        </w:rPr>
        <w:noBreakHyphen/>
      </w:r>
      <w:r>
        <w:rPr>
          <w:rStyle w:val="normaltextrun"/>
          <w:rFonts w:ascii="Arial" w:hAnsi="Arial" w:cs="Arial"/>
        </w:rPr>
        <w:t>level efficiency over patient</w:t>
      </w:r>
      <w:r>
        <w:rPr>
          <w:rStyle w:val="nobreakhyphenblob"/>
          <w:rFonts w:ascii="Arial" w:hAnsi="Arial" w:cs="Arial"/>
        </w:rPr>
        <w:noBreakHyphen/>
      </w:r>
      <w:r>
        <w:rPr>
          <w:rStyle w:val="normaltextrun"/>
          <w:rFonts w:ascii="Arial" w:hAnsi="Arial" w:cs="Arial"/>
        </w:rPr>
        <w:t>centred outcomes. This lack of rigorous evaluation limits the ability to</w:t>
      </w:r>
      <w:r>
        <w:rPr>
          <w:rStyle w:val="apple-converted-space"/>
          <w:rFonts w:ascii="Arial" w:hAnsi="Arial" w:cs="Arial"/>
        </w:rPr>
        <w:t> </w:t>
      </w:r>
      <w:r>
        <w:rPr>
          <w:rStyle w:val="normaltextrun"/>
          <w:rFonts w:ascii="Arial" w:hAnsi="Arial" w:cs="Arial"/>
        </w:rPr>
        <w:t>determine</w:t>
      </w:r>
      <w:r>
        <w:rPr>
          <w:rStyle w:val="apple-converted-space"/>
          <w:rFonts w:ascii="Arial" w:hAnsi="Arial" w:cs="Arial"/>
        </w:rPr>
        <w:t> </w:t>
      </w:r>
      <w:r>
        <w:rPr>
          <w:rStyle w:val="normaltextrun"/>
          <w:rFonts w:ascii="Arial" w:hAnsi="Arial" w:cs="Arial"/>
        </w:rPr>
        <w:t>cost</w:t>
      </w:r>
      <w:r>
        <w:rPr>
          <w:rStyle w:val="nobreakhyphenblob"/>
          <w:rFonts w:ascii="Arial" w:hAnsi="Arial" w:cs="Arial"/>
        </w:rPr>
        <w:noBreakHyphen/>
      </w:r>
      <w:r>
        <w:rPr>
          <w:rStyle w:val="normaltextrun"/>
          <w:rFonts w:ascii="Arial" w:hAnsi="Arial" w:cs="Arial"/>
        </w:rPr>
        <w:t>effectiveness and value for money, which are critical considerations for widespread NHS implementation. </w:t>
      </w:r>
      <w:r>
        <w:rPr>
          <w:rStyle w:val="eop"/>
          <w:rFonts w:ascii="Arial" w:hAnsi="Arial" w:cs="Arial"/>
        </w:rPr>
        <w:t> </w:t>
      </w:r>
    </w:p>
    <w:p w14:paraId="53C288F7"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 key concern raised across the literature is the risk of digital exclusion. Individuals with limited digital literacy, poor access to technology, or complex social circumstances are less likely to engage with digital systems, potentially widening existing health inequalities. Farre et al. (2023) highlighted that digital health interventions may inadvertently disadvantage those most in need of non</w:t>
      </w:r>
      <w:r>
        <w:rPr>
          <w:rStyle w:val="nobreakhyphenblob"/>
          <w:rFonts w:ascii="Arial" w:hAnsi="Arial" w:cs="Arial"/>
        </w:rPr>
        <w:noBreakHyphen/>
      </w:r>
      <w:r>
        <w:rPr>
          <w:rStyle w:val="normaltextrun"/>
          <w:rFonts w:ascii="Arial" w:hAnsi="Arial" w:cs="Arial"/>
        </w:rPr>
        <w:t>clinical support, undermining the equity goals of social prescribing initiatives. </w:t>
      </w:r>
      <w:r>
        <w:rPr>
          <w:rStyle w:val="eop"/>
          <w:rFonts w:ascii="Arial" w:hAnsi="Arial" w:cs="Arial"/>
        </w:rPr>
        <w:t> </w:t>
      </w:r>
    </w:p>
    <w:p w14:paraId="690D5FA4" w14:textId="4A509B99"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Han Dayani</w:t>
      </w:r>
      <w:r>
        <w:rPr>
          <w:rStyle w:val="apple-converted-space"/>
          <w:rFonts w:ascii="Arial" w:hAnsi="Arial" w:cs="Arial"/>
        </w:rPr>
        <w:t> </w:t>
      </w:r>
      <w:r>
        <w:rPr>
          <w:rStyle w:val="normaltextrun"/>
          <w:rFonts w:ascii="Arial" w:hAnsi="Arial" w:cs="Arial"/>
        </w:rPr>
        <w:t>et al. (2025) reinforced this concern by</w:t>
      </w:r>
      <w:r>
        <w:rPr>
          <w:rStyle w:val="apple-converted-space"/>
          <w:rFonts w:ascii="Arial" w:hAnsi="Arial" w:cs="Arial"/>
        </w:rPr>
        <w:t> </w:t>
      </w:r>
      <w:r>
        <w:rPr>
          <w:rStyle w:val="normaltextrun"/>
          <w:rFonts w:ascii="Arial" w:hAnsi="Arial" w:cs="Arial"/>
        </w:rPr>
        <w:t>demonstrating</w:t>
      </w:r>
      <w:r>
        <w:rPr>
          <w:rStyle w:val="apple-converted-space"/>
          <w:rFonts w:ascii="Arial" w:hAnsi="Arial" w:cs="Arial"/>
        </w:rPr>
        <w:t> </w:t>
      </w:r>
      <w:r>
        <w:rPr>
          <w:rStyle w:val="normaltextrun"/>
          <w:rFonts w:ascii="Arial" w:hAnsi="Arial" w:cs="Arial"/>
        </w:rPr>
        <w:t>that patient engagement and perceived benefit were reduced when services were poorly matched to individuals’ capabilities or readiness to engage. When digital systems</w:t>
      </w:r>
      <w:r>
        <w:rPr>
          <w:rStyle w:val="apple-converted-space"/>
          <w:rFonts w:ascii="Arial" w:hAnsi="Arial" w:cs="Arial"/>
        </w:rPr>
        <w:t> </w:t>
      </w:r>
      <w:r>
        <w:rPr>
          <w:rStyle w:val="normaltextrun"/>
          <w:rFonts w:ascii="Arial" w:hAnsi="Arial" w:cs="Arial"/>
        </w:rPr>
        <w:t>failed to</w:t>
      </w:r>
      <w:r>
        <w:rPr>
          <w:rStyle w:val="apple-converted-space"/>
          <w:rFonts w:ascii="Arial" w:hAnsi="Arial" w:cs="Arial"/>
        </w:rPr>
        <w:t> </w:t>
      </w:r>
      <w:r>
        <w:rPr>
          <w:rStyle w:val="normaltextrun"/>
          <w:rFonts w:ascii="Arial" w:hAnsi="Arial" w:cs="Arial"/>
        </w:rPr>
        <w:t>accommodate patient preferences or provide adequate support, outcomes were less positive. This suggests that digital tools should complement, rather than replace, human support delivered by link workers and community professionals. </w:t>
      </w:r>
      <w:r>
        <w:rPr>
          <w:rStyle w:val="eop"/>
          <w:rFonts w:ascii="Arial" w:hAnsi="Arial" w:cs="Arial"/>
        </w:rPr>
        <w:t> </w:t>
      </w:r>
    </w:p>
    <w:p w14:paraId="411B16B5"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Implications for Health and Social Care Practice</w:t>
      </w:r>
      <w:r>
        <w:rPr>
          <w:rStyle w:val="eop"/>
          <w:rFonts w:ascii="Arial" w:hAnsi="Arial" w:cs="Arial"/>
        </w:rPr>
        <w:t> </w:t>
      </w:r>
    </w:p>
    <w:p w14:paraId="4742E875"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findings of this review have important implications for health and social care practice in the UK. Digital tools have the potential to enhance social prescribing by improving coordination, tracking outcomes, and supporting system integration. However, their success depends on inclusive design, adequate staff training, and ongoing evaluation. Effective implementation requires digital systems to be flexible, accessible, and responsive to the needs of diverse populations.</w:t>
      </w:r>
      <w:r>
        <w:rPr>
          <w:rStyle w:val="eop"/>
          <w:rFonts w:ascii="Arial" w:hAnsi="Arial" w:cs="Arial"/>
        </w:rPr>
        <w:t> </w:t>
      </w:r>
    </w:p>
    <w:p w14:paraId="6CDCAE03"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evidence suggests that digital tools should be embedded within wider personalised care frameworks rather than implemented as standalone solutions. Link workers and healthcare professionals</w:t>
      </w:r>
      <w:r>
        <w:rPr>
          <w:rStyle w:val="apple-converted-space"/>
          <w:rFonts w:ascii="Arial" w:hAnsi="Arial" w:cs="Arial"/>
        </w:rPr>
        <w:t> </w:t>
      </w:r>
      <w:r>
        <w:rPr>
          <w:rStyle w:val="normaltextrun"/>
          <w:rFonts w:ascii="Arial" w:hAnsi="Arial" w:cs="Arial"/>
        </w:rPr>
        <w:t>remain</w:t>
      </w:r>
      <w:r>
        <w:rPr>
          <w:rStyle w:val="apple-converted-space"/>
          <w:rFonts w:ascii="Arial" w:hAnsi="Arial" w:cs="Arial"/>
        </w:rPr>
        <w:t> </w:t>
      </w:r>
      <w:r>
        <w:rPr>
          <w:rStyle w:val="normaltextrun"/>
          <w:rFonts w:ascii="Arial" w:hAnsi="Arial" w:cs="Arial"/>
        </w:rPr>
        <w:t>central to supporting patient engagement, particularly for individuals facing social or technological barriers. Without this support, digital systems risk reinforcing inequalities rather than reducing them.</w:t>
      </w:r>
      <w:r>
        <w:rPr>
          <w:rStyle w:val="eop"/>
          <w:rFonts w:ascii="Arial" w:hAnsi="Arial" w:cs="Arial"/>
        </w:rPr>
        <w:t> </w:t>
      </w:r>
    </w:p>
    <w:p w14:paraId="690C9D4D"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Limitations of the Evidence Base</w:t>
      </w:r>
      <w:r>
        <w:rPr>
          <w:rStyle w:val="eop"/>
          <w:rFonts w:ascii="Arial" w:hAnsi="Arial" w:cs="Arial"/>
        </w:rPr>
        <w:t> </w:t>
      </w:r>
    </w:p>
    <w:p w14:paraId="23FB88B0" w14:textId="4EB34AE0" w:rsidR="00D315A9" w:rsidRDefault="00D315A9" w:rsidP="00D315A9">
      <w:pPr>
        <w:pStyle w:val="paragraph"/>
        <w:spacing w:before="0" w:beforeAutospacing="0" w:after="0" w:afterAutospacing="0"/>
        <w:textAlignment w:val="baseline"/>
        <w:rPr>
          <w:rStyle w:val="eop"/>
          <w:rFonts w:ascii="Arial" w:hAnsi="Arial" w:cs="Arial"/>
        </w:rPr>
      </w:pPr>
      <w:r>
        <w:rPr>
          <w:rStyle w:val="normaltextrun"/>
          <w:rFonts w:ascii="Arial" w:hAnsi="Arial" w:cs="Arial"/>
        </w:rPr>
        <w:t>The findings must be interpreted</w:t>
      </w:r>
      <w:r>
        <w:rPr>
          <w:rStyle w:val="apple-converted-space"/>
          <w:rFonts w:ascii="Arial" w:hAnsi="Arial" w:cs="Arial"/>
        </w:rPr>
        <w:t> </w:t>
      </w:r>
      <w:r>
        <w:rPr>
          <w:rStyle w:val="normaltextrun"/>
          <w:rFonts w:ascii="Arial" w:hAnsi="Arial" w:cs="Arial"/>
        </w:rPr>
        <w:t>considering</w:t>
      </w:r>
      <w:r>
        <w:rPr>
          <w:rStyle w:val="apple-converted-space"/>
          <w:rFonts w:ascii="Arial" w:hAnsi="Arial" w:cs="Arial"/>
        </w:rPr>
        <w:t> </w:t>
      </w:r>
      <w:r>
        <w:rPr>
          <w:rStyle w:val="normaltextrun"/>
          <w:rFonts w:ascii="Arial" w:hAnsi="Arial" w:cs="Arial"/>
        </w:rPr>
        <w:t>several limitations. The small number of high</w:t>
      </w:r>
      <w:r>
        <w:rPr>
          <w:rStyle w:val="nobreakhyphenblob"/>
          <w:rFonts w:ascii="Arial" w:hAnsi="Arial" w:cs="Arial"/>
        </w:rPr>
        <w:noBreakHyphen/>
      </w:r>
      <w:r>
        <w:rPr>
          <w:rStyle w:val="normaltextrun"/>
          <w:rFonts w:ascii="Arial" w:hAnsi="Arial" w:cs="Arial"/>
        </w:rPr>
        <w:t>quality UK studies and variability in study design restrict the generalisability of conclusions. Many studies relied on short</w:t>
      </w:r>
      <w:r>
        <w:rPr>
          <w:rStyle w:val="nobreakhyphenblob"/>
          <w:rFonts w:ascii="Arial" w:hAnsi="Arial" w:cs="Arial"/>
        </w:rPr>
        <w:noBreakHyphen/>
      </w:r>
      <w:r>
        <w:rPr>
          <w:rStyle w:val="normaltextrun"/>
          <w:rFonts w:ascii="Arial" w:hAnsi="Arial" w:cs="Arial"/>
        </w:rPr>
        <w:t>term outcomes and self</w:t>
      </w:r>
      <w:r>
        <w:rPr>
          <w:rStyle w:val="nobreakhyphenblob"/>
          <w:rFonts w:ascii="Arial" w:hAnsi="Arial" w:cs="Arial"/>
        </w:rPr>
        <w:noBreakHyphen/>
      </w:r>
      <w:r>
        <w:rPr>
          <w:rStyle w:val="normaltextrun"/>
          <w:rFonts w:ascii="Arial" w:hAnsi="Arial" w:cs="Arial"/>
        </w:rPr>
        <w:t>reported measures, limiting insights into long</w:t>
      </w:r>
      <w:r>
        <w:rPr>
          <w:rStyle w:val="nobreakhyphenblob"/>
          <w:rFonts w:ascii="Arial" w:hAnsi="Arial" w:cs="Arial"/>
        </w:rPr>
        <w:noBreakHyphen/>
      </w:r>
      <w:r>
        <w:rPr>
          <w:rStyle w:val="normaltextrun"/>
          <w:rFonts w:ascii="Arial" w:hAnsi="Arial" w:cs="Arial"/>
        </w:rPr>
        <w:t>term impact. Additionally, as this review was limited to peer</w:t>
      </w:r>
      <w:r>
        <w:rPr>
          <w:rStyle w:val="nobreakhyphenblob"/>
          <w:rFonts w:ascii="Arial" w:hAnsi="Arial" w:cs="Arial"/>
        </w:rPr>
        <w:noBreakHyphen/>
      </w:r>
      <w:r>
        <w:rPr>
          <w:rStyle w:val="normaltextrun"/>
          <w:rFonts w:ascii="Arial" w:hAnsi="Arial" w:cs="Arial"/>
        </w:rPr>
        <w:t>reviewed literature, relevant service evaluations in grey literature may not have been captured.</w:t>
      </w:r>
      <w:r>
        <w:rPr>
          <w:rStyle w:val="eop"/>
          <w:rFonts w:ascii="Arial" w:hAnsi="Arial" w:cs="Arial"/>
        </w:rPr>
        <w:t> </w:t>
      </w:r>
    </w:p>
    <w:p w14:paraId="08FDCB87" w14:textId="77777777" w:rsidR="00BE64EF" w:rsidRDefault="00BE64EF" w:rsidP="00D315A9">
      <w:pPr>
        <w:pStyle w:val="paragraph"/>
        <w:spacing w:before="0" w:beforeAutospacing="0" w:after="0" w:afterAutospacing="0"/>
        <w:textAlignment w:val="baseline"/>
        <w:rPr>
          <w:rFonts w:ascii="Segoe UI" w:hAnsi="Segoe UI" w:cs="Segoe UI"/>
          <w:sz w:val="18"/>
          <w:szCs w:val="18"/>
        </w:rPr>
      </w:pPr>
    </w:p>
    <w:p w14:paraId="03B78921" w14:textId="77777777" w:rsidR="00D315A9" w:rsidRDefault="00D315A9" w:rsidP="00D315A9">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rPr>
        <w:t xml:space="preserve">6. </w:t>
      </w:r>
      <w:r w:rsidRPr="000C400C">
        <w:rPr>
          <w:rStyle w:val="normaltextrun"/>
          <w:rFonts w:ascii="Arial" w:hAnsi="Arial" w:cs="Arial"/>
          <w:b/>
          <w:bCs/>
          <w:u w:val="single"/>
        </w:rPr>
        <w:t>Conclusion</w:t>
      </w:r>
      <w:r w:rsidRPr="000C400C">
        <w:rPr>
          <w:rStyle w:val="apple-converted-space"/>
          <w:rFonts w:ascii="Arial" w:hAnsi="Arial" w:cs="Arial"/>
          <w:b/>
          <w:bCs/>
          <w:u w:val="single"/>
        </w:rPr>
        <w:t> </w:t>
      </w:r>
      <w:r w:rsidRPr="000C400C">
        <w:rPr>
          <w:rStyle w:val="normaltextrun"/>
          <w:rFonts w:ascii="Arial" w:hAnsi="Arial" w:cs="Arial"/>
          <w:b/>
          <w:bCs/>
          <w:u w:val="single"/>
        </w:rPr>
        <w:t>and Recommendations</w:t>
      </w:r>
      <w:r>
        <w:rPr>
          <w:rStyle w:val="eop"/>
          <w:rFonts w:ascii="Arial" w:hAnsi="Arial" w:cs="Arial"/>
          <w:b/>
          <w:bCs/>
        </w:rPr>
        <w:t> </w:t>
      </w:r>
    </w:p>
    <w:p w14:paraId="33146B84"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This scoping review explored the efficacy and implementation of digital tools used to connect patients with non</w:t>
      </w:r>
      <w:r>
        <w:rPr>
          <w:rStyle w:val="nobreakhyphenblob"/>
          <w:rFonts w:ascii="Arial" w:hAnsi="Arial" w:cs="Arial"/>
        </w:rPr>
        <w:noBreakHyphen/>
      </w:r>
      <w:r>
        <w:rPr>
          <w:rStyle w:val="normaltextrun"/>
          <w:rFonts w:ascii="Arial" w:hAnsi="Arial" w:cs="Arial"/>
        </w:rPr>
        <w:t>clinical support services within the UK health system. The findings</w:t>
      </w:r>
      <w:r>
        <w:rPr>
          <w:rStyle w:val="apple-converted-space"/>
          <w:rFonts w:ascii="Arial" w:hAnsi="Arial" w:cs="Arial"/>
        </w:rPr>
        <w:t> </w:t>
      </w:r>
      <w:r>
        <w:rPr>
          <w:rStyle w:val="normaltextrun"/>
          <w:rFonts w:ascii="Arial" w:hAnsi="Arial" w:cs="Arial"/>
        </w:rPr>
        <w:t>demonstrate</w:t>
      </w:r>
      <w:r>
        <w:rPr>
          <w:rStyle w:val="apple-converted-space"/>
          <w:rFonts w:ascii="Arial" w:hAnsi="Arial" w:cs="Arial"/>
        </w:rPr>
        <w:t> </w:t>
      </w:r>
      <w:r>
        <w:rPr>
          <w:rStyle w:val="normaltextrun"/>
          <w:rFonts w:ascii="Arial" w:hAnsi="Arial" w:cs="Arial"/>
        </w:rPr>
        <w:t>that digital tools have the potential to enhance social prescribing and other non</w:t>
      </w:r>
      <w:r>
        <w:rPr>
          <w:rStyle w:val="nobreakhyphenblob"/>
          <w:rFonts w:ascii="Arial" w:hAnsi="Arial" w:cs="Arial"/>
        </w:rPr>
        <w:noBreakHyphen/>
      </w:r>
      <w:r>
        <w:rPr>
          <w:rStyle w:val="normaltextrun"/>
          <w:rFonts w:ascii="Arial" w:hAnsi="Arial" w:cs="Arial"/>
        </w:rPr>
        <w:t>clinical referral pathways by improving service coordination, supporting personalised care, and reducing pressure on primary care services. Evidence from the reviewed studies</w:t>
      </w:r>
      <w:r>
        <w:rPr>
          <w:rStyle w:val="apple-converted-space"/>
          <w:rFonts w:ascii="Arial" w:hAnsi="Arial" w:cs="Arial"/>
        </w:rPr>
        <w:t> </w:t>
      </w:r>
      <w:r>
        <w:rPr>
          <w:rStyle w:val="normaltextrun"/>
          <w:rFonts w:ascii="Arial" w:hAnsi="Arial" w:cs="Arial"/>
        </w:rPr>
        <w:t>indicates</w:t>
      </w:r>
      <w:r>
        <w:rPr>
          <w:rStyle w:val="apple-converted-space"/>
          <w:rFonts w:ascii="Arial" w:hAnsi="Arial" w:cs="Arial"/>
        </w:rPr>
        <w:t> </w:t>
      </w:r>
      <w:r>
        <w:rPr>
          <w:rStyle w:val="normaltextrun"/>
          <w:rFonts w:ascii="Arial" w:hAnsi="Arial" w:cs="Arial"/>
        </w:rPr>
        <w:t>that when digital systems are effectively integrated, they can</w:t>
      </w:r>
      <w:r>
        <w:rPr>
          <w:rStyle w:val="apple-converted-space"/>
          <w:rFonts w:ascii="Arial" w:hAnsi="Arial" w:cs="Arial"/>
        </w:rPr>
        <w:t> </w:t>
      </w:r>
      <w:r>
        <w:rPr>
          <w:rStyle w:val="normaltextrun"/>
          <w:rFonts w:ascii="Arial" w:hAnsi="Arial" w:cs="Arial"/>
        </w:rPr>
        <w:t>facilitate</w:t>
      </w:r>
      <w:r>
        <w:rPr>
          <w:rStyle w:val="apple-converted-space"/>
          <w:rFonts w:ascii="Arial" w:hAnsi="Arial" w:cs="Arial"/>
        </w:rPr>
        <w:t> </w:t>
      </w:r>
      <w:r>
        <w:rPr>
          <w:rStyle w:val="normaltextrun"/>
          <w:rFonts w:ascii="Arial" w:hAnsi="Arial" w:cs="Arial"/>
        </w:rPr>
        <w:t>referrals, improve communication between sectors, and increase patient engagement with community</w:t>
      </w:r>
      <w:r>
        <w:rPr>
          <w:rStyle w:val="nobreakhyphenblob"/>
          <w:rFonts w:ascii="Arial" w:hAnsi="Arial" w:cs="Arial"/>
        </w:rPr>
        <w:noBreakHyphen/>
      </w:r>
      <w:r>
        <w:rPr>
          <w:rStyle w:val="normaltextrun"/>
          <w:rFonts w:ascii="Arial" w:hAnsi="Arial" w:cs="Arial"/>
        </w:rPr>
        <w:t>based support. </w:t>
      </w:r>
      <w:r>
        <w:rPr>
          <w:rStyle w:val="eop"/>
          <w:rFonts w:ascii="Arial" w:hAnsi="Arial" w:cs="Arial"/>
        </w:rPr>
        <w:t> </w:t>
      </w:r>
    </w:p>
    <w:p w14:paraId="316D6718"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However, the review also highlights important limitations in both implementation and evidence quality. While process</w:t>
      </w:r>
      <w:r>
        <w:rPr>
          <w:rStyle w:val="nobreakhyphenblob"/>
          <w:rFonts w:ascii="Arial" w:hAnsi="Arial" w:cs="Arial"/>
        </w:rPr>
        <w:noBreakHyphen/>
      </w:r>
      <w:r>
        <w:rPr>
          <w:rStyle w:val="normaltextrun"/>
          <w:rFonts w:ascii="Arial" w:hAnsi="Arial" w:cs="Arial"/>
        </w:rPr>
        <w:t>level benefits such as reduced GP consultations and improved referral efficiency were</w:t>
      </w:r>
      <w:r>
        <w:rPr>
          <w:rStyle w:val="apple-converted-space"/>
          <w:rFonts w:ascii="Arial" w:hAnsi="Arial" w:cs="Arial"/>
        </w:rPr>
        <w:t> </w:t>
      </w:r>
      <w:r>
        <w:rPr>
          <w:rStyle w:val="normaltextrun"/>
          <w:rFonts w:ascii="Arial" w:hAnsi="Arial" w:cs="Arial"/>
        </w:rPr>
        <w:t>observed, improvements in patient wellbeing outcomes were inconsistent. Furthermore, a lack of robust evaluation and reliance on short</w:t>
      </w:r>
      <w:r>
        <w:rPr>
          <w:rStyle w:val="nobreakhyphenblob"/>
          <w:rFonts w:ascii="Arial" w:hAnsi="Arial" w:cs="Arial"/>
        </w:rPr>
        <w:noBreakHyphen/>
      </w:r>
      <w:r>
        <w:rPr>
          <w:rStyle w:val="normaltextrun"/>
          <w:rFonts w:ascii="Arial" w:hAnsi="Arial" w:cs="Arial"/>
        </w:rPr>
        <w:t>term or self</w:t>
      </w:r>
      <w:r>
        <w:rPr>
          <w:rStyle w:val="nobreakhyphenblob"/>
          <w:rFonts w:ascii="Arial" w:hAnsi="Arial" w:cs="Arial"/>
        </w:rPr>
        <w:noBreakHyphen/>
      </w:r>
      <w:r>
        <w:rPr>
          <w:rStyle w:val="normaltextrun"/>
          <w:rFonts w:ascii="Arial" w:hAnsi="Arial" w:cs="Arial"/>
        </w:rPr>
        <w:t>reported measures limits conclusions</w:t>
      </w:r>
      <w:r>
        <w:rPr>
          <w:rStyle w:val="apple-converted-space"/>
          <w:rFonts w:ascii="Arial" w:hAnsi="Arial" w:cs="Arial"/>
        </w:rPr>
        <w:t> </w:t>
      </w:r>
      <w:r>
        <w:rPr>
          <w:rStyle w:val="normaltextrun"/>
          <w:rFonts w:ascii="Arial" w:hAnsi="Arial" w:cs="Arial"/>
        </w:rPr>
        <w:t>regarding</w:t>
      </w:r>
      <w:r>
        <w:rPr>
          <w:rStyle w:val="apple-converted-space"/>
          <w:rFonts w:ascii="Arial" w:hAnsi="Arial" w:cs="Arial"/>
        </w:rPr>
        <w:t> </w:t>
      </w:r>
      <w:r>
        <w:rPr>
          <w:rStyle w:val="normaltextrun"/>
          <w:rFonts w:ascii="Arial" w:hAnsi="Arial" w:cs="Arial"/>
        </w:rPr>
        <w:t>long</w:t>
      </w:r>
      <w:r>
        <w:rPr>
          <w:rStyle w:val="nobreakhyphenblob"/>
          <w:rFonts w:ascii="Arial" w:hAnsi="Arial" w:cs="Arial"/>
        </w:rPr>
        <w:noBreakHyphen/>
      </w:r>
      <w:r>
        <w:rPr>
          <w:rStyle w:val="normaltextrun"/>
          <w:rFonts w:ascii="Arial" w:hAnsi="Arial" w:cs="Arial"/>
        </w:rPr>
        <w:t>term effectiveness and cost</w:t>
      </w:r>
      <w:r>
        <w:rPr>
          <w:rStyle w:val="nobreakhyphenblob"/>
          <w:rFonts w:ascii="Arial" w:hAnsi="Arial" w:cs="Arial"/>
        </w:rPr>
        <w:noBreakHyphen/>
      </w:r>
      <w:r>
        <w:rPr>
          <w:rStyle w:val="normaltextrun"/>
          <w:rFonts w:ascii="Arial" w:hAnsi="Arial" w:cs="Arial"/>
        </w:rPr>
        <w:t>effectiveness. </w:t>
      </w:r>
      <w:r>
        <w:rPr>
          <w:rStyle w:val="eop"/>
          <w:rFonts w:ascii="Arial" w:hAnsi="Arial" w:cs="Arial"/>
        </w:rPr>
        <w:t> </w:t>
      </w:r>
    </w:p>
    <w:p w14:paraId="4D18C9C7"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 major concern</w:t>
      </w:r>
      <w:r>
        <w:rPr>
          <w:rStyle w:val="apple-converted-space"/>
          <w:rFonts w:ascii="Arial" w:hAnsi="Arial" w:cs="Arial"/>
        </w:rPr>
        <w:t> </w:t>
      </w:r>
      <w:r>
        <w:rPr>
          <w:rStyle w:val="normaltextrun"/>
          <w:rFonts w:ascii="Arial" w:hAnsi="Arial" w:cs="Arial"/>
        </w:rPr>
        <w:t>identified</w:t>
      </w:r>
      <w:r>
        <w:rPr>
          <w:rStyle w:val="apple-converted-space"/>
          <w:rFonts w:ascii="Arial" w:hAnsi="Arial" w:cs="Arial"/>
        </w:rPr>
        <w:t> </w:t>
      </w:r>
      <w:r>
        <w:rPr>
          <w:rStyle w:val="normaltextrun"/>
          <w:rFonts w:ascii="Arial" w:hAnsi="Arial" w:cs="Arial"/>
        </w:rPr>
        <w:t>across the literature is the risk of digital exclusion. Farre et al. (2023) emphasised that individuals experiencing social disadvantage—who are often the primary target population for non</w:t>
      </w:r>
      <w:r>
        <w:rPr>
          <w:rStyle w:val="nobreakhyphenblob"/>
          <w:rFonts w:ascii="Arial" w:hAnsi="Arial" w:cs="Arial"/>
        </w:rPr>
        <w:noBreakHyphen/>
      </w:r>
      <w:r>
        <w:rPr>
          <w:rStyle w:val="normaltextrun"/>
          <w:rFonts w:ascii="Arial" w:hAnsi="Arial" w:cs="Arial"/>
        </w:rPr>
        <w:t>clinical support—may be least able to engage with digital tools due to limited access, digital literacy, or complex needs. Patient experiences further suggest that digital tools are most effective when combined with personalised, human</w:t>
      </w:r>
      <w:r>
        <w:rPr>
          <w:rStyle w:val="nobreakhyphenblob"/>
          <w:rFonts w:ascii="Arial" w:hAnsi="Arial" w:cs="Arial"/>
        </w:rPr>
        <w:noBreakHyphen/>
      </w:r>
      <w:r>
        <w:rPr>
          <w:rStyle w:val="normaltextrun"/>
          <w:rFonts w:ascii="Arial" w:hAnsi="Arial" w:cs="Arial"/>
        </w:rPr>
        <w:t>centred support rather than used as stand</w:t>
      </w:r>
      <w:r>
        <w:rPr>
          <w:rStyle w:val="nobreakhyphenblob"/>
          <w:rFonts w:ascii="Arial" w:hAnsi="Arial" w:cs="Arial"/>
        </w:rPr>
        <w:noBreakHyphen/>
      </w:r>
      <w:r>
        <w:rPr>
          <w:rStyle w:val="normaltextrun"/>
          <w:rFonts w:ascii="Arial" w:hAnsi="Arial" w:cs="Arial"/>
        </w:rPr>
        <w:t>alone solutions. </w:t>
      </w:r>
      <w:r>
        <w:rPr>
          <w:rStyle w:val="eop"/>
          <w:rFonts w:ascii="Arial" w:hAnsi="Arial" w:cs="Arial"/>
        </w:rPr>
        <w:t> </w:t>
      </w:r>
    </w:p>
    <w:p w14:paraId="4B01AAC3"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Overall, digital tools can support non</w:t>
      </w:r>
      <w:r>
        <w:rPr>
          <w:rStyle w:val="nobreakhyphenblob"/>
          <w:rFonts w:ascii="Arial" w:hAnsi="Arial" w:cs="Arial"/>
        </w:rPr>
        <w:noBreakHyphen/>
      </w:r>
      <w:r>
        <w:rPr>
          <w:rStyle w:val="normaltextrun"/>
          <w:rFonts w:ascii="Arial" w:hAnsi="Arial" w:cs="Arial"/>
        </w:rPr>
        <w:t>clinical care pathways in the UK, but their effectiveness is highly dependent on inclusive design, integrated implementation, and ongoing evaluation. Without these elements, there is a risk that digital approaches may reinforce existing health inequalities rather than reduce them.</w:t>
      </w:r>
      <w:r>
        <w:rPr>
          <w:rStyle w:val="eop"/>
          <w:rFonts w:ascii="Arial" w:hAnsi="Arial" w:cs="Arial"/>
        </w:rPr>
        <w:t> </w:t>
      </w:r>
    </w:p>
    <w:p w14:paraId="1A00E205"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EEB91DD"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E47A008"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Recommendations</w:t>
      </w:r>
      <w:r>
        <w:rPr>
          <w:rStyle w:val="eop"/>
          <w:rFonts w:ascii="Arial" w:hAnsi="Arial" w:cs="Arial"/>
        </w:rPr>
        <w:t> </w:t>
      </w:r>
    </w:p>
    <w:p w14:paraId="3CD31717"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Based on the findings of this scoping review, the following recommendations are proposed for practice, policy, and future research:</w:t>
      </w:r>
      <w:r>
        <w:rPr>
          <w:rStyle w:val="eop"/>
          <w:rFonts w:ascii="Arial" w:hAnsi="Arial" w:cs="Arial"/>
        </w:rPr>
        <w:t> </w:t>
      </w:r>
    </w:p>
    <w:p w14:paraId="0929B270"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Practice Recommendations</w:t>
      </w:r>
      <w:r>
        <w:rPr>
          <w:rStyle w:val="eop"/>
          <w:rFonts w:ascii="Arial" w:hAnsi="Arial" w:cs="Arial"/>
        </w:rPr>
        <w:t> </w:t>
      </w:r>
    </w:p>
    <w:p w14:paraId="1FAF2770"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Digital tools should be embedded within personalised care models, ensuring that link workers and healthcare professionals</w:t>
      </w:r>
      <w:r>
        <w:rPr>
          <w:rStyle w:val="apple-converted-space"/>
          <w:rFonts w:ascii="Arial" w:hAnsi="Arial" w:cs="Arial"/>
        </w:rPr>
        <w:t> </w:t>
      </w:r>
      <w:r>
        <w:rPr>
          <w:rStyle w:val="normaltextrun"/>
          <w:rFonts w:ascii="Arial" w:hAnsi="Arial" w:cs="Arial"/>
        </w:rPr>
        <w:t>remain</w:t>
      </w:r>
      <w:r>
        <w:rPr>
          <w:rStyle w:val="apple-converted-space"/>
          <w:rFonts w:ascii="Arial" w:hAnsi="Arial" w:cs="Arial"/>
        </w:rPr>
        <w:t> </w:t>
      </w:r>
      <w:r>
        <w:rPr>
          <w:rStyle w:val="normaltextrun"/>
          <w:rFonts w:ascii="Arial" w:hAnsi="Arial" w:cs="Arial"/>
        </w:rPr>
        <w:t>central to supporting patient engagement.</w:t>
      </w:r>
      <w:r>
        <w:rPr>
          <w:rStyle w:val="eop"/>
          <w:rFonts w:ascii="Arial" w:hAnsi="Arial" w:cs="Arial"/>
        </w:rPr>
        <w:t> </w:t>
      </w:r>
    </w:p>
    <w:p w14:paraId="1D88C8BC"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Training should be provided for staff using digital referral systems to promote consistent implementation and effective use across services.</w:t>
      </w:r>
      <w:r>
        <w:rPr>
          <w:rStyle w:val="eop"/>
          <w:rFonts w:ascii="Arial" w:hAnsi="Arial" w:cs="Arial"/>
        </w:rPr>
        <w:t> </w:t>
      </w:r>
    </w:p>
    <w:p w14:paraId="23898DFE"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Alternative non</w:t>
      </w:r>
      <w:r>
        <w:rPr>
          <w:rStyle w:val="nobreakhyphenblob"/>
          <w:rFonts w:ascii="Arial" w:hAnsi="Arial" w:cs="Arial"/>
        </w:rPr>
        <w:noBreakHyphen/>
      </w:r>
      <w:r>
        <w:rPr>
          <w:rStyle w:val="normaltextrun"/>
          <w:rFonts w:ascii="Arial" w:hAnsi="Arial" w:cs="Arial"/>
        </w:rPr>
        <w:t>digital pathways should remain available to ensure individuals with limited digital access or skills are not excluded from non</w:t>
      </w:r>
      <w:r>
        <w:rPr>
          <w:rStyle w:val="nobreakhyphenblob"/>
          <w:rFonts w:ascii="Arial" w:hAnsi="Arial" w:cs="Arial"/>
        </w:rPr>
        <w:noBreakHyphen/>
      </w:r>
      <w:r>
        <w:rPr>
          <w:rStyle w:val="normaltextrun"/>
          <w:rFonts w:ascii="Arial" w:hAnsi="Arial" w:cs="Arial"/>
        </w:rPr>
        <w:t>clinical support.</w:t>
      </w:r>
      <w:r>
        <w:rPr>
          <w:rStyle w:val="eop"/>
          <w:rFonts w:ascii="Arial" w:hAnsi="Arial" w:cs="Arial"/>
        </w:rPr>
        <w:t> </w:t>
      </w:r>
    </w:p>
    <w:p w14:paraId="6F191DDD"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19BAA43"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Policy Recommendations</w:t>
      </w:r>
      <w:r>
        <w:rPr>
          <w:rStyle w:val="eop"/>
          <w:rFonts w:ascii="Arial" w:hAnsi="Arial" w:cs="Arial"/>
        </w:rPr>
        <w:t> </w:t>
      </w:r>
    </w:p>
    <w:p w14:paraId="3BDF934C"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National and local policymakers should prioritise inclusive digital design, ensuring that social prescribing platforms are accessible to diverse populations.</w:t>
      </w:r>
      <w:r>
        <w:rPr>
          <w:rStyle w:val="eop"/>
          <w:rFonts w:ascii="Arial" w:hAnsi="Arial" w:cs="Arial"/>
        </w:rPr>
        <w:t> </w:t>
      </w:r>
    </w:p>
    <w:p w14:paraId="0B22A4FA"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Standardised outcome measures should be adopted to improve consistency in evaluating digital non</w:t>
      </w:r>
      <w:r>
        <w:rPr>
          <w:rStyle w:val="nobreakhyphenblob"/>
          <w:rFonts w:ascii="Arial" w:hAnsi="Arial" w:cs="Arial"/>
        </w:rPr>
        <w:noBreakHyphen/>
      </w:r>
      <w:r>
        <w:rPr>
          <w:rStyle w:val="normaltextrun"/>
          <w:rFonts w:ascii="Arial" w:hAnsi="Arial" w:cs="Arial"/>
        </w:rPr>
        <w:t>clinical interventions.</w:t>
      </w:r>
      <w:r>
        <w:rPr>
          <w:rStyle w:val="eop"/>
          <w:rFonts w:ascii="Arial" w:hAnsi="Arial" w:cs="Arial"/>
        </w:rPr>
        <w:t> </w:t>
      </w:r>
    </w:p>
    <w:p w14:paraId="4B1FC08B"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Investment should balance technological innovation with sustained funding for community and voluntary sector services to ensure capacity meets increased referral demand.</w:t>
      </w:r>
      <w:r>
        <w:rPr>
          <w:rStyle w:val="eop"/>
          <w:rFonts w:ascii="Arial" w:hAnsi="Arial" w:cs="Arial"/>
        </w:rPr>
        <w:t> </w:t>
      </w:r>
    </w:p>
    <w:p w14:paraId="1C2A7767"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4337B45"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Recommendations for Future Research</w:t>
      </w:r>
      <w:r>
        <w:rPr>
          <w:rStyle w:val="eop"/>
          <w:rFonts w:ascii="Arial" w:hAnsi="Arial" w:cs="Arial"/>
        </w:rPr>
        <w:t> </w:t>
      </w:r>
    </w:p>
    <w:p w14:paraId="660CB92A"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1287BD1"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Further robust, longitudinal studies are needed to evaluate the long</w:t>
      </w:r>
      <w:r>
        <w:rPr>
          <w:rStyle w:val="nobreakhyphenblob"/>
          <w:rFonts w:ascii="Arial" w:hAnsi="Arial" w:cs="Arial"/>
        </w:rPr>
        <w:noBreakHyphen/>
      </w:r>
      <w:r>
        <w:rPr>
          <w:rStyle w:val="normaltextrun"/>
          <w:rFonts w:ascii="Arial" w:hAnsi="Arial" w:cs="Arial"/>
        </w:rPr>
        <w:t>term effectiveness and cost</w:t>
      </w:r>
      <w:r>
        <w:rPr>
          <w:rStyle w:val="nobreakhyphenblob"/>
          <w:rFonts w:ascii="Arial" w:hAnsi="Arial" w:cs="Arial"/>
        </w:rPr>
        <w:noBreakHyphen/>
      </w:r>
      <w:r>
        <w:rPr>
          <w:rStyle w:val="normaltextrun"/>
          <w:rFonts w:ascii="Arial" w:hAnsi="Arial" w:cs="Arial"/>
        </w:rPr>
        <w:t>effectiveness of digital tools supporting non</w:t>
      </w:r>
      <w:r>
        <w:rPr>
          <w:rStyle w:val="nobreakhyphenblob"/>
          <w:rFonts w:ascii="Arial" w:hAnsi="Arial" w:cs="Arial"/>
        </w:rPr>
        <w:noBreakHyphen/>
      </w:r>
      <w:r>
        <w:rPr>
          <w:rStyle w:val="normaltextrun"/>
          <w:rFonts w:ascii="Arial" w:hAnsi="Arial" w:cs="Arial"/>
        </w:rPr>
        <w:t>clinical care.</w:t>
      </w:r>
      <w:r>
        <w:rPr>
          <w:rStyle w:val="eop"/>
          <w:rFonts w:ascii="Arial" w:hAnsi="Arial" w:cs="Arial"/>
        </w:rPr>
        <w:t> </w:t>
      </w:r>
    </w:p>
    <w:p w14:paraId="5922C88E"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Research should focus on patient</w:t>
      </w:r>
      <w:r>
        <w:rPr>
          <w:rStyle w:val="nobreakhyphenblob"/>
          <w:rFonts w:ascii="Arial" w:hAnsi="Arial" w:cs="Arial"/>
        </w:rPr>
        <w:noBreakHyphen/>
      </w:r>
      <w:r>
        <w:rPr>
          <w:rStyle w:val="normaltextrun"/>
          <w:rFonts w:ascii="Arial" w:hAnsi="Arial" w:cs="Arial"/>
        </w:rPr>
        <w:t>reported outcomes, particularly among disadvantaged and digitally excluded populations.</w:t>
      </w:r>
      <w:r>
        <w:rPr>
          <w:rStyle w:val="eop"/>
          <w:rFonts w:ascii="Arial" w:hAnsi="Arial" w:cs="Arial"/>
        </w:rPr>
        <w:t> </w:t>
      </w:r>
    </w:p>
    <w:p w14:paraId="2674E24E"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Comparative studies examining digital versus hybrid (digital and face</w:t>
      </w:r>
      <w:r>
        <w:rPr>
          <w:rStyle w:val="nobreakhyphenblob"/>
          <w:rFonts w:ascii="Arial" w:hAnsi="Arial" w:cs="Arial"/>
        </w:rPr>
        <w:noBreakHyphen/>
      </w:r>
      <w:r>
        <w:rPr>
          <w:rStyle w:val="normaltextrun"/>
          <w:rFonts w:ascii="Arial" w:hAnsi="Arial" w:cs="Arial"/>
        </w:rPr>
        <w:t>to</w:t>
      </w:r>
      <w:r>
        <w:rPr>
          <w:rStyle w:val="nobreakhyphenblob"/>
          <w:rFonts w:ascii="Arial" w:hAnsi="Arial" w:cs="Arial"/>
        </w:rPr>
        <w:noBreakHyphen/>
      </w:r>
      <w:r>
        <w:rPr>
          <w:rStyle w:val="normaltextrun"/>
          <w:rFonts w:ascii="Arial" w:hAnsi="Arial" w:cs="Arial"/>
        </w:rPr>
        <w:t>face) models of social prescribing would strengthen the evidence base.</w:t>
      </w:r>
      <w:r>
        <w:rPr>
          <w:rStyle w:val="eop"/>
          <w:rFonts w:ascii="Arial" w:hAnsi="Arial" w:cs="Arial"/>
        </w:rPr>
        <w:t> </w:t>
      </w:r>
    </w:p>
    <w:p w14:paraId="6D1A8155"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CE08028"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BA1561F"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771CA10"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361A9BF"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4B9C75F"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6227030"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236B1D6"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75134C2"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161E466"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383E26F"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592C42C" w14:textId="77777777" w:rsidR="00D315A9" w:rsidRPr="000C400C" w:rsidRDefault="00D315A9" w:rsidP="00D315A9">
      <w:pPr>
        <w:pStyle w:val="paragraph"/>
        <w:spacing w:before="0" w:beforeAutospacing="0" w:after="0" w:afterAutospacing="0"/>
        <w:textAlignment w:val="baseline"/>
        <w:rPr>
          <w:rFonts w:ascii="Segoe UI" w:hAnsi="Segoe UI" w:cs="Segoe UI"/>
          <w:b/>
          <w:bCs/>
          <w:sz w:val="40"/>
          <w:szCs w:val="40"/>
          <w:u w:val="single"/>
        </w:rPr>
      </w:pPr>
      <w:r w:rsidRPr="000C400C">
        <w:rPr>
          <w:rStyle w:val="normaltextrun"/>
          <w:rFonts w:ascii="Arial" w:hAnsi="Arial" w:cs="Arial"/>
          <w:b/>
          <w:bCs/>
          <w:sz w:val="40"/>
          <w:szCs w:val="40"/>
          <w:u w:val="single"/>
        </w:rPr>
        <w:t>References</w:t>
      </w:r>
      <w:r w:rsidRPr="000C400C">
        <w:rPr>
          <w:rStyle w:val="eop"/>
          <w:rFonts w:ascii="Arial" w:hAnsi="Arial" w:cs="Arial"/>
          <w:b/>
          <w:bCs/>
          <w:sz w:val="40"/>
          <w:szCs w:val="40"/>
          <w:u w:val="single"/>
        </w:rPr>
        <w:t> </w:t>
      </w:r>
    </w:p>
    <w:p w14:paraId="0A7C8B9A" w14:textId="77777777" w:rsidR="00D315A9" w:rsidRPr="000C400C" w:rsidRDefault="00D315A9" w:rsidP="00D315A9">
      <w:pPr>
        <w:pStyle w:val="paragraph"/>
        <w:spacing w:before="0" w:beforeAutospacing="0" w:after="0" w:afterAutospacing="0"/>
        <w:textAlignment w:val="baseline"/>
        <w:rPr>
          <w:rFonts w:ascii="Segoe UI" w:hAnsi="Segoe UI" w:cs="Segoe UI"/>
          <w:sz w:val="40"/>
          <w:szCs w:val="40"/>
        </w:rPr>
      </w:pPr>
      <w:r w:rsidRPr="000C400C">
        <w:rPr>
          <w:rStyle w:val="eop"/>
          <w:rFonts w:ascii="Arial" w:hAnsi="Arial" w:cs="Arial"/>
          <w:sz w:val="40"/>
          <w:szCs w:val="40"/>
        </w:rPr>
        <w:t> </w:t>
      </w:r>
    </w:p>
    <w:p w14:paraId="67044E96"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B47C0D0" w14:textId="372FF36A"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lastRenderedPageBreak/>
        <w:t>Carnes, D.,</w:t>
      </w:r>
      <w:r>
        <w:rPr>
          <w:rStyle w:val="apple-converted-space"/>
          <w:rFonts w:ascii="Arial" w:hAnsi="Arial" w:cs="Arial"/>
          <w:color w:val="000000"/>
        </w:rPr>
        <w:t> </w:t>
      </w:r>
      <w:r>
        <w:rPr>
          <w:rStyle w:val="normaltextrun"/>
          <w:rFonts w:ascii="Arial" w:hAnsi="Arial" w:cs="Arial"/>
          <w:color w:val="000000"/>
        </w:rPr>
        <w:t>Sohan pal, R., Frostick, C., Hull, S., Mathur, R.,</w:t>
      </w:r>
      <w:r>
        <w:rPr>
          <w:rStyle w:val="apple-converted-space"/>
          <w:rFonts w:ascii="Arial" w:hAnsi="Arial" w:cs="Arial"/>
          <w:color w:val="000000"/>
        </w:rPr>
        <w:t> </w:t>
      </w:r>
      <w:r>
        <w:rPr>
          <w:rStyle w:val="normaltextrun"/>
          <w:rFonts w:ascii="Arial" w:hAnsi="Arial" w:cs="Arial"/>
          <w:color w:val="000000"/>
        </w:rPr>
        <w:t>Netuveli, G., Tong, J., Hutt, P. and Bertotti, M. (2017) ‘The impact of a social prescribing service on patients in primary care: a mixed methods evaluation’, </w:t>
      </w:r>
      <w:r>
        <w:rPr>
          <w:rStyle w:val="normaltextrun"/>
          <w:rFonts w:ascii="Arial" w:hAnsi="Arial" w:cs="Arial"/>
          <w:i/>
          <w:iCs/>
          <w:color w:val="000000"/>
        </w:rPr>
        <w:t>BMC Health Services Research</w:t>
      </w:r>
      <w:r>
        <w:rPr>
          <w:rStyle w:val="normaltextrun"/>
          <w:rFonts w:ascii="Arial" w:hAnsi="Arial" w:cs="Arial"/>
          <w:color w:val="000000"/>
        </w:rPr>
        <w:t>, 17(1), pp. 1–13.</w:t>
      </w:r>
      <w:r>
        <w:rPr>
          <w:rStyle w:val="apple-converted-space"/>
          <w:rFonts w:ascii="Arial" w:hAnsi="Arial" w:cs="Arial"/>
          <w:color w:val="000000"/>
        </w:rPr>
        <w:t> </w:t>
      </w:r>
      <w:hyperlink r:id="rId9" w:tgtFrame="_blank" w:history="1">
        <w:r>
          <w:rPr>
            <w:rStyle w:val="normaltextrun"/>
            <w:rFonts w:ascii="Arial" w:hAnsi="Arial" w:cs="Arial"/>
            <w:color w:val="0563C1"/>
            <w:u w:val="single"/>
          </w:rPr>
          <w:t>https://doi.org/10.1186/s12913-017-2778-y</w:t>
        </w:r>
      </w:hyperlink>
      <w:r>
        <w:rPr>
          <w:rStyle w:val="normaltextrun"/>
          <w:rFonts w:ascii="Arial" w:hAnsi="Arial" w:cs="Arial"/>
          <w:color w:val="000000"/>
        </w:rPr>
        <w:t> </w:t>
      </w:r>
      <w:r>
        <w:rPr>
          <w:rStyle w:val="eop"/>
          <w:rFonts w:ascii="Arial" w:hAnsi="Arial" w:cs="Arial"/>
          <w:color w:val="000000"/>
        </w:rPr>
        <w:t> </w:t>
      </w:r>
    </w:p>
    <w:p w14:paraId="7ABCA9C0"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Farre, A., Fang, M., Hannah, B., Makita, M., McFadden, A., Menezes, D., Rodriguez, A., Sixsmith, J. and Gray, N.M. (2023) ‘Exploring the use of digital technology to deliver healthcare services with explicit consideration of health inequalities in UK settings: a scoping review’, </w:t>
      </w:r>
      <w:r>
        <w:rPr>
          <w:rStyle w:val="normaltextrun"/>
          <w:rFonts w:ascii="Arial" w:hAnsi="Arial" w:cs="Arial"/>
          <w:i/>
          <w:iCs/>
          <w:color w:val="000000"/>
        </w:rPr>
        <w:t>Digital Health</w:t>
      </w:r>
      <w:r>
        <w:rPr>
          <w:rStyle w:val="normaltextrun"/>
          <w:rFonts w:ascii="Arial" w:hAnsi="Arial" w:cs="Arial"/>
          <w:color w:val="000000"/>
        </w:rPr>
        <w:t>, 9, pp. 1–13.</w:t>
      </w:r>
      <w:r>
        <w:rPr>
          <w:rStyle w:val="apple-converted-space"/>
          <w:rFonts w:ascii="Arial" w:hAnsi="Arial" w:cs="Arial"/>
          <w:color w:val="000000"/>
        </w:rPr>
        <w:t> </w:t>
      </w:r>
      <w:hyperlink r:id="rId10" w:tgtFrame="_blank" w:history="1">
        <w:r>
          <w:rPr>
            <w:rStyle w:val="normaltextrun"/>
            <w:rFonts w:ascii="Arial" w:hAnsi="Arial" w:cs="Arial"/>
            <w:color w:val="0563C1"/>
            <w:u w:val="single"/>
          </w:rPr>
          <w:t>https://doi.org/10.1177/20552076231185442</w:t>
        </w:r>
      </w:hyperlink>
      <w:r>
        <w:rPr>
          <w:rStyle w:val="normaltextrun"/>
          <w:rFonts w:ascii="Arial" w:hAnsi="Arial" w:cs="Arial"/>
          <w:color w:val="000000"/>
        </w:rPr>
        <w:t> </w:t>
      </w:r>
      <w:r>
        <w:rPr>
          <w:rStyle w:val="eop"/>
          <w:rFonts w:ascii="Arial" w:hAnsi="Arial" w:cs="Arial"/>
          <w:color w:val="000000"/>
        </w:rPr>
        <w:t> </w:t>
      </w:r>
    </w:p>
    <w:p w14:paraId="32C921D0"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Handayani, N.H., Wanat, M. and Tierney, S. (2025) ‘Experiences of social prescribing in the UK: a qualitative systematic review’, </w:t>
      </w:r>
      <w:r>
        <w:rPr>
          <w:rStyle w:val="normaltextrun"/>
          <w:rFonts w:ascii="Arial" w:hAnsi="Arial" w:cs="Arial"/>
          <w:i/>
          <w:iCs/>
          <w:color w:val="000000"/>
        </w:rPr>
        <w:t>British Journal of General Practice</w:t>
      </w:r>
      <w:r>
        <w:rPr>
          <w:rStyle w:val="normaltextrun"/>
          <w:rFonts w:ascii="Arial" w:hAnsi="Arial" w:cs="Arial"/>
          <w:color w:val="000000"/>
        </w:rPr>
        <w:t>, 75(752), pp. e203–e210.</w:t>
      </w:r>
      <w:r>
        <w:rPr>
          <w:rStyle w:val="apple-converted-space"/>
          <w:rFonts w:ascii="Arial" w:hAnsi="Arial" w:cs="Arial"/>
          <w:color w:val="000000"/>
        </w:rPr>
        <w:t> </w:t>
      </w:r>
      <w:hyperlink r:id="rId11" w:tgtFrame="_blank" w:history="1">
        <w:r>
          <w:rPr>
            <w:rStyle w:val="normaltextrun"/>
            <w:rFonts w:ascii="Arial" w:hAnsi="Arial" w:cs="Arial"/>
            <w:color w:val="0563C1"/>
            <w:u w:val="single"/>
          </w:rPr>
          <w:t>https://doi.org/10.3399/BJGP.2024.0179</w:t>
        </w:r>
      </w:hyperlink>
      <w:r>
        <w:rPr>
          <w:rStyle w:val="eop"/>
          <w:rFonts w:ascii="Arial" w:hAnsi="Arial" w:cs="Arial"/>
          <w:color w:val="000000"/>
        </w:rPr>
        <w:t> </w:t>
      </w:r>
    </w:p>
    <w:p w14:paraId="6922F42A"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NHS England (2022)</w:t>
      </w:r>
      <w:r>
        <w:rPr>
          <w:rStyle w:val="apple-converted-space"/>
          <w:rFonts w:ascii="Arial" w:hAnsi="Arial" w:cs="Arial"/>
          <w:color w:val="000000"/>
        </w:rPr>
        <w:t> </w:t>
      </w:r>
      <w:r>
        <w:rPr>
          <w:rStyle w:val="normaltextrun"/>
          <w:rFonts w:ascii="Arial" w:hAnsi="Arial" w:cs="Arial"/>
          <w:i/>
          <w:iCs/>
          <w:color w:val="000000"/>
        </w:rPr>
        <w:t>Working in partnership with people and communities: statutory guidance</w:t>
      </w:r>
      <w:r>
        <w:rPr>
          <w:rStyle w:val="normaltextrun"/>
          <w:rFonts w:ascii="Arial" w:hAnsi="Arial" w:cs="Arial"/>
          <w:color w:val="000000"/>
        </w:rPr>
        <w:t>. Available at:</w:t>
      </w:r>
      <w:r>
        <w:rPr>
          <w:rStyle w:val="apple-converted-space"/>
          <w:rFonts w:ascii="Arial" w:hAnsi="Arial" w:cs="Arial"/>
          <w:color w:val="000000"/>
        </w:rPr>
        <w:t> </w:t>
      </w:r>
      <w:hyperlink r:id="rId12" w:tgtFrame="_blank" w:history="1">
        <w:r>
          <w:rPr>
            <w:rStyle w:val="normaltextrun"/>
            <w:rFonts w:ascii="Arial" w:hAnsi="Arial" w:cs="Arial"/>
            <w:color w:val="0563C1"/>
            <w:u w:val="single"/>
          </w:rPr>
          <w:t>https://www.england.nhs.uk/long-read/working-in-partnership-with-people-and-communities-statutory-guidance/</w:t>
        </w:r>
      </w:hyperlink>
      <w:r>
        <w:rPr>
          <w:rStyle w:val="apple-converted-space"/>
          <w:rFonts w:ascii="Arial" w:hAnsi="Arial" w:cs="Arial"/>
          <w:color w:val="000000"/>
        </w:rPr>
        <w:t> </w:t>
      </w:r>
      <w:r>
        <w:rPr>
          <w:rStyle w:val="normaltextrun"/>
          <w:rFonts w:ascii="Arial" w:hAnsi="Arial" w:cs="Arial"/>
          <w:color w:val="000000"/>
        </w:rPr>
        <w:t>(Accessed: 16 April 2026).</w:t>
      </w:r>
      <w:r>
        <w:rPr>
          <w:rStyle w:val="eop"/>
          <w:rFonts w:ascii="Arial" w:hAnsi="Arial" w:cs="Arial"/>
          <w:color w:val="000000"/>
        </w:rPr>
        <w:t> </w:t>
      </w:r>
    </w:p>
    <w:p w14:paraId="7CFDD3A9" w14:textId="77777777" w:rsidR="00D315A9" w:rsidRDefault="00D315A9" w:rsidP="00D315A9">
      <w:pPr>
        <w:pStyle w:val="paragraph"/>
        <w:spacing w:before="0" w:after="0"/>
        <w:textAlignment w:val="baseline"/>
        <w:rPr>
          <w:rFonts w:ascii="Segoe UI" w:hAnsi="Segoe UI" w:cs="Segoe UI"/>
          <w:sz w:val="18"/>
          <w:szCs w:val="18"/>
        </w:rPr>
      </w:pPr>
      <w:r>
        <w:rPr>
          <w:rStyle w:val="normaltextrun"/>
          <w:rFonts w:ascii="Arial" w:hAnsi="Arial" w:cs="Arial"/>
          <w:color w:val="000000"/>
        </w:rPr>
        <w:t>Shankar, R. et al. (2026)</w:t>
      </w:r>
      <w:r>
        <w:rPr>
          <w:rStyle w:val="apple-converted-space"/>
          <w:rFonts w:ascii="Arial" w:hAnsi="Arial" w:cs="Arial"/>
          <w:color w:val="000000"/>
        </w:rPr>
        <w:t> </w:t>
      </w:r>
      <w:r>
        <w:rPr>
          <w:rStyle w:val="normaltextrun"/>
          <w:rFonts w:ascii="Arial" w:hAnsi="Arial" w:cs="Arial"/>
          <w:color w:val="000000"/>
        </w:rPr>
        <w:t>‘Barriers and enablers to pharmacist involvement in social prescribing: A systematic review of qualitative studies’,</w:t>
      </w:r>
      <w:r>
        <w:rPr>
          <w:rStyle w:val="apple-converted-space"/>
          <w:rFonts w:ascii="Arial" w:hAnsi="Arial" w:cs="Arial"/>
          <w:color w:val="000000"/>
        </w:rPr>
        <w:t> </w:t>
      </w:r>
      <w:r>
        <w:rPr>
          <w:rStyle w:val="normaltextrun"/>
          <w:rFonts w:ascii="Arial" w:hAnsi="Arial" w:cs="Arial"/>
          <w:i/>
          <w:iCs/>
          <w:color w:val="000000"/>
        </w:rPr>
        <w:t>Research in social and administrative pharmacy,</w:t>
      </w:r>
      <w:r>
        <w:rPr>
          <w:rStyle w:val="apple-converted-space"/>
          <w:rFonts w:ascii="Arial" w:hAnsi="Arial" w:cs="Arial"/>
          <w:i/>
          <w:iCs/>
          <w:color w:val="000000"/>
        </w:rPr>
        <w:t> </w:t>
      </w:r>
      <w:r>
        <w:rPr>
          <w:rStyle w:val="normaltextrun"/>
          <w:rFonts w:ascii="Arial" w:hAnsi="Arial" w:cs="Arial"/>
          <w:color w:val="000000"/>
        </w:rPr>
        <w:t>22(4), pp. 549–560. Available at:</w:t>
      </w:r>
      <w:r>
        <w:rPr>
          <w:rStyle w:val="apple-converted-space"/>
          <w:rFonts w:ascii="Arial" w:hAnsi="Arial" w:cs="Arial"/>
          <w:color w:val="000000"/>
        </w:rPr>
        <w:t> </w:t>
      </w:r>
      <w:hyperlink r:id="rId13" w:tgtFrame="_blank" w:history="1">
        <w:r>
          <w:rPr>
            <w:rStyle w:val="normaltextrun"/>
            <w:rFonts w:ascii="Arial" w:hAnsi="Arial" w:cs="Arial"/>
            <w:color w:val="0563C1"/>
            <w:u w:val="single"/>
          </w:rPr>
          <w:t>https://doi.org/10.1016/j.sapharm.2026.01.005</w:t>
        </w:r>
      </w:hyperlink>
      <w:r>
        <w:rPr>
          <w:rStyle w:val="normaltextrun"/>
          <w:rFonts w:ascii="Arial" w:hAnsi="Arial" w:cs="Arial"/>
          <w:color w:val="000000"/>
        </w:rPr>
        <w:t>. </w:t>
      </w:r>
      <w:r>
        <w:rPr>
          <w:rStyle w:val="eop"/>
          <w:rFonts w:ascii="Arial" w:hAnsi="Arial" w:cs="Arial"/>
          <w:color w:val="000000"/>
        </w:rPr>
        <w:t> </w:t>
      </w:r>
    </w:p>
    <w:p w14:paraId="30ADE385" w14:textId="77777777" w:rsidR="00D315A9" w:rsidRDefault="00D315A9" w:rsidP="00D315A9">
      <w:pPr>
        <w:pStyle w:val="paragraph"/>
        <w:spacing w:before="0" w:after="0"/>
        <w:textAlignment w:val="baseline"/>
        <w:rPr>
          <w:rFonts w:ascii="Segoe UI" w:hAnsi="Segoe UI" w:cs="Segoe UI"/>
          <w:sz w:val="18"/>
          <w:szCs w:val="18"/>
        </w:rPr>
      </w:pPr>
      <w:r>
        <w:rPr>
          <w:rStyle w:val="eop"/>
          <w:rFonts w:ascii="Arial" w:hAnsi="Arial" w:cs="Arial"/>
          <w:color w:val="000000"/>
        </w:rPr>
        <w:t> </w:t>
      </w:r>
    </w:p>
    <w:p w14:paraId="19FE392A"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Pr>
        <w:t> </w:t>
      </w:r>
    </w:p>
    <w:p w14:paraId="48E3BD8D"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color w:val="2C3E50"/>
        </w:rPr>
        <w:t>Scoping studies: Towards a Methodological Framework</w:t>
      </w:r>
      <w:r>
        <w:rPr>
          <w:rStyle w:val="eop"/>
          <w:color w:val="2C3E50"/>
        </w:rPr>
        <w:t> </w:t>
      </w:r>
    </w:p>
    <w:p w14:paraId="63EB9406"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color w:val="2C3E50"/>
        </w:rPr>
        <w:t>Hilary Arksey, Lisa O'Malley</w:t>
      </w:r>
      <w:r>
        <w:rPr>
          <w:rStyle w:val="eop"/>
          <w:color w:val="2C3E50"/>
        </w:rPr>
        <w:t> </w:t>
      </w:r>
    </w:p>
    <w:p w14:paraId="5F9AA729"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color w:val="2C3E50"/>
        </w:rPr>
        <w:t> </w:t>
      </w:r>
    </w:p>
    <w:p w14:paraId="4B0BA8D6"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color w:val="2C3E50"/>
        </w:rPr>
        <w:t>Year: 2005 Container: International Journal of Social Research Methodology Volume: 8 Issue: 1Page: 19-</w:t>
      </w:r>
      <w:r>
        <w:rPr>
          <w:rStyle w:val="eop"/>
          <w:color w:val="2C3E50"/>
        </w:rPr>
        <w:t> </w:t>
      </w:r>
    </w:p>
    <w:p w14:paraId="1958E486"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color w:val="2C3E50"/>
        </w:rPr>
        <w:t>32 DOI: https://doi.org/10.1080/1364557032000119616 URL: </w:t>
      </w:r>
      <w:hyperlink r:id="rId14" w:tgtFrame="_blank" w:history="1">
        <w:r>
          <w:rPr>
            <w:rStyle w:val="normaltextrun"/>
            <w:color w:val="0563C1"/>
            <w:u w:val="single"/>
          </w:rPr>
          <w:t>https://www.tandfonline.com/doi/abs/10.1080/1364557032000119616</w:t>
        </w:r>
      </w:hyperlink>
      <w:r>
        <w:rPr>
          <w:rStyle w:val="eop"/>
          <w:color w:val="2C3E50"/>
        </w:rPr>
        <w:t> </w:t>
      </w:r>
    </w:p>
    <w:p w14:paraId="0243A6CD"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color w:val="2C3E50"/>
        </w:rPr>
        <w:t> </w:t>
      </w:r>
    </w:p>
    <w:p w14:paraId="3704D220"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color w:val="2C3E50"/>
        </w:rPr>
        <w:t> </w:t>
      </w:r>
    </w:p>
    <w:p w14:paraId="4EFDDF0E"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color w:val="2C3E50"/>
        </w:rPr>
        <w:t>Year: 2023 Container: NHS England URL: </w:t>
      </w:r>
      <w:hyperlink r:id="rId15" w:tgtFrame="_blank" w:history="1">
        <w:r>
          <w:rPr>
            <w:rStyle w:val="normaltextrun"/>
            <w:color w:val="0563C1"/>
            <w:u w:val="single"/>
          </w:rPr>
          <w:t>https://www.england.nhs.uk/long-read/working-in-partnership-with-people-and-communities-statutory-guidance/</w:t>
        </w:r>
      </w:hyperlink>
      <w:r>
        <w:rPr>
          <w:rStyle w:val="eop"/>
          <w:color w:val="2C3E50"/>
        </w:rPr>
        <w:t> </w:t>
      </w:r>
    </w:p>
    <w:p w14:paraId="7C62F639"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color w:val="2C3E50"/>
        </w:rPr>
        <w:t> </w:t>
      </w:r>
    </w:p>
    <w:p w14:paraId="158922EF"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color w:val="2C3E50"/>
        </w:rPr>
        <w:t> </w:t>
      </w:r>
    </w:p>
    <w:p w14:paraId="490DED36"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normaltextrun"/>
          <w:color w:val="2C3E50"/>
        </w:rPr>
        <w:t>Year: 2025 Container: Safework.place URL: </w:t>
      </w:r>
      <w:hyperlink r:id="rId16" w:tgtFrame="_blank" w:history="1">
        <w:r>
          <w:rPr>
            <w:rStyle w:val="normaltextrun"/>
            <w:color w:val="0563C1"/>
            <w:u w:val="single"/>
          </w:rPr>
          <w:t>https://safework.place/blog/2025-cqc-state-of-care-report</w:t>
        </w:r>
      </w:hyperlink>
      <w:r>
        <w:rPr>
          <w:rStyle w:val="normaltextrun"/>
          <w:color w:val="2C3E50"/>
        </w:rPr>
        <w:t> </w:t>
      </w:r>
      <w:r>
        <w:rPr>
          <w:rStyle w:val="eop"/>
          <w:color w:val="2C3E50"/>
        </w:rPr>
        <w:t> </w:t>
      </w:r>
    </w:p>
    <w:p w14:paraId="365207E9"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Pr>
        <w:t> </w:t>
      </w:r>
    </w:p>
    <w:p w14:paraId="04064094"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37BB653" w14:textId="40242B63" w:rsidR="005050E4" w:rsidRDefault="00D315A9" w:rsidP="00D315A9">
      <w:pPr>
        <w:pStyle w:val="paragraph"/>
        <w:spacing w:before="0" w:beforeAutospacing="0" w:after="0" w:afterAutospacing="0"/>
        <w:textAlignment w:val="baseline"/>
        <w:rPr>
          <w:rStyle w:val="normaltextrun"/>
          <w:rFonts w:ascii="AppleSystemUIFont" w:hAnsi="AppleSystemUIFont" w:cs="Segoe UI"/>
          <w:sz w:val="26"/>
          <w:szCs w:val="26"/>
        </w:rPr>
      </w:pPr>
      <w:r>
        <w:rPr>
          <w:rStyle w:val="normaltextrun"/>
          <w:rFonts w:ascii="AppleSystemUIFont" w:hAnsi="AppleSystemUIFont" w:cs="Segoe UI"/>
          <w:sz w:val="26"/>
          <w:szCs w:val="26"/>
        </w:rPr>
        <w:t>Department of Health and Social Care (2019).</w:t>
      </w:r>
      <w:r>
        <w:rPr>
          <w:rStyle w:val="apple-converted-space"/>
          <w:rFonts w:ascii="AppleSystemUIFont" w:hAnsi="AppleSystemUIFont" w:cs="Segoe UI"/>
          <w:sz w:val="26"/>
          <w:szCs w:val="26"/>
        </w:rPr>
        <w:t> </w:t>
      </w:r>
      <w:r>
        <w:rPr>
          <w:rStyle w:val="normaltextrun"/>
          <w:rFonts w:ascii="AppleSystemUIFont" w:hAnsi="AppleSystemUIFont" w:cs="Segoe UI"/>
          <w:i/>
          <w:iCs/>
          <w:sz w:val="26"/>
          <w:szCs w:val="26"/>
        </w:rPr>
        <w:t>NHS Long Term Plan Launched</w:t>
      </w:r>
      <w:r>
        <w:rPr>
          <w:rStyle w:val="normaltextrun"/>
          <w:rFonts w:ascii="AppleSystemUIFont" w:hAnsi="AppleSystemUIFont" w:cs="Segoe UI"/>
          <w:sz w:val="26"/>
          <w:szCs w:val="26"/>
        </w:rPr>
        <w:t xml:space="preserve">. [online] GOV.UK. Available at: </w:t>
      </w:r>
      <w:hyperlink r:id="rId17" w:history="1">
        <w:r w:rsidR="005050E4" w:rsidRPr="00AD1BE8">
          <w:rPr>
            <w:rStyle w:val="Hyperlink"/>
            <w:rFonts w:ascii="AppleSystemUIFont" w:hAnsi="AppleSystemUIFont" w:cs="Segoe UI"/>
            <w:sz w:val="26"/>
            <w:szCs w:val="26"/>
          </w:rPr>
          <w:t>https://www.gov.uk/government/news/nhs-long-term-plan-launched</w:t>
        </w:r>
      </w:hyperlink>
      <w:r>
        <w:rPr>
          <w:rStyle w:val="normaltextrun"/>
          <w:rFonts w:ascii="AppleSystemUIFont" w:hAnsi="AppleSystemUIFont" w:cs="Segoe UI"/>
          <w:sz w:val="26"/>
          <w:szCs w:val="26"/>
        </w:rPr>
        <w:t>.</w:t>
      </w:r>
    </w:p>
    <w:p w14:paraId="7EE81373" w14:textId="08A95703"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t> </w:t>
      </w:r>
    </w:p>
    <w:p w14:paraId="283F30FE"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t> </w:t>
      </w:r>
    </w:p>
    <w:p w14:paraId="1B4750AD"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lastRenderedPageBreak/>
        <w:t> </w:t>
      </w:r>
    </w:p>
    <w:p w14:paraId="19EEAC81"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t> </w:t>
      </w:r>
    </w:p>
    <w:p w14:paraId="745C986B"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t> </w:t>
      </w:r>
    </w:p>
    <w:p w14:paraId="1F502C9F"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t> </w:t>
      </w:r>
    </w:p>
    <w:p w14:paraId="61CC8AE1"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t> </w:t>
      </w:r>
    </w:p>
    <w:p w14:paraId="7EF8BFA3" w14:textId="77777777" w:rsidR="00D315A9" w:rsidRDefault="00D315A9" w:rsidP="00D315A9">
      <w:pPr>
        <w:pStyle w:val="paragraph"/>
        <w:spacing w:before="0" w:beforeAutospacing="0" w:after="0" w:afterAutospacing="0"/>
        <w:textAlignment w:val="baseline"/>
        <w:rPr>
          <w:rFonts w:ascii="Segoe UI" w:hAnsi="Segoe UI" w:cs="Segoe UI"/>
          <w:sz w:val="18"/>
          <w:szCs w:val="18"/>
        </w:rPr>
      </w:pPr>
      <w:r>
        <w:rPr>
          <w:rStyle w:val="eop"/>
          <w:rFonts w:ascii="AppleSystemUIFont" w:hAnsi="AppleSystemUIFont" w:cs="Segoe UI"/>
          <w:sz w:val="26"/>
          <w:szCs w:val="26"/>
        </w:rPr>
        <w:t> </w:t>
      </w:r>
    </w:p>
    <w:p w14:paraId="36F9B245" w14:textId="4592858D" w:rsidR="005050E4" w:rsidRDefault="00D315A9" w:rsidP="00D315A9">
      <w:pPr>
        <w:pStyle w:val="paragraph"/>
        <w:spacing w:before="0" w:beforeAutospacing="0" w:after="0" w:afterAutospacing="0"/>
        <w:textAlignment w:val="baseline"/>
        <w:rPr>
          <w:rStyle w:val="normaltextrun"/>
          <w:rFonts w:ascii="AppleSystemUIFont" w:hAnsi="AppleSystemUIFont" w:cs="Segoe UI"/>
          <w:sz w:val="26"/>
          <w:szCs w:val="26"/>
        </w:rPr>
      </w:pPr>
      <w:r>
        <w:rPr>
          <w:rStyle w:val="normaltextrun"/>
          <w:rFonts w:ascii="AppleSystemUIFont" w:hAnsi="AppleSystemUIFont" w:cs="Segoe UI"/>
          <w:sz w:val="26"/>
          <w:szCs w:val="26"/>
        </w:rPr>
        <w:t>Feenie, N. (2025).</w:t>
      </w:r>
      <w:r>
        <w:rPr>
          <w:rStyle w:val="apple-converted-space"/>
          <w:rFonts w:ascii="AppleSystemUIFont" w:hAnsi="AppleSystemUIFont" w:cs="Segoe UI"/>
          <w:sz w:val="26"/>
          <w:szCs w:val="26"/>
        </w:rPr>
        <w:t> </w:t>
      </w:r>
      <w:r>
        <w:rPr>
          <w:rStyle w:val="normaltextrun"/>
          <w:rFonts w:ascii="AppleSystemUIFont" w:hAnsi="AppleSystemUIFont" w:cs="Segoe UI"/>
          <w:i/>
          <w:iCs/>
          <w:sz w:val="26"/>
          <w:szCs w:val="26"/>
        </w:rPr>
        <w:t>New guidance issued to strengthen safety and effectiveness of digital mental health technologies | CCH</w:t>
      </w:r>
      <w:r>
        <w:rPr>
          <w:rStyle w:val="normaltextrun"/>
          <w:rFonts w:ascii="AppleSystemUIFont" w:hAnsi="AppleSystemUIFont" w:cs="Segoe UI"/>
          <w:sz w:val="26"/>
          <w:szCs w:val="26"/>
        </w:rPr>
        <w:t xml:space="preserve">. [online] CCH. Available at: </w:t>
      </w:r>
      <w:hyperlink r:id="rId18" w:history="1">
        <w:r w:rsidR="005050E4" w:rsidRPr="00AD1BE8">
          <w:rPr>
            <w:rStyle w:val="Hyperlink"/>
            <w:rFonts w:ascii="AppleSystemUIFont" w:hAnsi="AppleSystemUIFont" w:cs="Segoe UI"/>
            <w:sz w:val="26"/>
            <w:szCs w:val="26"/>
          </w:rPr>
          <w:t>https://www.contemporaryhealth.co.uk/digital-health/new-guidance-issued-to-strengthen-safety-and-effectiveness-of-digital-mental-health-technologies/</w:t>
        </w:r>
      </w:hyperlink>
      <w:r>
        <w:rPr>
          <w:rStyle w:val="normaltextrun"/>
          <w:rFonts w:ascii="AppleSystemUIFont" w:hAnsi="AppleSystemUIFont" w:cs="Segoe UI"/>
          <w:sz w:val="26"/>
          <w:szCs w:val="26"/>
        </w:rPr>
        <w:t xml:space="preserve"> </w:t>
      </w:r>
    </w:p>
    <w:p w14:paraId="27DCD19E" w14:textId="5DC3AE11" w:rsidR="00D315A9" w:rsidRDefault="00D315A9" w:rsidP="00D315A9">
      <w:pPr>
        <w:pStyle w:val="paragraph"/>
        <w:spacing w:before="0" w:beforeAutospacing="0" w:after="0" w:afterAutospacing="0"/>
        <w:textAlignment w:val="baseline"/>
        <w:rPr>
          <w:rStyle w:val="eop"/>
          <w:rFonts w:ascii="AppleSystemUIFont" w:hAnsi="AppleSystemUIFont" w:cs="Segoe UI"/>
          <w:sz w:val="26"/>
          <w:szCs w:val="26"/>
        </w:rPr>
      </w:pPr>
      <w:r>
        <w:rPr>
          <w:rStyle w:val="normaltextrun"/>
          <w:rFonts w:ascii="AppleSystemUIFont" w:hAnsi="AppleSystemUIFont" w:cs="Segoe UI"/>
          <w:sz w:val="26"/>
          <w:szCs w:val="26"/>
        </w:rPr>
        <w:t>[Accessed 14 Apr. 2026].</w:t>
      </w:r>
      <w:r>
        <w:rPr>
          <w:rStyle w:val="eop"/>
          <w:rFonts w:ascii="AppleSystemUIFont" w:hAnsi="AppleSystemUIFont" w:cs="Segoe UI"/>
          <w:sz w:val="26"/>
          <w:szCs w:val="26"/>
        </w:rPr>
        <w:t> </w:t>
      </w:r>
    </w:p>
    <w:p w14:paraId="47AD4883" w14:textId="77777777" w:rsidR="005050E4" w:rsidRDefault="005050E4" w:rsidP="00D315A9">
      <w:pPr>
        <w:pStyle w:val="paragraph"/>
        <w:spacing w:before="0" w:beforeAutospacing="0" w:after="0" w:afterAutospacing="0"/>
        <w:textAlignment w:val="baseline"/>
        <w:rPr>
          <w:rFonts w:ascii="Segoe UI" w:hAnsi="Segoe UI" w:cs="Segoe UI"/>
          <w:sz w:val="18"/>
          <w:szCs w:val="18"/>
        </w:rPr>
      </w:pPr>
    </w:p>
    <w:p w14:paraId="500E93B7" w14:textId="77777777" w:rsidR="00CD7FE5" w:rsidRDefault="00CD7FE5" w:rsidP="00C8478A">
      <w:pPr>
        <w:keepNext/>
        <w:keepLines/>
        <w:spacing w:before="40" w:line="360" w:lineRule="auto"/>
        <w:outlineLvl w:val="1"/>
        <w:rPr>
          <w:rFonts w:ascii="Arial" w:eastAsiaTheme="majorEastAsia" w:hAnsi="Arial" w:cs="Arial"/>
          <w:b/>
          <w:bCs/>
          <w:i/>
          <w:sz w:val="28"/>
          <w:szCs w:val="28"/>
        </w:rPr>
      </w:pPr>
    </w:p>
    <w:p w14:paraId="173DB823" w14:textId="762DF605" w:rsidR="00D11142" w:rsidRPr="00CD33A8" w:rsidRDefault="00D11142" w:rsidP="00CD33A8">
      <w:pPr>
        <w:tabs>
          <w:tab w:val="left" w:pos="6540"/>
        </w:tabs>
        <w:spacing w:line="360" w:lineRule="auto"/>
        <w:rPr>
          <w:rFonts w:asciiTheme="minorBidi" w:hAnsiTheme="minorBidi"/>
          <w:sz w:val="22"/>
        </w:rPr>
      </w:pPr>
    </w:p>
    <w:p w14:paraId="0B299BAA" w14:textId="77777777" w:rsidR="00B87E75" w:rsidRPr="00CD33A8" w:rsidRDefault="00B87E75" w:rsidP="00CD33A8">
      <w:pPr>
        <w:tabs>
          <w:tab w:val="left" w:pos="6540"/>
        </w:tabs>
        <w:spacing w:line="360" w:lineRule="auto"/>
        <w:rPr>
          <w:rFonts w:asciiTheme="minorBidi" w:hAnsiTheme="minorBidi"/>
          <w:sz w:val="22"/>
        </w:rPr>
      </w:pPr>
    </w:p>
    <w:p w14:paraId="19A62BBF" w14:textId="608AE223" w:rsidR="007D43E8" w:rsidRPr="007C2EF4" w:rsidRDefault="00B87E75" w:rsidP="00755A4D">
      <w:pPr>
        <w:pStyle w:val="Heading1"/>
        <w:rPr>
          <w:rFonts w:ascii="AppleSystemUIFont" w:hAnsi="AppleSystemUIFont" w:cs="AppleSystemUIFont"/>
          <w:sz w:val="26"/>
          <w:szCs w:val="26"/>
          <w:u w:val="single"/>
        </w:rPr>
      </w:pPr>
      <w:r w:rsidRPr="007C2EF4">
        <w:rPr>
          <w:u w:val="single"/>
        </w:rPr>
        <w:t>References</w:t>
      </w:r>
    </w:p>
    <w:p w14:paraId="16E9038C" w14:textId="77777777" w:rsidR="007D43E8" w:rsidRDefault="007D43E8" w:rsidP="007D43E8">
      <w:pPr>
        <w:autoSpaceDE w:val="0"/>
        <w:autoSpaceDN w:val="0"/>
        <w:adjustRightInd w:val="0"/>
        <w:rPr>
          <w:rFonts w:ascii="AppleSystemUIFont" w:hAnsi="AppleSystemUIFont" w:cs="AppleSystemUIFont"/>
          <w:sz w:val="26"/>
          <w:szCs w:val="26"/>
        </w:rPr>
      </w:pPr>
    </w:p>
    <w:p w14:paraId="0439DE71" w14:textId="77777777" w:rsidR="007D43E8" w:rsidRDefault="007D43E8" w:rsidP="007D43E8">
      <w:pPr>
        <w:autoSpaceDE w:val="0"/>
        <w:autoSpaceDN w:val="0"/>
        <w:adjustRightInd w:val="0"/>
        <w:rPr>
          <w:rFonts w:ascii="AppleSystemUIFont" w:hAnsi="AppleSystemUIFont" w:cs="AppleSystemUIFont"/>
          <w:sz w:val="26"/>
          <w:szCs w:val="26"/>
        </w:rPr>
      </w:pPr>
    </w:p>
    <w:p w14:paraId="3B173A97" w14:textId="77777777" w:rsidR="007D43E8" w:rsidRDefault="007D43E8" w:rsidP="007D43E8">
      <w:pPr>
        <w:autoSpaceDE w:val="0"/>
        <w:autoSpaceDN w:val="0"/>
        <w:adjustRightInd w:val="0"/>
        <w:rPr>
          <w:rFonts w:ascii="AppleSystemUIFont" w:hAnsi="AppleSystemUIFont" w:cs="AppleSystemUIFont"/>
          <w:sz w:val="26"/>
          <w:szCs w:val="26"/>
        </w:rPr>
      </w:pPr>
    </w:p>
    <w:p w14:paraId="1BB10629" w14:textId="0C8C9210" w:rsidR="005050E4" w:rsidRDefault="007D43E8" w:rsidP="007D43E8">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Feenie, N. (2025). </w:t>
      </w:r>
      <w:r>
        <w:rPr>
          <w:rFonts w:ascii="AppleSystemUIFont" w:hAnsi="AppleSystemUIFont" w:cs="AppleSystemUIFont"/>
          <w:i/>
          <w:iCs/>
          <w:sz w:val="26"/>
          <w:szCs w:val="26"/>
        </w:rPr>
        <w:t>New guidance issued to strengthen safety and effectiveness of digital mental health technologies | CCH</w:t>
      </w:r>
      <w:r>
        <w:rPr>
          <w:rFonts w:ascii="AppleSystemUIFont" w:hAnsi="AppleSystemUIFont" w:cs="AppleSystemUIFont"/>
          <w:sz w:val="26"/>
          <w:szCs w:val="26"/>
        </w:rPr>
        <w:t xml:space="preserve">. [online] CCH. Available at: </w:t>
      </w:r>
      <w:hyperlink r:id="rId19" w:history="1">
        <w:r w:rsidR="005050E4" w:rsidRPr="00AD1BE8">
          <w:rPr>
            <w:rStyle w:val="Hyperlink"/>
            <w:rFonts w:ascii="AppleSystemUIFont" w:hAnsi="AppleSystemUIFont" w:cs="AppleSystemUIFont"/>
            <w:sz w:val="26"/>
            <w:szCs w:val="26"/>
          </w:rPr>
          <w:t>https://www.contemporaryhealth.co.uk/digital-health/new-guidance-issued-to-strengthen-safety-and-effectiveness-of-digital-mental-health-technologies/</w:t>
        </w:r>
      </w:hyperlink>
      <w:r>
        <w:rPr>
          <w:rFonts w:ascii="AppleSystemUIFont" w:hAnsi="AppleSystemUIFont" w:cs="AppleSystemUIFont"/>
          <w:sz w:val="26"/>
          <w:szCs w:val="26"/>
        </w:rPr>
        <w:t xml:space="preserve"> </w:t>
      </w:r>
    </w:p>
    <w:p w14:paraId="052F8CC6" w14:textId="5DA846CD" w:rsidR="007D43E8" w:rsidRDefault="007D43E8" w:rsidP="007D43E8">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[Accessed 14 Apr. 2026].</w:t>
      </w:r>
    </w:p>
    <w:p w14:paraId="7C147430" w14:textId="77777777" w:rsidR="007D43E8" w:rsidRDefault="007D43E8" w:rsidP="007D43E8">
      <w:pPr>
        <w:autoSpaceDE w:val="0"/>
        <w:autoSpaceDN w:val="0"/>
        <w:adjustRightInd w:val="0"/>
        <w:rPr>
          <w:rFonts w:ascii="AppleSystemUIFont" w:hAnsi="AppleSystemUIFont" w:cs="AppleSystemUIFont"/>
          <w:sz w:val="26"/>
          <w:szCs w:val="26"/>
        </w:rPr>
      </w:pPr>
    </w:p>
    <w:p w14:paraId="2AAC93CB" w14:textId="77777777" w:rsidR="007D43E8" w:rsidRDefault="007D43E8" w:rsidP="007D43E8">
      <w:pPr>
        <w:autoSpaceDE w:val="0"/>
        <w:autoSpaceDN w:val="0"/>
        <w:adjustRightInd w:val="0"/>
        <w:rPr>
          <w:rFonts w:ascii="AppleSystemUIFont" w:hAnsi="AppleSystemUIFont" w:cs="AppleSystemUIFont"/>
          <w:sz w:val="26"/>
          <w:szCs w:val="26"/>
        </w:rPr>
      </w:pPr>
    </w:p>
    <w:p w14:paraId="0C383A36" w14:textId="77777777" w:rsidR="007D43E8" w:rsidRDefault="007D43E8" w:rsidP="007D43E8">
      <w:pPr>
        <w:autoSpaceDE w:val="0"/>
        <w:autoSpaceDN w:val="0"/>
        <w:adjustRightInd w:val="0"/>
        <w:rPr>
          <w:rFonts w:ascii="AppleSystemUIFont" w:hAnsi="AppleSystemUIFont" w:cs="AppleSystemUIFont"/>
          <w:sz w:val="26"/>
          <w:szCs w:val="26"/>
        </w:rPr>
      </w:pPr>
    </w:p>
    <w:p w14:paraId="641DD885" w14:textId="77777777" w:rsidR="007D43E8" w:rsidRDefault="007D43E8" w:rsidP="007D43E8">
      <w:pPr>
        <w:autoSpaceDE w:val="0"/>
        <w:autoSpaceDN w:val="0"/>
        <w:adjustRightInd w:val="0"/>
        <w:rPr>
          <w:rFonts w:ascii="AppleSystemUIFont" w:hAnsi="AppleSystemUIFont" w:cs="AppleSystemUIFont"/>
          <w:sz w:val="26"/>
          <w:szCs w:val="26"/>
        </w:rPr>
      </w:pPr>
    </w:p>
    <w:p w14:paraId="68085B47" w14:textId="77777777" w:rsidR="007D43E8" w:rsidRDefault="007D43E8" w:rsidP="007D43E8">
      <w:pPr>
        <w:autoSpaceDE w:val="0"/>
        <w:autoSpaceDN w:val="0"/>
        <w:adjustRightInd w:val="0"/>
        <w:rPr>
          <w:rFonts w:ascii="AppleSystemUIFont" w:hAnsi="AppleSystemUIFont" w:cs="AppleSystemUIFont"/>
          <w:sz w:val="26"/>
          <w:szCs w:val="26"/>
        </w:rPr>
      </w:pPr>
    </w:p>
    <w:p w14:paraId="23A2A164" w14:textId="77777777" w:rsidR="007D43E8" w:rsidRDefault="007D43E8" w:rsidP="007D43E8">
      <w:pPr>
        <w:autoSpaceDE w:val="0"/>
        <w:autoSpaceDN w:val="0"/>
        <w:adjustRightInd w:val="0"/>
        <w:rPr>
          <w:rFonts w:ascii="AppleSystemUIFont" w:hAnsi="AppleSystemUIFont" w:cs="AppleSystemUIFont"/>
          <w:sz w:val="26"/>
          <w:szCs w:val="26"/>
        </w:rPr>
      </w:pPr>
    </w:p>
    <w:p w14:paraId="311630B4" w14:textId="77777777" w:rsidR="007D43E8" w:rsidRDefault="007D43E8" w:rsidP="007D43E8">
      <w:pPr>
        <w:autoSpaceDE w:val="0"/>
        <w:autoSpaceDN w:val="0"/>
        <w:adjustRightInd w:val="0"/>
        <w:rPr>
          <w:rFonts w:ascii="AppleSystemUIFont" w:hAnsi="AppleSystemUIFont" w:cs="AppleSystemUIFont"/>
          <w:sz w:val="26"/>
          <w:szCs w:val="26"/>
        </w:rPr>
      </w:pPr>
    </w:p>
    <w:p w14:paraId="3B5725C9" w14:textId="77777777" w:rsidR="007D43E8" w:rsidRDefault="007D43E8" w:rsidP="007D43E8">
      <w:pPr>
        <w:autoSpaceDE w:val="0"/>
        <w:autoSpaceDN w:val="0"/>
        <w:adjustRightInd w:val="0"/>
        <w:rPr>
          <w:rFonts w:ascii="AppleSystemUIFont" w:hAnsi="AppleSystemUIFont" w:cs="AppleSystemUIFont"/>
          <w:sz w:val="26"/>
          <w:szCs w:val="26"/>
        </w:rPr>
      </w:pPr>
    </w:p>
    <w:p w14:paraId="195152EF" w14:textId="77777777" w:rsidR="007D43E8" w:rsidRDefault="007D43E8" w:rsidP="007D43E8">
      <w:pPr>
        <w:autoSpaceDE w:val="0"/>
        <w:autoSpaceDN w:val="0"/>
        <w:adjustRightInd w:val="0"/>
        <w:rPr>
          <w:rFonts w:ascii="AppleSystemUIFont" w:hAnsi="AppleSystemUIFont" w:cs="AppleSystemUIFont"/>
          <w:sz w:val="26"/>
          <w:szCs w:val="26"/>
        </w:rPr>
      </w:pPr>
    </w:p>
    <w:p w14:paraId="0A54A724" w14:textId="56677FA4" w:rsidR="00AA1C7A" w:rsidRDefault="007D43E8" w:rsidP="007D43E8">
      <w:pPr>
        <w:tabs>
          <w:tab w:val="left" w:pos="6540"/>
        </w:tabs>
        <w:spacing w:line="360" w:lineRule="auto"/>
        <w:rPr>
          <w:rFonts w:ascii="AppleSystemUIFont" w:hAnsi="AppleSystemUIFont" w:cs="AppleSystemUIFont"/>
          <w:sz w:val="26"/>
          <w:szCs w:val="26"/>
        </w:rPr>
      </w:pPr>
      <w:r>
        <w:rPr>
          <w:rFonts w:ascii="AppleSystemUIFont" w:hAnsi="AppleSystemUIFont" w:cs="AppleSystemUIFont"/>
          <w:sz w:val="26"/>
          <w:szCs w:val="26"/>
        </w:rPr>
        <w:t xml:space="preserve">Goodthingsfoundation.org. (2025). </w:t>
      </w:r>
      <w:r>
        <w:rPr>
          <w:rFonts w:ascii="AppleSystemUIFont" w:hAnsi="AppleSystemUIFont" w:cs="AppleSystemUIFont"/>
          <w:i/>
          <w:iCs/>
          <w:sz w:val="26"/>
          <w:szCs w:val="26"/>
        </w:rPr>
        <w:t>Belief and trust barriers to using digital health services: learning from a research and co-design project | Good Things Foundation</w:t>
      </w:r>
      <w:r>
        <w:rPr>
          <w:rFonts w:ascii="AppleSystemUIFont" w:hAnsi="AppleSystemUIFont" w:cs="AppleSystemUIFont"/>
          <w:sz w:val="26"/>
          <w:szCs w:val="26"/>
        </w:rPr>
        <w:t xml:space="preserve">. [online] Available at: </w:t>
      </w:r>
      <w:hyperlink r:id="rId20" w:history="1">
        <w:r w:rsidRPr="001F68BA">
          <w:rPr>
            <w:rStyle w:val="Hyperlink"/>
            <w:rFonts w:ascii="AppleSystemUIFont" w:hAnsi="AppleSystemUIFont" w:cs="AppleSystemUIFont"/>
            <w:sz w:val="26"/>
            <w:szCs w:val="26"/>
          </w:rPr>
          <w:t>https://www.goodthingsfoundation.org/policy-and-research/research-and-evidence/research-2025/beliefs-and-trust-barriers-to-using-digital-health-services</w:t>
        </w:r>
      </w:hyperlink>
      <w:r>
        <w:rPr>
          <w:rFonts w:ascii="AppleSystemUIFont" w:hAnsi="AppleSystemUIFont" w:cs="AppleSystemUIFont"/>
          <w:sz w:val="26"/>
          <w:szCs w:val="26"/>
        </w:rPr>
        <w:t>.</w:t>
      </w:r>
      <w:r w:rsidR="00C635C7">
        <w:rPr>
          <w:rFonts w:ascii="AppleSystemUIFont" w:hAnsi="AppleSystemUIFont" w:cs="AppleSystemUIFont"/>
          <w:sz w:val="26"/>
          <w:szCs w:val="26"/>
        </w:rPr>
        <w:t xml:space="preserve"> </w:t>
      </w:r>
      <w:r w:rsidR="00326CF6">
        <w:rPr>
          <w:rFonts w:ascii="AppleSystemUIFont" w:hAnsi="AppleSystemUIFont" w:cs="AppleSystemUIFont"/>
          <w:sz w:val="26"/>
          <w:szCs w:val="26"/>
        </w:rPr>
        <w:t>[</w:t>
      </w:r>
      <w:r w:rsidR="00284408">
        <w:rPr>
          <w:rFonts w:ascii="AppleSystemUIFont" w:hAnsi="AppleSystemUIFont" w:cs="AppleSystemUIFont"/>
          <w:sz w:val="26"/>
          <w:szCs w:val="26"/>
        </w:rPr>
        <w:t>accessed on 22a</w:t>
      </w:r>
      <w:r w:rsidR="00326CF6">
        <w:rPr>
          <w:rFonts w:ascii="AppleSystemUIFont" w:hAnsi="AppleSystemUIFont" w:cs="AppleSystemUIFont"/>
          <w:sz w:val="26"/>
          <w:szCs w:val="26"/>
        </w:rPr>
        <w:t>pr.2026]</w:t>
      </w:r>
    </w:p>
    <w:p w14:paraId="750EFEA3" w14:textId="77777777" w:rsidR="007D43E8" w:rsidRDefault="007D43E8" w:rsidP="007D43E8">
      <w:pPr>
        <w:tabs>
          <w:tab w:val="left" w:pos="6540"/>
        </w:tabs>
        <w:spacing w:line="360" w:lineRule="auto"/>
        <w:rPr>
          <w:rFonts w:asciiTheme="minorBidi" w:hAnsiTheme="minorBidi"/>
          <w:sz w:val="22"/>
        </w:rPr>
      </w:pPr>
    </w:p>
    <w:p w14:paraId="7DEB5A00" w14:textId="77777777" w:rsidR="00233682" w:rsidRDefault="00233682" w:rsidP="007D43E8">
      <w:pPr>
        <w:tabs>
          <w:tab w:val="left" w:pos="6540"/>
        </w:tabs>
        <w:spacing w:line="360" w:lineRule="auto"/>
        <w:rPr>
          <w:rFonts w:asciiTheme="minorBidi" w:hAnsiTheme="minorBidi"/>
          <w:sz w:val="22"/>
        </w:rPr>
      </w:pPr>
    </w:p>
    <w:p w14:paraId="1CFF7D57" w14:textId="2E55A75D" w:rsidR="005050E4" w:rsidRDefault="00576586" w:rsidP="007D43E8">
      <w:pPr>
        <w:tabs>
          <w:tab w:val="left" w:pos="6540"/>
        </w:tabs>
        <w:spacing w:line="360" w:lineRule="auto"/>
        <w:rPr>
          <w:color w:val="000000"/>
          <w:shd w:val="clear" w:color="auto" w:fill="FFFFFF"/>
        </w:rPr>
      </w:pPr>
      <w:r>
        <w:rPr>
          <w:color w:val="000000"/>
          <w:shd w:val="clear" w:color="auto" w:fill="FFFFFF"/>
        </w:rPr>
        <w:t>Arksey, H. and O’Malley, L. (2005a). Scoping studies: Towards a Methodological Framework.</w:t>
      </w:r>
      <w:r>
        <w:rPr>
          <w:rStyle w:val="apple-converted-space"/>
          <w:rFonts w:eastAsiaTheme="majorEastAsia"/>
          <w:color w:val="000000"/>
          <w:shd w:val="clear" w:color="auto" w:fill="FFFFFF"/>
        </w:rPr>
        <w:t> </w:t>
      </w:r>
      <w:r>
        <w:rPr>
          <w:i/>
          <w:iCs/>
          <w:color w:val="000000"/>
          <w:bdr w:val="single" w:sz="2" w:space="0" w:color="E5E7EB" w:frame="1"/>
        </w:rPr>
        <w:t>International Journal of Social Research Methodology</w:t>
      </w:r>
      <w:r>
        <w:rPr>
          <w:color w:val="000000"/>
          <w:shd w:val="clear" w:color="auto" w:fill="FFFFFF"/>
        </w:rPr>
        <w:t xml:space="preserve">, [online] 8(1), pp.19–32. </w:t>
      </w:r>
      <w:r w:rsidR="00777B0C">
        <w:rPr>
          <w:color w:val="000000"/>
          <w:shd w:val="clear" w:color="auto" w:fill="FFFFFF"/>
        </w:rPr>
        <w:t xml:space="preserve">doi: </w:t>
      </w:r>
      <w:hyperlink r:id="rId21" w:history="1">
        <w:r w:rsidR="005050E4" w:rsidRPr="00AD1BE8">
          <w:rPr>
            <w:rStyle w:val="Hyperlink"/>
            <w:shd w:val="clear" w:color="auto" w:fill="FFFFFF"/>
          </w:rPr>
          <w:t>https://doi.org/</w:t>
        </w:r>
      </w:hyperlink>
    </w:p>
    <w:p w14:paraId="1F34E73B" w14:textId="0DEB754B" w:rsidR="00233682" w:rsidRDefault="00777B0C" w:rsidP="007D43E8">
      <w:pPr>
        <w:tabs>
          <w:tab w:val="left" w:pos="6540"/>
        </w:tabs>
        <w:spacing w:line="360" w:lineRule="auto"/>
        <w:rPr>
          <w:color w:val="000000"/>
          <w:shd w:val="clear" w:color="auto" w:fill="FFFFFF"/>
        </w:rPr>
      </w:pPr>
      <w:r>
        <w:rPr>
          <w:color w:val="000000"/>
          <w:shd w:val="clear" w:color="auto" w:fill="FFFFFF"/>
        </w:rPr>
        <w:t>10.1080/1364557032000119616</w:t>
      </w:r>
    </w:p>
    <w:p w14:paraId="2D5D1DE9" w14:textId="77777777" w:rsidR="00576586" w:rsidRDefault="00576586" w:rsidP="007D43E8">
      <w:pPr>
        <w:tabs>
          <w:tab w:val="left" w:pos="6540"/>
        </w:tabs>
        <w:spacing w:line="360" w:lineRule="auto"/>
        <w:rPr>
          <w:color w:val="000000"/>
          <w:shd w:val="clear" w:color="auto" w:fill="FFFFFF"/>
        </w:rPr>
      </w:pPr>
    </w:p>
    <w:p w14:paraId="0CBA4B97" w14:textId="0DFDBDAA" w:rsidR="00576586" w:rsidRDefault="000A7DCA" w:rsidP="007D43E8">
      <w:pPr>
        <w:tabs>
          <w:tab w:val="left" w:pos="6540"/>
        </w:tabs>
        <w:spacing w:line="360" w:lineRule="auto"/>
        <w:rPr>
          <w:color w:val="000000"/>
          <w:shd w:val="clear" w:color="auto" w:fill="FFFFFF"/>
        </w:rPr>
      </w:pPr>
      <w:r>
        <w:rPr>
          <w:color w:val="000000"/>
          <w:shd w:val="clear" w:color="auto" w:fill="FFFFFF"/>
        </w:rPr>
        <w:t>NHS England (2023a).</w:t>
      </w:r>
      <w:r>
        <w:rPr>
          <w:rStyle w:val="apple-converted-space"/>
          <w:rFonts w:eastAsiaTheme="majorEastAsia"/>
          <w:color w:val="000000"/>
          <w:shd w:val="clear" w:color="auto" w:fill="FFFFFF"/>
        </w:rPr>
        <w:t> </w:t>
      </w:r>
      <w:r>
        <w:rPr>
          <w:i/>
          <w:iCs/>
          <w:color w:val="000000"/>
          <w:bdr w:val="single" w:sz="2" w:space="0" w:color="E5E7EB" w:frame="1"/>
        </w:rPr>
        <w:t>Working in Partnership with People and communities: Statutory Guidance</w:t>
      </w:r>
      <w:r>
        <w:rPr>
          <w:color w:val="000000"/>
          <w:shd w:val="clear" w:color="auto" w:fill="FFFFFF"/>
        </w:rPr>
        <w:t xml:space="preserve">. [online] NHS England. Available at: </w:t>
      </w:r>
      <w:hyperlink r:id="rId22" w:history="1">
        <w:r w:rsidRPr="00AD1BE8">
          <w:rPr>
            <w:rStyle w:val="Hyperlink"/>
            <w:shd w:val="clear" w:color="auto" w:fill="FFFFFF"/>
          </w:rPr>
          <w:t>https://www.england.nhs.uk/long-read/working-in-partnership-with-people-and-communities-statutory-guidance</w:t>
        </w:r>
      </w:hyperlink>
    </w:p>
    <w:p w14:paraId="060B222C" w14:textId="3CED4EEF" w:rsidR="008516C1" w:rsidRDefault="008516C1" w:rsidP="008516C1">
      <w:pPr>
        <w:pBdr>
          <w:top w:val="single" w:sz="2" w:space="0" w:color="E5E7EB"/>
          <w:left w:val="single" w:sz="2" w:space="0" w:color="E5E7EB"/>
          <w:bottom w:val="single" w:sz="2" w:space="0" w:color="E5E7EB"/>
          <w:right w:val="single" w:sz="2" w:space="0" w:color="E5E7EB"/>
        </w:pBdr>
        <w:spacing w:after="240" w:line="360" w:lineRule="atLeast"/>
        <w:rPr>
          <w:color w:val="000000"/>
        </w:rPr>
      </w:pPr>
      <w:r w:rsidRPr="008516C1">
        <w:rPr>
          <w:color w:val="000000"/>
        </w:rPr>
        <w:t>Safework.place. (2025a). </w:t>
      </w:r>
      <w:r w:rsidRPr="008516C1">
        <w:rPr>
          <w:i/>
          <w:iCs/>
          <w:color w:val="000000"/>
          <w:bdr w:val="single" w:sz="2" w:space="0" w:color="E5E7EB" w:frame="1"/>
        </w:rPr>
        <w:t>What We Learned from the 2025 CQC State of Care Report</w:t>
      </w:r>
      <w:r w:rsidRPr="008516C1">
        <w:rPr>
          <w:color w:val="000000"/>
        </w:rPr>
        <w:t xml:space="preserve">. [online] Available at: </w:t>
      </w:r>
      <w:hyperlink r:id="rId23" w:history="1">
        <w:r w:rsidRPr="008516C1">
          <w:rPr>
            <w:rStyle w:val="Hyperlink"/>
          </w:rPr>
          <w:t>https://safework.place/blog/2025-cqc-state-of-care-report</w:t>
        </w:r>
      </w:hyperlink>
    </w:p>
    <w:p w14:paraId="14375DC8" w14:textId="22327DA7" w:rsidR="008516C1" w:rsidRDefault="008516C1" w:rsidP="008516C1">
      <w:pPr>
        <w:pBdr>
          <w:top w:val="single" w:sz="2" w:space="0" w:color="E5E7EB"/>
          <w:left w:val="single" w:sz="2" w:space="0" w:color="E5E7EB"/>
          <w:bottom w:val="single" w:sz="2" w:space="0" w:color="E5E7EB"/>
          <w:right w:val="single" w:sz="2" w:space="0" w:color="E5E7EB"/>
        </w:pBdr>
        <w:spacing w:after="240" w:line="360" w:lineRule="atLeast"/>
        <w:rPr>
          <w:color w:val="000000"/>
        </w:rPr>
      </w:pPr>
      <w:r w:rsidRPr="008516C1">
        <w:rPr>
          <w:color w:val="000000"/>
        </w:rPr>
        <w:t xml:space="preserve"> [Accessed 14 Apr. 2026].</w:t>
      </w:r>
    </w:p>
    <w:p w14:paraId="4E7B699B" w14:textId="77777777" w:rsidR="008516C1" w:rsidRPr="008516C1" w:rsidRDefault="008516C1" w:rsidP="008516C1">
      <w:pPr>
        <w:pBdr>
          <w:top w:val="single" w:sz="2" w:space="0" w:color="E5E7EB"/>
          <w:left w:val="single" w:sz="2" w:space="0" w:color="E5E7EB"/>
          <w:bottom w:val="single" w:sz="2" w:space="0" w:color="E5E7EB"/>
          <w:right w:val="single" w:sz="2" w:space="0" w:color="E5E7EB"/>
        </w:pBdr>
        <w:spacing w:after="240" w:line="360" w:lineRule="atLeast"/>
        <w:rPr>
          <w:color w:val="000000"/>
        </w:rPr>
      </w:pPr>
    </w:p>
    <w:p w14:paraId="2B157881" w14:textId="77777777" w:rsidR="008516C1" w:rsidRPr="008516C1" w:rsidRDefault="008516C1" w:rsidP="008516C1"/>
    <w:p w14:paraId="05741C8E" w14:textId="77777777" w:rsidR="00CA243C" w:rsidRPr="00CA243C" w:rsidRDefault="00CA243C" w:rsidP="00CA243C">
      <w:pPr>
        <w:numPr>
          <w:ilvl w:val="0"/>
          <w:numId w:val="17"/>
        </w:numPr>
        <w:spacing w:before="100" w:beforeAutospacing="1" w:after="100" w:afterAutospacing="1"/>
        <w:rPr>
          <w:color w:val="000000"/>
        </w:rPr>
      </w:pPr>
      <w:r w:rsidRPr="00CA243C">
        <w:rPr>
          <w:color w:val="000000"/>
        </w:rPr>
        <w:t>NHS England (2023) </w:t>
      </w:r>
      <w:r w:rsidRPr="00CA243C">
        <w:rPr>
          <w:i/>
          <w:iCs/>
          <w:color w:val="000000"/>
        </w:rPr>
        <w:t>Inclusive digital healthcare: A framework for NHS action on digital inclusion</w:t>
      </w:r>
      <w:r w:rsidRPr="00CA243C">
        <w:rPr>
          <w:color w:val="000000"/>
        </w:rPr>
        <w:t>. Available at: </w:t>
      </w:r>
      <w:hyperlink r:id="rId24" w:tgtFrame="_new" w:history="1">
        <w:r w:rsidRPr="00CA243C">
          <w:rPr>
            <w:color w:val="0000FF"/>
            <w:u w:val="single"/>
          </w:rPr>
          <w:t>https://www.england.nhs.uk</w:t>
        </w:r>
      </w:hyperlink>
    </w:p>
    <w:p w14:paraId="5278390B" w14:textId="4F1FBB48" w:rsidR="00CA243C" w:rsidRDefault="00CA243C" w:rsidP="00CA243C">
      <w:pPr>
        <w:numPr>
          <w:ilvl w:val="0"/>
          <w:numId w:val="17"/>
        </w:numPr>
        <w:spacing w:before="100" w:beforeAutospacing="1" w:after="100" w:afterAutospacing="1"/>
        <w:rPr>
          <w:color w:val="000000"/>
        </w:rPr>
      </w:pPr>
      <w:r w:rsidRPr="00CA243C">
        <w:rPr>
          <w:color w:val="000000"/>
        </w:rPr>
        <w:t>Rafiei, M. et al. (2025) ‘The role of digital technology in social prescribing’, </w:t>
      </w:r>
      <w:r w:rsidRPr="00CA243C">
        <w:rPr>
          <w:i/>
          <w:iCs/>
          <w:color w:val="000000"/>
        </w:rPr>
        <w:t>BMC Public Health</w:t>
      </w:r>
      <w:r w:rsidRPr="00CA243C">
        <w:rPr>
          <w:color w:val="000000"/>
        </w:rPr>
        <w:t>.</w:t>
      </w:r>
      <w:r w:rsidR="002F4AF2">
        <w:rPr>
          <w:color w:val="000000"/>
        </w:rPr>
        <w:t xml:space="preserve"> [</w:t>
      </w:r>
      <w:r w:rsidR="00621DF2">
        <w:rPr>
          <w:color w:val="000000"/>
        </w:rPr>
        <w:t>accessed</w:t>
      </w:r>
      <w:r w:rsidR="002F4AF2">
        <w:rPr>
          <w:color w:val="000000"/>
        </w:rPr>
        <w:t xml:space="preserve"> on 22 apr</w:t>
      </w:r>
      <w:r w:rsidR="00621DF2">
        <w:rPr>
          <w:color w:val="000000"/>
        </w:rPr>
        <w:t xml:space="preserve"> 2026]</w:t>
      </w:r>
    </w:p>
    <w:p w14:paraId="7714CF76" w14:textId="77777777" w:rsidR="00CA243C" w:rsidRPr="00CA243C" w:rsidRDefault="00CA243C" w:rsidP="00CA243C">
      <w:pPr>
        <w:numPr>
          <w:ilvl w:val="0"/>
          <w:numId w:val="17"/>
        </w:numPr>
        <w:spacing w:before="100" w:beforeAutospacing="1" w:after="100" w:afterAutospacing="1"/>
        <w:rPr>
          <w:color w:val="000000"/>
        </w:rPr>
      </w:pPr>
    </w:p>
    <w:p w14:paraId="69314372" w14:textId="77777777" w:rsidR="00CA243C" w:rsidRPr="00CA243C" w:rsidRDefault="00CA243C" w:rsidP="00CA243C">
      <w:pPr>
        <w:numPr>
          <w:ilvl w:val="0"/>
          <w:numId w:val="17"/>
        </w:numPr>
        <w:spacing w:before="100" w:beforeAutospacing="1" w:after="100" w:afterAutospacing="1"/>
        <w:rPr>
          <w:color w:val="000000"/>
        </w:rPr>
      </w:pPr>
      <w:r w:rsidRPr="00CA243C">
        <w:rPr>
          <w:color w:val="000000"/>
        </w:rPr>
        <w:t>The King’s Fund (2024) </w:t>
      </w:r>
      <w:r w:rsidRPr="00CA243C">
        <w:rPr>
          <w:i/>
          <w:iCs/>
          <w:color w:val="000000"/>
        </w:rPr>
        <w:t>Social prescribing</w:t>
      </w:r>
      <w:r w:rsidRPr="00CA243C">
        <w:rPr>
          <w:color w:val="000000"/>
        </w:rPr>
        <w:t>. Available at: </w:t>
      </w:r>
      <w:hyperlink r:id="rId25" w:tgtFrame="_new" w:history="1">
        <w:r w:rsidRPr="00CA243C">
          <w:rPr>
            <w:color w:val="0000FF"/>
            <w:u w:val="single"/>
          </w:rPr>
          <w:t>https://www.kingsfund.org.uk</w:t>
        </w:r>
      </w:hyperlink>
    </w:p>
    <w:p w14:paraId="21F54E33" w14:textId="77777777" w:rsidR="00CA243C" w:rsidRPr="00CA243C" w:rsidRDefault="00CA243C" w:rsidP="00CA243C">
      <w:pPr>
        <w:numPr>
          <w:ilvl w:val="0"/>
          <w:numId w:val="17"/>
        </w:numPr>
        <w:spacing w:before="100" w:beforeAutospacing="1" w:after="100" w:afterAutospacing="1"/>
        <w:rPr>
          <w:color w:val="000000"/>
        </w:rPr>
      </w:pPr>
      <w:r w:rsidRPr="00CA243C">
        <w:rPr>
          <w:color w:val="000000"/>
        </w:rPr>
        <w:t>Woodall, J. et al. (2018) ‘A systematic review of the effectiveness of social prescribing’, </w:t>
      </w:r>
      <w:r w:rsidRPr="00CA243C">
        <w:rPr>
          <w:i/>
          <w:iCs/>
          <w:color w:val="000000"/>
        </w:rPr>
        <w:t>BMC Health Services Research</w:t>
      </w:r>
      <w:r w:rsidRPr="00CA243C">
        <w:rPr>
          <w:color w:val="000000"/>
        </w:rPr>
        <w:t>, 18, pp. 1–15.</w:t>
      </w:r>
    </w:p>
    <w:p w14:paraId="1B586EE8" w14:textId="77777777" w:rsidR="00C615F4" w:rsidRDefault="00C615F4" w:rsidP="00C615F4">
      <w:pPr>
        <w:pStyle w:val="NormalWeb"/>
        <w:numPr>
          <w:ilvl w:val="0"/>
          <w:numId w:val="17"/>
        </w:numPr>
        <w:rPr>
          <w:color w:val="000000"/>
        </w:rPr>
      </w:pPr>
      <w:r>
        <w:rPr>
          <w:color w:val="000000"/>
        </w:rPr>
        <w:t>Bickerdike, L., Booth, A., Wilson, P.M., Farley, K. and Wright, K. (2017) ‘Social prescribing: less rhetoric and more reality. A systematic review of the evidence’,</w:t>
      </w:r>
      <w:r>
        <w:rPr>
          <w:rStyle w:val="apple-converted-space"/>
          <w:color w:val="000000"/>
        </w:rPr>
        <w:t> </w:t>
      </w:r>
      <w:r>
        <w:rPr>
          <w:rStyle w:val="Emphasis"/>
          <w:color w:val="000000"/>
        </w:rPr>
        <w:t>BMJ Open</w:t>
      </w:r>
      <w:r>
        <w:rPr>
          <w:color w:val="000000"/>
        </w:rPr>
        <w:t>, 7(4), e013384.</w:t>
      </w:r>
    </w:p>
    <w:p w14:paraId="2AA37A0C" w14:textId="77777777" w:rsidR="00C615F4" w:rsidRDefault="00C615F4" w:rsidP="00C615F4">
      <w:pPr>
        <w:pStyle w:val="NormalWeb"/>
        <w:numPr>
          <w:ilvl w:val="0"/>
          <w:numId w:val="17"/>
        </w:numPr>
        <w:rPr>
          <w:color w:val="000000"/>
        </w:rPr>
      </w:pPr>
      <w:r>
        <w:rPr>
          <w:color w:val="000000"/>
        </w:rPr>
        <w:t>Carnes, D., Sohanpal, R., Frostick, C., Hull, S., Mathur, R., Netuveli, G., Tong, J., Hutt, P. and Bertotti, M. (2017) ‘The impact of a social prescribing service on patients in primary care: a mixed methods evaluation’,</w:t>
      </w:r>
      <w:r>
        <w:rPr>
          <w:rStyle w:val="apple-converted-space"/>
          <w:color w:val="000000"/>
        </w:rPr>
        <w:t> </w:t>
      </w:r>
      <w:r>
        <w:rPr>
          <w:rStyle w:val="Emphasis"/>
          <w:color w:val="000000"/>
        </w:rPr>
        <w:t>BMC Health Services Research</w:t>
      </w:r>
      <w:r>
        <w:rPr>
          <w:color w:val="000000"/>
        </w:rPr>
        <w:t>, 17, p. 835.</w:t>
      </w:r>
    </w:p>
    <w:p w14:paraId="5C8DE7F0" w14:textId="77777777" w:rsidR="00C615F4" w:rsidRDefault="00C615F4" w:rsidP="00C615F4">
      <w:pPr>
        <w:pStyle w:val="NormalWeb"/>
        <w:numPr>
          <w:ilvl w:val="0"/>
          <w:numId w:val="17"/>
        </w:numPr>
        <w:rPr>
          <w:color w:val="000000"/>
        </w:rPr>
      </w:pPr>
      <w:r>
        <w:rPr>
          <w:color w:val="000000"/>
        </w:rPr>
        <w:t>Drinkwater, C., Wildman, J. and Moffatt, S. (2019) ‘Social prescribing’,</w:t>
      </w:r>
      <w:r>
        <w:rPr>
          <w:rStyle w:val="apple-converted-space"/>
          <w:color w:val="000000"/>
        </w:rPr>
        <w:t> </w:t>
      </w:r>
      <w:r>
        <w:rPr>
          <w:rStyle w:val="Emphasis"/>
          <w:color w:val="000000"/>
        </w:rPr>
        <w:t>BMJ</w:t>
      </w:r>
      <w:r>
        <w:rPr>
          <w:color w:val="000000"/>
        </w:rPr>
        <w:t>, 364, l1285.</w:t>
      </w:r>
    </w:p>
    <w:p w14:paraId="4B07CA43" w14:textId="77777777" w:rsidR="00C615F4" w:rsidRDefault="00C615F4" w:rsidP="00C615F4">
      <w:pPr>
        <w:pStyle w:val="NormalWeb"/>
        <w:numPr>
          <w:ilvl w:val="0"/>
          <w:numId w:val="17"/>
        </w:numPr>
        <w:rPr>
          <w:color w:val="000000"/>
        </w:rPr>
      </w:pPr>
      <w:r>
        <w:rPr>
          <w:color w:val="000000"/>
        </w:rPr>
        <w:t>Elliott, M., Davies, M., Davies, J. and Wallace, C. (2022) ‘Exploring how and why social prescribing evaluations work: a realist review’,</w:t>
      </w:r>
      <w:r>
        <w:rPr>
          <w:rStyle w:val="apple-converted-space"/>
          <w:color w:val="000000"/>
        </w:rPr>
        <w:t> </w:t>
      </w:r>
      <w:r>
        <w:rPr>
          <w:rStyle w:val="Emphasis"/>
          <w:color w:val="000000"/>
        </w:rPr>
        <w:t>BMJ Open</w:t>
      </w:r>
      <w:r>
        <w:rPr>
          <w:color w:val="000000"/>
        </w:rPr>
        <w:t>, 12(4), e057009.</w:t>
      </w:r>
    </w:p>
    <w:p w14:paraId="04E751A6" w14:textId="77777777" w:rsidR="00C615F4" w:rsidRDefault="00C615F4" w:rsidP="00C615F4">
      <w:pPr>
        <w:pStyle w:val="NormalWeb"/>
        <w:numPr>
          <w:ilvl w:val="0"/>
          <w:numId w:val="17"/>
        </w:numPr>
        <w:rPr>
          <w:color w:val="000000"/>
        </w:rPr>
      </w:pPr>
      <w:r>
        <w:rPr>
          <w:color w:val="000000"/>
        </w:rPr>
        <w:t>Handayani, N.H., Wanat, M. and Tierney, S. (2025) ‘Experiences of social prescribing in the UK: a qualitative systematic review’,</w:t>
      </w:r>
      <w:r>
        <w:rPr>
          <w:rStyle w:val="apple-converted-space"/>
          <w:color w:val="000000"/>
        </w:rPr>
        <w:t> </w:t>
      </w:r>
      <w:r>
        <w:rPr>
          <w:rStyle w:val="Emphasis"/>
          <w:color w:val="000000"/>
        </w:rPr>
        <w:t>British Journal of General Practice</w:t>
      </w:r>
      <w:r>
        <w:rPr>
          <w:color w:val="000000"/>
        </w:rPr>
        <w:t>, 75(752), pp. e203–e210.</w:t>
      </w:r>
    </w:p>
    <w:p w14:paraId="3CE05D73" w14:textId="77777777" w:rsidR="00A24E04" w:rsidRDefault="00A24E04" w:rsidP="00C615F4">
      <w:pPr>
        <w:pStyle w:val="NormalWeb"/>
        <w:numPr>
          <w:ilvl w:val="0"/>
          <w:numId w:val="17"/>
        </w:numPr>
        <w:rPr>
          <w:color w:val="000000"/>
        </w:rPr>
      </w:pPr>
    </w:p>
    <w:p w14:paraId="3933F099" w14:textId="77777777" w:rsidR="00C615F4" w:rsidRDefault="00C615F4" w:rsidP="00C615F4">
      <w:pPr>
        <w:pStyle w:val="NormalWeb"/>
        <w:numPr>
          <w:ilvl w:val="0"/>
          <w:numId w:val="17"/>
        </w:numPr>
        <w:rPr>
          <w:color w:val="000000"/>
        </w:rPr>
      </w:pPr>
      <w:r>
        <w:rPr>
          <w:color w:val="000000"/>
        </w:rPr>
        <w:t>NHS England (2021)</w:t>
      </w:r>
      <w:r>
        <w:rPr>
          <w:rStyle w:val="apple-converted-space"/>
          <w:color w:val="000000"/>
        </w:rPr>
        <w:t> </w:t>
      </w:r>
      <w:r>
        <w:rPr>
          <w:rStyle w:val="Emphasis"/>
          <w:color w:val="000000"/>
        </w:rPr>
        <w:t>Social prescribing</w:t>
      </w:r>
      <w:r>
        <w:rPr>
          <w:color w:val="000000"/>
        </w:rPr>
        <w:t>. Available at:</w:t>
      </w:r>
      <w:r>
        <w:rPr>
          <w:rStyle w:val="apple-converted-space"/>
          <w:color w:val="000000"/>
        </w:rPr>
        <w:t> </w:t>
      </w:r>
      <w:hyperlink r:id="rId26" w:tgtFrame="_new" w:history="1">
        <w:r>
          <w:rPr>
            <w:rStyle w:val="Hyperlink"/>
          </w:rPr>
          <w:t>https://www.england.nhs.uk/personalisedcare/social-prescribing/</w:t>
        </w:r>
      </w:hyperlink>
      <w:r>
        <w:rPr>
          <w:color w:val="000000"/>
        </w:rPr>
        <w:t>(Accessed: 16 April 2026).</w:t>
      </w:r>
    </w:p>
    <w:p w14:paraId="18A1E644" w14:textId="77777777" w:rsidR="00C615F4" w:rsidRDefault="00C615F4" w:rsidP="00C615F4">
      <w:pPr>
        <w:pStyle w:val="NormalWeb"/>
        <w:numPr>
          <w:ilvl w:val="0"/>
          <w:numId w:val="17"/>
        </w:numPr>
        <w:rPr>
          <w:color w:val="000000"/>
        </w:rPr>
      </w:pPr>
      <w:r>
        <w:rPr>
          <w:color w:val="000000"/>
        </w:rPr>
        <w:lastRenderedPageBreak/>
        <w:t>NHS England (2023)</w:t>
      </w:r>
      <w:r>
        <w:rPr>
          <w:rStyle w:val="apple-converted-space"/>
          <w:color w:val="000000"/>
        </w:rPr>
        <w:t> </w:t>
      </w:r>
      <w:r>
        <w:rPr>
          <w:rStyle w:val="Emphasis"/>
          <w:color w:val="000000"/>
        </w:rPr>
        <w:t>Inclusive digital healthcare: A framework for NHS action on digital inclusion</w:t>
      </w:r>
      <w:r>
        <w:rPr>
          <w:color w:val="000000"/>
        </w:rPr>
        <w:t>. Available at:</w:t>
      </w:r>
      <w:r>
        <w:rPr>
          <w:rStyle w:val="apple-converted-space"/>
          <w:color w:val="000000"/>
        </w:rPr>
        <w:t> </w:t>
      </w:r>
      <w:hyperlink r:id="rId27" w:tgtFrame="_new" w:history="1">
        <w:r>
          <w:rPr>
            <w:rStyle w:val="Hyperlink"/>
          </w:rPr>
          <w:t>https://www.england.nhs.uk</w:t>
        </w:r>
      </w:hyperlink>
      <w:r>
        <w:rPr>
          <w:rStyle w:val="apple-converted-space"/>
          <w:color w:val="000000"/>
        </w:rPr>
        <w:t> </w:t>
      </w:r>
      <w:r>
        <w:rPr>
          <w:color w:val="000000"/>
        </w:rPr>
        <w:t>(Accessed: 16 April 2026).</w:t>
      </w:r>
    </w:p>
    <w:p w14:paraId="160B7986" w14:textId="77777777" w:rsidR="00C615F4" w:rsidRDefault="00C615F4" w:rsidP="00C615F4">
      <w:pPr>
        <w:pStyle w:val="NormalWeb"/>
        <w:numPr>
          <w:ilvl w:val="0"/>
          <w:numId w:val="17"/>
        </w:numPr>
        <w:rPr>
          <w:color w:val="000000"/>
        </w:rPr>
      </w:pPr>
      <w:r>
        <w:rPr>
          <w:color w:val="000000"/>
        </w:rPr>
        <w:t>Rafiei, S., Honary, M. and Mezes, B. (2025) ‘The potentials of digital technology in social prescribing: a qualitative study of key stakeholders’ perspectives’,</w:t>
      </w:r>
      <w:r>
        <w:rPr>
          <w:rStyle w:val="apple-converted-space"/>
          <w:color w:val="000000"/>
        </w:rPr>
        <w:t> </w:t>
      </w:r>
      <w:r>
        <w:rPr>
          <w:rStyle w:val="Emphasis"/>
          <w:color w:val="000000"/>
        </w:rPr>
        <w:t>BMC Public Health</w:t>
      </w:r>
      <w:r>
        <w:rPr>
          <w:color w:val="000000"/>
        </w:rPr>
        <w:t>, 25, p. 2012.</w:t>
      </w:r>
    </w:p>
    <w:p w14:paraId="3FE5665D" w14:textId="77777777" w:rsidR="00A24E04" w:rsidRDefault="00A24E04" w:rsidP="00C615F4">
      <w:pPr>
        <w:pStyle w:val="NormalWeb"/>
        <w:numPr>
          <w:ilvl w:val="0"/>
          <w:numId w:val="17"/>
        </w:numPr>
        <w:rPr>
          <w:color w:val="000000"/>
        </w:rPr>
      </w:pPr>
    </w:p>
    <w:p w14:paraId="5141D3B5" w14:textId="77777777" w:rsidR="00C615F4" w:rsidRDefault="00C615F4" w:rsidP="00C615F4">
      <w:pPr>
        <w:pStyle w:val="NormalWeb"/>
        <w:numPr>
          <w:ilvl w:val="0"/>
          <w:numId w:val="17"/>
        </w:numPr>
        <w:rPr>
          <w:color w:val="000000"/>
        </w:rPr>
      </w:pPr>
      <w:r>
        <w:rPr>
          <w:color w:val="000000"/>
        </w:rPr>
        <w:t>The King’s Fund (2024)</w:t>
      </w:r>
      <w:r>
        <w:rPr>
          <w:rStyle w:val="apple-converted-space"/>
          <w:color w:val="000000"/>
        </w:rPr>
        <w:t> </w:t>
      </w:r>
      <w:r>
        <w:rPr>
          <w:rStyle w:val="Emphasis"/>
          <w:color w:val="000000"/>
        </w:rPr>
        <w:t>Social prescribing</w:t>
      </w:r>
      <w:r>
        <w:rPr>
          <w:color w:val="000000"/>
        </w:rPr>
        <w:t>. Available at:</w:t>
      </w:r>
      <w:r>
        <w:rPr>
          <w:rStyle w:val="apple-converted-space"/>
          <w:color w:val="000000"/>
        </w:rPr>
        <w:t> </w:t>
      </w:r>
      <w:hyperlink r:id="rId28" w:tgtFrame="_new" w:history="1">
        <w:r>
          <w:rPr>
            <w:rStyle w:val="Hyperlink"/>
          </w:rPr>
          <w:t>https://www.kingsfund.org.uk</w:t>
        </w:r>
      </w:hyperlink>
      <w:r>
        <w:rPr>
          <w:rStyle w:val="apple-converted-space"/>
          <w:color w:val="000000"/>
        </w:rPr>
        <w:t> </w:t>
      </w:r>
      <w:r>
        <w:rPr>
          <w:color w:val="000000"/>
        </w:rPr>
        <w:t>(Accessed: 16 April 2026).</w:t>
      </w:r>
    </w:p>
    <w:p w14:paraId="0F7CE2A9" w14:textId="77777777" w:rsidR="00A24E04" w:rsidRDefault="00A24E04" w:rsidP="00C615F4">
      <w:pPr>
        <w:pStyle w:val="NormalWeb"/>
        <w:numPr>
          <w:ilvl w:val="0"/>
          <w:numId w:val="17"/>
        </w:numPr>
        <w:rPr>
          <w:color w:val="000000"/>
        </w:rPr>
      </w:pPr>
    </w:p>
    <w:p w14:paraId="6563B246" w14:textId="77777777" w:rsidR="00C615F4" w:rsidRDefault="00C615F4" w:rsidP="00C615F4">
      <w:pPr>
        <w:pStyle w:val="NormalWeb"/>
        <w:numPr>
          <w:ilvl w:val="0"/>
          <w:numId w:val="17"/>
        </w:numPr>
        <w:rPr>
          <w:color w:val="000000"/>
        </w:rPr>
      </w:pPr>
      <w:r>
        <w:rPr>
          <w:color w:val="000000"/>
        </w:rPr>
        <w:t>Woodall, J., Trigwell, J., Bunyan, A.M., Raine, G., Eaton, V., Davis, J., Hancock, L., Cunningham, M. and Wilkinson, S. (2018) ‘Understanding the effectiveness and mechanisms of a social prescribing service: a mixed method analysis’,</w:t>
      </w:r>
      <w:r>
        <w:rPr>
          <w:rStyle w:val="apple-converted-space"/>
          <w:color w:val="000000"/>
        </w:rPr>
        <w:t> </w:t>
      </w:r>
      <w:r>
        <w:rPr>
          <w:rStyle w:val="Emphasis"/>
          <w:color w:val="000000"/>
        </w:rPr>
        <w:t>BMC Health Services Research</w:t>
      </w:r>
      <w:r>
        <w:rPr>
          <w:color w:val="000000"/>
        </w:rPr>
        <w:t>, 18, p. 604.</w:t>
      </w:r>
    </w:p>
    <w:p w14:paraId="3CBB1A5F" w14:textId="77777777" w:rsidR="00C615F4" w:rsidRDefault="00221213" w:rsidP="00C615F4">
      <w:pPr>
        <w:pStyle w:val="ListParagraph"/>
        <w:numPr>
          <w:ilvl w:val="0"/>
          <w:numId w:val="17"/>
        </w:numPr>
      </w:pPr>
      <w:r>
        <w:pict w14:anchorId="2E24ADEF">
          <v:rect id="Horizontal Line 1" o:spid="_x0000_s2050" alt="" style="width:415.3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7366ADA" w14:textId="77777777" w:rsidR="000A7DCA" w:rsidRPr="00CD33A8" w:rsidRDefault="000A7DCA" w:rsidP="007D43E8">
      <w:pPr>
        <w:tabs>
          <w:tab w:val="left" w:pos="6540"/>
        </w:tabs>
        <w:spacing w:line="360" w:lineRule="auto"/>
        <w:rPr>
          <w:rFonts w:asciiTheme="minorBidi" w:hAnsiTheme="minorBidi"/>
          <w:sz w:val="22"/>
        </w:rPr>
      </w:pPr>
    </w:p>
    <w:sectPr w:rsidR="000A7DCA" w:rsidRPr="00CD33A8" w:rsidSect="00E620E7">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53958" w14:textId="77777777" w:rsidR="00221213" w:rsidRDefault="00221213" w:rsidP="003E4ECF">
      <w:r>
        <w:separator/>
      </w:r>
    </w:p>
  </w:endnote>
  <w:endnote w:type="continuationSeparator" w:id="0">
    <w:p w14:paraId="19639FB1" w14:textId="77777777" w:rsidR="00221213" w:rsidRDefault="00221213" w:rsidP="003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2A2EA" w14:textId="77777777" w:rsidR="00221213" w:rsidRDefault="00221213" w:rsidP="003E4ECF">
      <w:r>
        <w:separator/>
      </w:r>
    </w:p>
  </w:footnote>
  <w:footnote w:type="continuationSeparator" w:id="0">
    <w:p w14:paraId="025F3FD2" w14:textId="77777777" w:rsidR="00221213" w:rsidRDefault="00221213" w:rsidP="003E4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C8F"/>
    <w:multiLevelType w:val="multilevel"/>
    <w:tmpl w:val="995A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71D94"/>
    <w:multiLevelType w:val="hybridMultilevel"/>
    <w:tmpl w:val="245AD6FE"/>
    <w:lvl w:ilvl="0" w:tplc="08090011">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 w15:restartNumberingAfterBreak="0">
    <w:nsid w:val="10EB4D46"/>
    <w:multiLevelType w:val="hybridMultilevel"/>
    <w:tmpl w:val="47D4E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D7156F"/>
    <w:multiLevelType w:val="hybridMultilevel"/>
    <w:tmpl w:val="1B0E686E"/>
    <w:lvl w:ilvl="0" w:tplc="A6185CE4">
      <w:start w:val="3"/>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 w15:restartNumberingAfterBreak="0">
    <w:nsid w:val="22C4001C"/>
    <w:multiLevelType w:val="multilevel"/>
    <w:tmpl w:val="B35A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EE40B3"/>
    <w:multiLevelType w:val="multilevel"/>
    <w:tmpl w:val="B540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495205"/>
    <w:multiLevelType w:val="multilevel"/>
    <w:tmpl w:val="A6E4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E777D9"/>
    <w:multiLevelType w:val="multilevel"/>
    <w:tmpl w:val="00A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FC2E0A"/>
    <w:multiLevelType w:val="hybridMultilevel"/>
    <w:tmpl w:val="F36C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4320CB"/>
    <w:multiLevelType w:val="hybridMultilevel"/>
    <w:tmpl w:val="9BC44FC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A3308A"/>
    <w:multiLevelType w:val="multilevel"/>
    <w:tmpl w:val="C076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FC1C07"/>
    <w:multiLevelType w:val="multilevel"/>
    <w:tmpl w:val="02A8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F252909"/>
    <w:multiLevelType w:val="multilevel"/>
    <w:tmpl w:val="091E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1C30AF9"/>
    <w:multiLevelType w:val="multilevel"/>
    <w:tmpl w:val="23084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B06C32"/>
    <w:multiLevelType w:val="multilevel"/>
    <w:tmpl w:val="0392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1629E9"/>
    <w:multiLevelType w:val="multilevel"/>
    <w:tmpl w:val="0D5A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D672388"/>
    <w:multiLevelType w:val="multilevel"/>
    <w:tmpl w:val="7F5C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1955063">
    <w:abstractNumId w:val="1"/>
  </w:num>
  <w:num w:numId="2" w16cid:durableId="877473455">
    <w:abstractNumId w:val="8"/>
  </w:num>
  <w:num w:numId="3" w16cid:durableId="322583593">
    <w:abstractNumId w:val="9"/>
  </w:num>
  <w:num w:numId="4" w16cid:durableId="342171795">
    <w:abstractNumId w:val="3"/>
  </w:num>
  <w:num w:numId="5" w16cid:durableId="167402652">
    <w:abstractNumId w:val="2"/>
  </w:num>
  <w:num w:numId="6" w16cid:durableId="1964380413">
    <w:abstractNumId w:val="11"/>
  </w:num>
  <w:num w:numId="7" w16cid:durableId="320043192">
    <w:abstractNumId w:val="12"/>
  </w:num>
  <w:num w:numId="8" w16cid:durableId="2126263422">
    <w:abstractNumId w:val="14"/>
  </w:num>
  <w:num w:numId="9" w16cid:durableId="1779829454">
    <w:abstractNumId w:val="16"/>
  </w:num>
  <w:num w:numId="10" w16cid:durableId="1214931346">
    <w:abstractNumId w:val="5"/>
  </w:num>
  <w:num w:numId="11" w16cid:durableId="1285191710">
    <w:abstractNumId w:val="13"/>
  </w:num>
  <w:num w:numId="12" w16cid:durableId="1802504269">
    <w:abstractNumId w:val="15"/>
  </w:num>
  <w:num w:numId="13" w16cid:durableId="697393513">
    <w:abstractNumId w:val="7"/>
  </w:num>
  <w:num w:numId="14" w16cid:durableId="299115009">
    <w:abstractNumId w:val="10"/>
  </w:num>
  <w:num w:numId="15" w16cid:durableId="821698956">
    <w:abstractNumId w:val="6"/>
  </w:num>
  <w:num w:numId="16" w16cid:durableId="308555125">
    <w:abstractNumId w:val="4"/>
  </w:num>
  <w:num w:numId="17" w16cid:durableId="130637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5B24"/>
    <w:rsid w:val="0001625B"/>
    <w:rsid w:val="000572BF"/>
    <w:rsid w:val="00070CAC"/>
    <w:rsid w:val="00074402"/>
    <w:rsid w:val="00085775"/>
    <w:rsid w:val="00095020"/>
    <w:rsid w:val="0009708A"/>
    <w:rsid w:val="000A7DCA"/>
    <w:rsid w:val="000C400C"/>
    <w:rsid w:val="000D46EF"/>
    <w:rsid w:val="000D51F2"/>
    <w:rsid w:val="000E01D7"/>
    <w:rsid w:val="001506F8"/>
    <w:rsid w:val="00196827"/>
    <w:rsid w:val="001D510F"/>
    <w:rsid w:val="001D7C03"/>
    <w:rsid w:val="00200081"/>
    <w:rsid w:val="00201AD9"/>
    <w:rsid w:val="00212378"/>
    <w:rsid w:val="00216C85"/>
    <w:rsid w:val="00221213"/>
    <w:rsid w:val="0022463E"/>
    <w:rsid w:val="00224A4D"/>
    <w:rsid w:val="00233682"/>
    <w:rsid w:val="0026393A"/>
    <w:rsid w:val="00273EDD"/>
    <w:rsid w:val="00284408"/>
    <w:rsid w:val="002B28ED"/>
    <w:rsid w:val="002B51D5"/>
    <w:rsid w:val="002B6CA0"/>
    <w:rsid w:val="002C3965"/>
    <w:rsid w:val="002D33C6"/>
    <w:rsid w:val="002F4AF2"/>
    <w:rsid w:val="002F5CD2"/>
    <w:rsid w:val="00312A83"/>
    <w:rsid w:val="00321C4C"/>
    <w:rsid w:val="00326CF6"/>
    <w:rsid w:val="00332B7E"/>
    <w:rsid w:val="003506A4"/>
    <w:rsid w:val="003612CE"/>
    <w:rsid w:val="00374BE2"/>
    <w:rsid w:val="00375E66"/>
    <w:rsid w:val="00392BBC"/>
    <w:rsid w:val="003C4D0B"/>
    <w:rsid w:val="003E4ECF"/>
    <w:rsid w:val="0045205E"/>
    <w:rsid w:val="00452638"/>
    <w:rsid w:val="004A5A0A"/>
    <w:rsid w:val="004A5FC4"/>
    <w:rsid w:val="004A736E"/>
    <w:rsid w:val="00500494"/>
    <w:rsid w:val="005050E4"/>
    <w:rsid w:val="00535A35"/>
    <w:rsid w:val="00541340"/>
    <w:rsid w:val="00576586"/>
    <w:rsid w:val="005F408F"/>
    <w:rsid w:val="00621DF2"/>
    <w:rsid w:val="006356C5"/>
    <w:rsid w:val="00647212"/>
    <w:rsid w:val="00651FA3"/>
    <w:rsid w:val="006661DE"/>
    <w:rsid w:val="006925AA"/>
    <w:rsid w:val="006C4E3B"/>
    <w:rsid w:val="006F5EB9"/>
    <w:rsid w:val="006F7D7D"/>
    <w:rsid w:val="00700954"/>
    <w:rsid w:val="00714682"/>
    <w:rsid w:val="0071493F"/>
    <w:rsid w:val="00714FE3"/>
    <w:rsid w:val="00725177"/>
    <w:rsid w:val="00732181"/>
    <w:rsid w:val="00755A4D"/>
    <w:rsid w:val="00760421"/>
    <w:rsid w:val="007744F2"/>
    <w:rsid w:val="00777B0C"/>
    <w:rsid w:val="007A233E"/>
    <w:rsid w:val="007A2F62"/>
    <w:rsid w:val="007A39C9"/>
    <w:rsid w:val="007C2EF4"/>
    <w:rsid w:val="007D43E8"/>
    <w:rsid w:val="007E1431"/>
    <w:rsid w:val="007E413E"/>
    <w:rsid w:val="007E7BDA"/>
    <w:rsid w:val="00804BAA"/>
    <w:rsid w:val="00814A9E"/>
    <w:rsid w:val="00817F22"/>
    <w:rsid w:val="00821263"/>
    <w:rsid w:val="008271CA"/>
    <w:rsid w:val="0084726E"/>
    <w:rsid w:val="008516C1"/>
    <w:rsid w:val="00861815"/>
    <w:rsid w:val="008811AF"/>
    <w:rsid w:val="008B7F45"/>
    <w:rsid w:val="008F1C7D"/>
    <w:rsid w:val="0090040D"/>
    <w:rsid w:val="0090660A"/>
    <w:rsid w:val="009066FB"/>
    <w:rsid w:val="00941D41"/>
    <w:rsid w:val="009752AE"/>
    <w:rsid w:val="009B0B7F"/>
    <w:rsid w:val="009B3F5A"/>
    <w:rsid w:val="009B5E08"/>
    <w:rsid w:val="009B7711"/>
    <w:rsid w:val="009C2D56"/>
    <w:rsid w:val="009C454B"/>
    <w:rsid w:val="009D052C"/>
    <w:rsid w:val="009D1D1E"/>
    <w:rsid w:val="009D595E"/>
    <w:rsid w:val="00A035FD"/>
    <w:rsid w:val="00A24E04"/>
    <w:rsid w:val="00A82B99"/>
    <w:rsid w:val="00A9541C"/>
    <w:rsid w:val="00AA1C7A"/>
    <w:rsid w:val="00AA444D"/>
    <w:rsid w:val="00AD0A70"/>
    <w:rsid w:val="00B10BA2"/>
    <w:rsid w:val="00B218F4"/>
    <w:rsid w:val="00B47E28"/>
    <w:rsid w:val="00B81BBD"/>
    <w:rsid w:val="00B8688D"/>
    <w:rsid w:val="00B87E75"/>
    <w:rsid w:val="00B972F7"/>
    <w:rsid w:val="00B97478"/>
    <w:rsid w:val="00BA0D49"/>
    <w:rsid w:val="00BE03A1"/>
    <w:rsid w:val="00BE64EF"/>
    <w:rsid w:val="00C15894"/>
    <w:rsid w:val="00C2315C"/>
    <w:rsid w:val="00C255DE"/>
    <w:rsid w:val="00C37988"/>
    <w:rsid w:val="00C615F4"/>
    <w:rsid w:val="00C635C7"/>
    <w:rsid w:val="00C764AA"/>
    <w:rsid w:val="00C8313C"/>
    <w:rsid w:val="00C8478A"/>
    <w:rsid w:val="00C849D3"/>
    <w:rsid w:val="00C96A9F"/>
    <w:rsid w:val="00CA243C"/>
    <w:rsid w:val="00CC60A8"/>
    <w:rsid w:val="00CD33A8"/>
    <w:rsid w:val="00CD7FE5"/>
    <w:rsid w:val="00CF1504"/>
    <w:rsid w:val="00CF3882"/>
    <w:rsid w:val="00D04B2E"/>
    <w:rsid w:val="00D11142"/>
    <w:rsid w:val="00D315A9"/>
    <w:rsid w:val="00D43DC0"/>
    <w:rsid w:val="00D44D2F"/>
    <w:rsid w:val="00D60A37"/>
    <w:rsid w:val="00D6157B"/>
    <w:rsid w:val="00D6704B"/>
    <w:rsid w:val="00DA0E6E"/>
    <w:rsid w:val="00DC74C0"/>
    <w:rsid w:val="00E32646"/>
    <w:rsid w:val="00E464DA"/>
    <w:rsid w:val="00E514E2"/>
    <w:rsid w:val="00E5615F"/>
    <w:rsid w:val="00E569FD"/>
    <w:rsid w:val="00E620E7"/>
    <w:rsid w:val="00E62DE8"/>
    <w:rsid w:val="00E7075B"/>
    <w:rsid w:val="00E94A16"/>
    <w:rsid w:val="00EB5ECE"/>
    <w:rsid w:val="00ED7A93"/>
    <w:rsid w:val="00ED7CBE"/>
    <w:rsid w:val="00F13A75"/>
    <w:rsid w:val="00F66E1B"/>
    <w:rsid w:val="00F77D58"/>
    <w:rsid w:val="00F91903"/>
    <w:rsid w:val="00F96A16"/>
    <w:rsid w:val="00FA15B0"/>
    <w:rsid w:val="00FB421C"/>
    <w:rsid w:val="00FB4FA4"/>
    <w:rsid w:val="00FE62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B4BA38"/>
  <w15:chartTrackingRefBased/>
  <w15:docId w15:val="{20D52560-2B41-4241-B36D-3E4972753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43C"/>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E620E7"/>
    <w:pPr>
      <w:keepNext/>
      <w:keepLines/>
      <w:spacing w:before="24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hAnsi="Arial"/>
      <w:b/>
      <w:b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pPr>
  </w:style>
  <w:style w:type="character" w:customStyle="1" w:styleId="FooterChar">
    <w:name w:val="Footer Char"/>
    <w:basedOn w:val="DefaultParagraphFont"/>
    <w:link w:val="Footer"/>
    <w:uiPriority w:val="99"/>
    <w:rsid w:val="003E4ECF"/>
  </w:style>
  <w:style w:type="table" w:styleId="TableGrid">
    <w:name w:val="Table Grid"/>
    <w:basedOn w:val="TableNormal"/>
    <w:uiPriority w:val="39"/>
    <w:rsid w:val="00D111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478A"/>
    <w:pPr>
      <w:ind w:left="720"/>
      <w:contextualSpacing/>
    </w:pPr>
  </w:style>
  <w:style w:type="character" w:customStyle="1" w:styleId="css-x5hiaf">
    <w:name w:val="css-x5hiaf"/>
    <w:basedOn w:val="DefaultParagraphFont"/>
    <w:rsid w:val="00E7075B"/>
  </w:style>
  <w:style w:type="character" w:customStyle="1" w:styleId="css-0">
    <w:name w:val="css-0"/>
    <w:basedOn w:val="DefaultParagraphFont"/>
    <w:rsid w:val="00E7075B"/>
  </w:style>
  <w:style w:type="character" w:customStyle="1" w:styleId="apple-converted-space">
    <w:name w:val="apple-converted-space"/>
    <w:basedOn w:val="DefaultParagraphFont"/>
    <w:rsid w:val="00E7075B"/>
  </w:style>
  <w:style w:type="character" w:customStyle="1" w:styleId="css-rh820s">
    <w:name w:val="css-rh820s"/>
    <w:basedOn w:val="DefaultParagraphFont"/>
    <w:rsid w:val="00E7075B"/>
  </w:style>
  <w:style w:type="character" w:customStyle="1" w:styleId="css-15iwe0d">
    <w:name w:val="css-15iwe0d"/>
    <w:basedOn w:val="DefaultParagraphFont"/>
    <w:rsid w:val="00E7075B"/>
  </w:style>
  <w:style w:type="character" w:customStyle="1" w:styleId="css-2yp7ui">
    <w:name w:val="css-2yp7ui"/>
    <w:basedOn w:val="DefaultParagraphFont"/>
    <w:rsid w:val="00E7075B"/>
  </w:style>
  <w:style w:type="character" w:customStyle="1" w:styleId="css-1ber87j">
    <w:name w:val="css-1ber87j"/>
    <w:basedOn w:val="DefaultParagraphFont"/>
    <w:rsid w:val="00E7075B"/>
  </w:style>
  <w:style w:type="character" w:customStyle="1" w:styleId="css-1eh0vfs">
    <w:name w:val="css-1eh0vfs"/>
    <w:basedOn w:val="DefaultParagraphFont"/>
    <w:rsid w:val="00E7075B"/>
  </w:style>
  <w:style w:type="paragraph" w:styleId="NoSpacing">
    <w:name w:val="No Spacing"/>
    <w:uiPriority w:val="1"/>
    <w:qFormat/>
    <w:rsid w:val="005F408F"/>
    <w:pPr>
      <w:spacing w:after="0" w:line="240" w:lineRule="auto"/>
    </w:pPr>
  </w:style>
  <w:style w:type="character" w:customStyle="1" w:styleId="mr-15">
    <w:name w:val="mr-1.5"/>
    <w:basedOn w:val="DefaultParagraphFont"/>
    <w:rsid w:val="00AA1C7A"/>
  </w:style>
  <w:style w:type="character" w:customStyle="1" w:styleId="text-default">
    <w:name w:val="text-default"/>
    <w:basedOn w:val="DefaultParagraphFont"/>
    <w:rsid w:val="00AA1C7A"/>
  </w:style>
  <w:style w:type="character" w:styleId="Hyperlink">
    <w:name w:val="Hyperlink"/>
    <w:basedOn w:val="DefaultParagraphFont"/>
    <w:uiPriority w:val="99"/>
    <w:unhideWhenUsed/>
    <w:rsid w:val="00AA1C7A"/>
    <w:rPr>
      <w:color w:val="0563C1" w:themeColor="hyperlink"/>
      <w:u w:val="single"/>
    </w:rPr>
  </w:style>
  <w:style w:type="character" w:styleId="UnresolvedMention">
    <w:name w:val="Unresolved Mention"/>
    <w:basedOn w:val="DefaultParagraphFont"/>
    <w:uiPriority w:val="99"/>
    <w:semiHidden/>
    <w:unhideWhenUsed/>
    <w:rsid w:val="00AA1C7A"/>
    <w:rPr>
      <w:color w:val="605E5C"/>
      <w:shd w:val="clear" w:color="auto" w:fill="E1DFDD"/>
    </w:rPr>
  </w:style>
  <w:style w:type="character" w:customStyle="1" w:styleId="normaltextrun">
    <w:name w:val="normaltextrun"/>
    <w:basedOn w:val="DefaultParagraphFont"/>
    <w:rsid w:val="00E514E2"/>
  </w:style>
  <w:style w:type="character" w:customStyle="1" w:styleId="nobreakhyphenblob">
    <w:name w:val="nobreakhyphenblob"/>
    <w:basedOn w:val="DefaultParagraphFont"/>
    <w:rsid w:val="00E514E2"/>
  </w:style>
  <w:style w:type="character" w:customStyle="1" w:styleId="eop">
    <w:name w:val="eop"/>
    <w:basedOn w:val="DefaultParagraphFont"/>
    <w:rsid w:val="00E514E2"/>
  </w:style>
  <w:style w:type="paragraph" w:customStyle="1" w:styleId="paragraph">
    <w:name w:val="paragraph"/>
    <w:basedOn w:val="Normal"/>
    <w:rsid w:val="00D04B2E"/>
    <w:pPr>
      <w:spacing w:before="100" w:beforeAutospacing="1" w:after="100" w:afterAutospacing="1"/>
    </w:pPr>
  </w:style>
  <w:style w:type="character" w:customStyle="1" w:styleId="scxw250372743">
    <w:name w:val="scxw250372743"/>
    <w:basedOn w:val="DefaultParagraphFont"/>
    <w:rsid w:val="00D04B2E"/>
  </w:style>
  <w:style w:type="character" w:customStyle="1" w:styleId="scxw85869854">
    <w:name w:val="scxw85869854"/>
    <w:basedOn w:val="DefaultParagraphFont"/>
    <w:rsid w:val="00D315A9"/>
  </w:style>
  <w:style w:type="paragraph" w:styleId="NormalWeb">
    <w:name w:val="Normal (Web)"/>
    <w:basedOn w:val="Normal"/>
    <w:uiPriority w:val="99"/>
    <w:semiHidden/>
    <w:unhideWhenUsed/>
    <w:rsid w:val="008516C1"/>
    <w:pPr>
      <w:spacing w:before="100" w:beforeAutospacing="1" w:after="100" w:afterAutospacing="1"/>
    </w:pPr>
  </w:style>
  <w:style w:type="character" w:styleId="Emphasis">
    <w:name w:val="Emphasis"/>
    <w:basedOn w:val="DefaultParagraphFont"/>
    <w:uiPriority w:val="20"/>
    <w:qFormat/>
    <w:rsid w:val="00CA243C"/>
    <w:rPr>
      <w:i/>
      <w:iCs/>
    </w:rPr>
  </w:style>
  <w:style w:type="character" w:styleId="FollowedHyperlink">
    <w:name w:val="FollowedHyperlink"/>
    <w:basedOn w:val="DefaultParagraphFont"/>
    <w:uiPriority w:val="99"/>
    <w:semiHidden/>
    <w:unhideWhenUsed/>
    <w:rsid w:val="007C2E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16/j.sapharm.2026.01.005" TargetMode="External"/><Relationship Id="rId18" Type="http://schemas.openxmlformats.org/officeDocument/2006/relationships/hyperlink" Target="https://www.contemporaryhealth.co.uk/digital-health/new-guidance-issued-to-strengthen-safety-and-effectiveness-of-digital-mental-health-technologies/" TargetMode="External"/><Relationship Id="rId26" Type="http://schemas.openxmlformats.org/officeDocument/2006/relationships/hyperlink" Target="https://www.england.nhs.uk/personalisedcare/social-prescribing/" TargetMode="External"/><Relationship Id="rId3" Type="http://schemas.openxmlformats.org/officeDocument/2006/relationships/settings" Target="settings.xml"/><Relationship Id="rId21" Type="http://schemas.openxmlformats.org/officeDocument/2006/relationships/hyperlink" Target="https://doi.org/" TargetMode="External"/><Relationship Id="rId7" Type="http://schemas.openxmlformats.org/officeDocument/2006/relationships/image" Target="media/image1.png"/><Relationship Id="rId12" Type="http://schemas.openxmlformats.org/officeDocument/2006/relationships/hyperlink" Target="https://www.england.nhs.uk/long-read/working-in-partnership-with-people-and-communities-statutory-guidance/" TargetMode="External"/><Relationship Id="rId17" Type="http://schemas.openxmlformats.org/officeDocument/2006/relationships/hyperlink" Target="https://www.gov.uk/government/news/nhs-long-term-plan-launched" TargetMode="External"/><Relationship Id="rId25" Type="http://schemas.openxmlformats.org/officeDocument/2006/relationships/hyperlink" Target="https://www.kingsfund.org.uk/" TargetMode="External"/><Relationship Id="rId2" Type="http://schemas.openxmlformats.org/officeDocument/2006/relationships/styles" Target="styles.xml"/><Relationship Id="rId16" Type="http://schemas.openxmlformats.org/officeDocument/2006/relationships/hyperlink" Target="https://safework.place/blog/2025-cqc-state-of-care-report" TargetMode="External"/><Relationship Id="rId20" Type="http://schemas.openxmlformats.org/officeDocument/2006/relationships/hyperlink" Target="https://www.goodthingsfoundation.org/policy-and-research/research-and-evidence/research-2025/beliefs-and-trust-barriers-to-using-digital-health-service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9/BJGP.2024.0179" TargetMode="External"/><Relationship Id="rId24" Type="http://schemas.openxmlformats.org/officeDocument/2006/relationships/hyperlink" Target="https://www.england.nhs.uk/" TargetMode="External"/><Relationship Id="rId5" Type="http://schemas.openxmlformats.org/officeDocument/2006/relationships/footnotes" Target="footnotes.xml"/><Relationship Id="rId15" Type="http://schemas.openxmlformats.org/officeDocument/2006/relationships/hyperlink" Target="https://www.england.nhs.uk/long-read/working-in-partnership-with-people-and-communities-statutory-guidance/" TargetMode="External"/><Relationship Id="rId23" Type="http://schemas.openxmlformats.org/officeDocument/2006/relationships/hyperlink" Target="https://safework.place/blog/2025-cqc-state-of-care-report" TargetMode="External"/><Relationship Id="rId28" Type="http://schemas.openxmlformats.org/officeDocument/2006/relationships/hyperlink" Target="https://www.kingsfund.org.uk/" TargetMode="External"/><Relationship Id="rId10" Type="http://schemas.openxmlformats.org/officeDocument/2006/relationships/hyperlink" Target="https://doi.org/10.1177/20552076231185442" TargetMode="External"/><Relationship Id="rId19" Type="http://schemas.openxmlformats.org/officeDocument/2006/relationships/hyperlink" Target="https://www.contemporaryhealth.co.uk/digital-health/new-guidance-issued-to-strengthen-safety-and-effectiveness-of-digital-mental-health-technologie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86/s12913-017-2778-y" TargetMode="External"/><Relationship Id="rId14" Type="http://schemas.openxmlformats.org/officeDocument/2006/relationships/hyperlink" Target="https://www.tandfonline.com/doi/abs/10.1080/1364557032000119616" TargetMode="External"/><Relationship Id="rId22" Type="http://schemas.openxmlformats.org/officeDocument/2006/relationships/hyperlink" Target="https://www.england.nhs.uk/long-read/working-in-partnership-with-people-and-communities-statutory-guidance" TargetMode="External"/><Relationship Id="rId27" Type="http://schemas.openxmlformats.org/officeDocument/2006/relationships/hyperlink" Target="https://www.england.nhs.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19</Pages>
  <Words>5188</Words>
  <Characters>32949</Characters>
  <Application>Microsoft Office Word</Application>
  <DocSecurity>0</DocSecurity>
  <Lines>1176</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Eugenio Nunes Mendes Da Costa Ananias (2308808)</cp:lastModifiedBy>
  <cp:revision>132</cp:revision>
  <dcterms:created xsi:type="dcterms:W3CDTF">2026-03-12T14:44:00Z</dcterms:created>
  <dcterms:modified xsi:type="dcterms:W3CDTF">2026-04-22T16:50:00Z</dcterms:modified>
</cp:coreProperties>
</file>