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FF44DA" w14:textId="44A33CF6" w:rsidR="00915A03" w:rsidRDefault="00915A03" w:rsidP="00915A03">
      <w:pPr>
        <w:jc w:val="center"/>
      </w:pPr>
      <w:r>
        <w:t xml:space="preserve">Name: </w:t>
      </w:r>
      <w:proofErr w:type="spellStart"/>
      <w:r>
        <w:t>Sarkia</w:t>
      </w:r>
      <w:proofErr w:type="spellEnd"/>
      <w:r>
        <w:t xml:space="preserve"> Iqbal</w:t>
      </w:r>
    </w:p>
    <w:p w14:paraId="3F0124CE" w14:textId="5C5B33D0" w:rsidR="00915A03" w:rsidRDefault="00915A03" w:rsidP="00915A03">
      <w:pPr>
        <w:jc w:val="center"/>
      </w:pPr>
      <w:r>
        <w:t>Student: 2543</w:t>
      </w:r>
      <w:r>
        <w:t>389</w:t>
      </w:r>
    </w:p>
    <w:p w14:paraId="29EDC2DC" w14:textId="77777777" w:rsidR="00915A03" w:rsidRDefault="00915A03" w:rsidP="00915A03">
      <w:pPr>
        <w:jc w:val="center"/>
      </w:pPr>
      <w:r>
        <w:t>Module: Introduction To Health &amp; Social Care</w:t>
      </w:r>
    </w:p>
    <w:p w14:paraId="21594B77" w14:textId="77777777" w:rsidR="00915A03" w:rsidRDefault="00915A03" w:rsidP="00915A03">
      <w:pPr>
        <w:tabs>
          <w:tab w:val="left" w:pos="2244"/>
        </w:tabs>
        <w:jc w:val="center"/>
      </w:pPr>
      <w:r>
        <w:t>Module Code: LCHS 4003</w:t>
      </w:r>
    </w:p>
    <w:p w14:paraId="79B0CA07" w14:textId="77777777" w:rsidR="00915A03" w:rsidRDefault="00915A03" w:rsidP="00915A03">
      <w:pPr>
        <w:jc w:val="center"/>
      </w:pPr>
      <w:r>
        <w:t>Lecture: Emmanuel Asante</w:t>
      </w:r>
    </w:p>
    <w:p w14:paraId="676AC4FA" w14:textId="77777777" w:rsidR="00915A03" w:rsidRDefault="00915A03" w:rsidP="00915A03">
      <w:pPr>
        <w:jc w:val="center"/>
      </w:pPr>
    </w:p>
    <w:p w14:paraId="38F1553E" w14:textId="77777777" w:rsidR="00915A03" w:rsidRDefault="00915A03" w:rsidP="00915A03">
      <w:pPr>
        <w:jc w:val="center"/>
      </w:pPr>
    </w:p>
    <w:p w14:paraId="0910A312" w14:textId="77777777" w:rsidR="00915A03" w:rsidRDefault="00915A03" w:rsidP="00915A03">
      <w:pPr>
        <w:jc w:val="center"/>
      </w:pPr>
    </w:p>
    <w:p w14:paraId="3D5E468C" w14:textId="77777777" w:rsidR="00915A03" w:rsidRDefault="00915A03" w:rsidP="00915A03">
      <w:pPr>
        <w:jc w:val="center"/>
      </w:pPr>
    </w:p>
    <w:p w14:paraId="7CF051F7" w14:textId="77777777" w:rsidR="00915A03" w:rsidRDefault="00915A03" w:rsidP="00915A03">
      <w:pPr>
        <w:jc w:val="center"/>
      </w:pPr>
    </w:p>
    <w:p w14:paraId="5C41B2E2" w14:textId="77777777" w:rsidR="00915A03" w:rsidRDefault="00915A03" w:rsidP="00915A03">
      <w:pPr>
        <w:jc w:val="center"/>
      </w:pPr>
    </w:p>
    <w:p w14:paraId="2A1B37A9" w14:textId="77777777" w:rsidR="00915A03" w:rsidRDefault="00915A03" w:rsidP="00915A03">
      <w:pPr>
        <w:jc w:val="center"/>
      </w:pPr>
    </w:p>
    <w:p w14:paraId="52143D8C" w14:textId="77777777" w:rsidR="00915A03" w:rsidRDefault="00915A03" w:rsidP="00915A03">
      <w:pPr>
        <w:jc w:val="center"/>
      </w:pPr>
    </w:p>
    <w:p w14:paraId="62100B1C" w14:textId="77777777" w:rsidR="00915A03" w:rsidRDefault="00915A03" w:rsidP="00915A03">
      <w:pPr>
        <w:jc w:val="center"/>
      </w:pPr>
    </w:p>
    <w:p w14:paraId="08924C28" w14:textId="77777777" w:rsidR="00915A03" w:rsidRDefault="00915A03" w:rsidP="00915A03">
      <w:pPr>
        <w:jc w:val="center"/>
      </w:pPr>
    </w:p>
    <w:p w14:paraId="271281DA" w14:textId="77777777" w:rsidR="00915A03" w:rsidRDefault="00915A03" w:rsidP="00915A03">
      <w:pPr>
        <w:jc w:val="center"/>
      </w:pPr>
    </w:p>
    <w:p w14:paraId="4D45BC8D" w14:textId="77777777" w:rsidR="00915A03" w:rsidRDefault="00915A03" w:rsidP="00915A03">
      <w:pPr>
        <w:jc w:val="center"/>
      </w:pPr>
    </w:p>
    <w:p w14:paraId="6E3E7695" w14:textId="77777777" w:rsidR="00915A03" w:rsidRDefault="00915A03" w:rsidP="00915A03">
      <w:pPr>
        <w:jc w:val="center"/>
      </w:pPr>
    </w:p>
    <w:p w14:paraId="6C2AF1A4" w14:textId="77777777" w:rsidR="00915A03" w:rsidRDefault="00915A03" w:rsidP="00915A03">
      <w:pPr>
        <w:jc w:val="center"/>
      </w:pPr>
    </w:p>
    <w:p w14:paraId="78A9D40B" w14:textId="77777777" w:rsidR="00915A03" w:rsidRDefault="00915A03" w:rsidP="00915A03">
      <w:pPr>
        <w:jc w:val="center"/>
      </w:pPr>
    </w:p>
    <w:p w14:paraId="6584A81B" w14:textId="77777777" w:rsidR="00915A03" w:rsidRDefault="00915A03" w:rsidP="00915A03">
      <w:pPr>
        <w:jc w:val="center"/>
      </w:pPr>
    </w:p>
    <w:p w14:paraId="709EDDA7" w14:textId="77777777" w:rsidR="00915A03" w:rsidRDefault="00915A03" w:rsidP="00915A03">
      <w:pPr>
        <w:jc w:val="center"/>
      </w:pPr>
    </w:p>
    <w:p w14:paraId="3556D4BA" w14:textId="77777777" w:rsidR="00915A03" w:rsidRDefault="00915A03" w:rsidP="00915A03">
      <w:pPr>
        <w:jc w:val="center"/>
      </w:pPr>
    </w:p>
    <w:p w14:paraId="2D13CB0D" w14:textId="77777777" w:rsidR="00915A03" w:rsidRDefault="00915A03" w:rsidP="00915A03">
      <w:pPr>
        <w:jc w:val="center"/>
      </w:pPr>
    </w:p>
    <w:p w14:paraId="13AD791B" w14:textId="77777777" w:rsidR="00915A03" w:rsidRDefault="00915A03" w:rsidP="00915A03">
      <w:pPr>
        <w:jc w:val="center"/>
      </w:pPr>
    </w:p>
    <w:p w14:paraId="3AAE1392" w14:textId="77777777" w:rsidR="00915A03" w:rsidRDefault="00915A03" w:rsidP="00915A03">
      <w:pPr>
        <w:jc w:val="center"/>
      </w:pPr>
    </w:p>
    <w:p w14:paraId="5F58F1B0" w14:textId="77777777" w:rsidR="00915A03" w:rsidRDefault="00915A03" w:rsidP="00915A03">
      <w:pPr>
        <w:jc w:val="center"/>
      </w:pPr>
    </w:p>
    <w:p w14:paraId="35E7323E" w14:textId="77777777" w:rsidR="00915A03" w:rsidRDefault="00915A03" w:rsidP="00915A03">
      <w:pPr>
        <w:autoSpaceDE w:val="0"/>
        <w:autoSpaceDN w:val="0"/>
        <w:adjustRightInd w:val="0"/>
        <w:spacing w:after="200" w:line="276" w:lineRule="auto"/>
      </w:pPr>
    </w:p>
    <w:p w14:paraId="426D1637" w14:textId="5107DE4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lastRenderedPageBreak/>
        <w:t xml:space="preserve">Task 1 </w:t>
      </w:r>
    </w:p>
    <w:p w14:paraId="6DFA12AC"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1B6C595A" w14:textId="712E954D"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To: Councillor Linda Bigham. The Cabinet Member for Adult Services at Coventry City Council </w:t>
      </w:r>
    </w:p>
    <w:p w14:paraId="452447A5" w14:textId="2322AC6A"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From: Health and Social Care Student </w:t>
      </w:r>
    </w:p>
    <w:p w14:paraId="17AC4345" w14:textId="043D1CED"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Date: 10 October 2026 </w:t>
      </w:r>
    </w:p>
    <w:p w14:paraId="469D66DD"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Subject: Improving Access to Community Disability Services in Coventry </w:t>
      </w:r>
    </w:p>
    <w:p w14:paraId="7F2FF9B5" w14:textId="3B1F5CE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7C87E50B" w14:textId="544E0AF9"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Introduction Of Issue </w:t>
      </w:r>
    </w:p>
    <w:p w14:paraId="046AC9DD"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People with learning impairments, physical disabilities, and other support requirements can live as independently as possible with the aid of community disability services. Personal care, aid with everyday tasks, day opportunities, communication support, carer respite, and access to community amenities are a few examples of these services. However, handicapped persons and their families may find it difficult to get the assistance they require when appropriate resources are either unavailable or difficult to get. </w:t>
      </w:r>
    </w:p>
    <w:p w14:paraId="0FCEE84C"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0FB26A41"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Support for individuals with learning impairments and autism is a crucial component of local social care planning, as evidenced by the Learning Disability and Autism Market Development Plan for 2025–2030 released by Coventry City Council (Coventry City Council, n.d.). The council should keep evaluating whether the services now offered satisfy the requirements of the locals and look for any gaps. </w:t>
      </w:r>
    </w:p>
    <w:p w14:paraId="4AA2ED65"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677A14DB"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The legal foundation for adult social care in England is provided by the Care Act of 2014. While Section 2 outlines responsibilities for avoiding or postponing the emergence of care and support requirements, Section 1 mandates that local authorities promote individual well-being (UK Government, 2014). Therefore, Coventry City Council should make expanding access to community disability services a top priority. </w:t>
      </w:r>
    </w:p>
    <w:p w14:paraId="0E282069"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3DCB156F" w14:textId="347009DA"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Impact of the Issue on the Community </w:t>
      </w:r>
    </w:p>
    <w:p w14:paraId="33020869"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Individuals, families, and the larger community may be impacted by a lack of community disability services. Managing daily tasks, going to appointments, engaging in work or school, and sustaining social connections may all be challenging for persons with disabilities. People may feel less independent, lonely, and less well-off when the right kind of help is not accessible. </w:t>
      </w:r>
    </w:p>
    <w:p w14:paraId="700969C0"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342AE123"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lastRenderedPageBreak/>
        <w:t xml:space="preserve">When families give unpaid care without enough support, they may also feel more strain. Carers may find it difficult to strike a balance between their own health, work, and family obligations. The person they support may also be more vulnerable to losing access to reliable care if caretakers get worn out. </w:t>
      </w:r>
    </w:p>
    <w:p w14:paraId="6C0BD540"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1D00FAC7"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An absence of timely and appropriate support can lead to a greater need for more intensive services. For instance, someone who could safely stay at home with adequate assistance might later require more extensive help if their needs are not met. This situation can impact both the individual's quality of life and the resources available to public services. </w:t>
      </w:r>
    </w:p>
    <w:p w14:paraId="49A167CE"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50181690"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Section 3 of the Care Act 2014 mandates that local authorities consider integrating care and support with health services when such integration would enhance well-being, prevention, or the quality of care (UK Government, 2014). This is especially important for individuals requiring coordinated support from social workers, healthcare professionals, and community organizations. </w:t>
      </w:r>
    </w:p>
    <w:p w14:paraId="04F14280" w14:textId="39FCE4EC" w:rsidR="00915A03" w:rsidRDefault="00915A03" w:rsidP="00915A03">
      <w:pPr>
        <w:autoSpaceDE w:val="0"/>
        <w:autoSpaceDN w:val="0"/>
        <w:adjustRightInd w:val="0"/>
        <w:spacing w:after="200" w:line="276" w:lineRule="auto"/>
        <w:rPr>
          <w:rFonts w:ascii="Helvetica" w:hAnsi="Helvetica" w:cs="Helvetica"/>
          <w:kern w:val="0"/>
          <w:sz w:val="22"/>
          <w:szCs w:val="22"/>
        </w:rPr>
      </w:pPr>
    </w:p>
    <w:p w14:paraId="6C964B89" w14:textId="4936C264"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Recommended Response to Address the Issue </w:t>
      </w:r>
    </w:p>
    <w:p w14:paraId="1AB6480F" w14:textId="35E6FF83"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Coventry City Council should introduce a coordinated programme to improve the availability, accessibility and quality of community disability services. </w:t>
      </w:r>
    </w:p>
    <w:p w14:paraId="6B04B0F3" w14:textId="79E50CE4"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The council should collaborate with disabled residents, their families, carers, and voluntary organizations to identify waiting lists, geographical gaps, and unmet needs. Information should be gathered through surveys, consultations, and reviews of existing services. These findings should guide commissioning decisions and enable the council to allocate resources to residents with the most significant unmet needs. </w:t>
      </w:r>
    </w:p>
    <w:p w14:paraId="1C36ABD6" w14:textId="632C91E5"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Services should be tailored to everyone's abilities, preferences, goals, and assessed needs. Options may include assistance with daily living, community participation, independent living skills, and access to local activities. The Care Act 2014, sections 9 and 13, outlines requirements for needs assessments and eligibility determinations, while section 25 covers care and support planning (UK Government, 2014). These provisions facilitate a structured approach to identifying and fulfilling eligible needs. </w:t>
      </w:r>
    </w:p>
    <w:p w14:paraId="389F600F" w14:textId="3FE5DCD3"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Coventry should enhance access to carers’ assessments, information, peer-support groups, and suitable respite opportunities. Section 10 of the Care Act 2014 mandates carers’ assessments when the statutory conditions are met. Supporting carers can help maintain caring arrangements and safeguard their well-being. </w:t>
      </w:r>
    </w:p>
    <w:p w14:paraId="6AAE702D" w14:textId="7055744C"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It is recommended that the council foster collaboration with the National Health Service (NHS), local disability advocacy groups, housing associations, and community-based organizations. Integrated planning would enhance referral pathways, minimize redundant assessments, and facilitate seamless transitions for residents between services. </w:t>
      </w:r>
      <w:r>
        <w:rPr>
          <w:rFonts w:ascii="Helvetica" w:hAnsi="Helvetica" w:cs="Helvetica"/>
          <w:kern w:val="0"/>
          <w:sz w:val="22"/>
          <w:szCs w:val="22"/>
        </w:rPr>
        <w:lastRenderedPageBreak/>
        <w:t xml:space="preserve">Furthermore, the council should ensure that information is disseminated in accessible formats, such as Easy Read and large print, while guaranteeing the availability of necessary communication support. </w:t>
      </w:r>
    </w:p>
    <w:p w14:paraId="411259B8"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The council is advised to conduct comprehensive reviews encompassing waiting durations, service-user satisfaction, accessibility to activities, caregiver feedback, and progress toward individual objectives. The implementation of systematic evaluations would facilitate the identification of inefficient services and ensure the prudent allocation of public funds. </w:t>
      </w:r>
    </w:p>
    <w:p w14:paraId="7808CCD8"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273F7410" w14:textId="54CC5A22"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Conclusion </w:t>
      </w:r>
    </w:p>
    <w:p w14:paraId="48544A1A"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A deficiency in community disability services may diminish individual independence, exacerbate the burden on unpaid caregivers, and necessitate a greater reliance on intensive support mechanisms. Consequently, it is recommended that Coventry City Council conduct a comprehensive assessment of local requirements, enhance person-centred provision, provide robust support for caregivers, and foster collaborative partnerships. These measures align with the principles of well-being, prevention, and integration established under the Care Act 2014. Furthermore, by actively engaging disabled residents in the design of services and the monitoring of outcomes, Coventry can facilitate the development of more accessible, inclusive, and effective community support systems. </w:t>
      </w:r>
    </w:p>
    <w:p w14:paraId="37DDD556"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3FABD0B8" w14:textId="195B8C29"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Task 2 </w:t>
      </w:r>
    </w:p>
    <w:p w14:paraId="3D72FA36"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Introduction </w:t>
      </w:r>
    </w:p>
    <w:p w14:paraId="6A3B8C53" w14:textId="5A97C23E"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Pharmacy services are a critical component of the healthcare system in the United Kingdom. They assist patients in safely obtaining medications, comprehending their therapies, and getting health-related guidance. Community pharmacy, hospital pharmacies, and speciality services are all types of pharmacies. This article examines the evolution of pharmacy services throughout history, assesses their current state of operation, and highlights their significance in raising the standard of living for service customers. </w:t>
      </w:r>
    </w:p>
    <w:p w14:paraId="09833F65"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769A203C" w14:textId="0B03A7A8"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Historical Development of Pharmacy Services </w:t>
      </w:r>
    </w:p>
    <w:p w14:paraId="11D39E4D"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Pharmacy has evolved into a professional healthcare service from the manufacturing and distribution of medications. Pharmacists primarily manufactured, provided, and marketed medications during the eighteenth century. They did, however, also offer health advice, especially to those who had limited access to physicians. Since its founding in 1841, the Pharmaceutical Society has contributed to the advancement of pharmacy education and professional standards (Smith, 2007). </w:t>
      </w:r>
    </w:p>
    <w:p w14:paraId="7E6CB73A"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3836FC4D" w14:textId="681CC0CE"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lastRenderedPageBreak/>
        <w:t xml:space="preserve">The establishment of the National Health Service (NHS) in 1948 was a significant accomplishment. The NHS created a system that allowed qualified individuals to obtain prescription medications and improved access to healthcare. The role of chemists in filling prescriptions and helping patients take their medications as prescribed has grown. </w:t>
      </w:r>
    </w:p>
    <w:p w14:paraId="52871E00" w14:textId="321D9CB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Pharmacy services have grown over time to include more than just dispensing. Pharmacists started making additional contributions to public health, such as offering guidance on healthy living, quitting smoking, and sickness prevention. To increase access to primary care, the NHS has recently pushed community pharmacists to offer more clinical services. </w:t>
      </w:r>
    </w:p>
    <w:p w14:paraId="23D2F2E2" w14:textId="0D6FFB1E"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For instance, on January 31, 2024, the Pharmacy First service was launched in England. Through established treatment pathways, it enables participating community pharmacists to evaluate and treat several common diseases (NHS England, 2024). This evolution shows how pharmacy has changed from being primarily concerned with providing medications to being a more comprehensive healthcare provider. </w:t>
      </w:r>
    </w:p>
    <w:p w14:paraId="7E46176B"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1C124957" w14:textId="6AE30F68"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How Pharmacy Services Function Today </w:t>
      </w:r>
    </w:p>
    <w:p w14:paraId="478CA7BB" w14:textId="61FD6F29"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Contemporary pharmaceutical services are conducted within community, hospital, and clinical environments. Community pharmacies are responsible for the dispensing of prescribed medications, the provision of professional guidance regarding over-the-counter products, and the instruction of patients on the appropriate administration of treatments. Within hospital settings, pharmacists facilitate the safe utilization of pharmaceuticals and ensure the continuity and appropriateness of medication regimens during transitions of care. </w:t>
      </w:r>
    </w:p>
    <w:p w14:paraId="28111D04" w14:textId="529E6B82"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Community pharmacies provide an array of public health and clinical services. These offerings vary by location and may encompass blood pressure monitoring, contraceptive services, immunizations, and the management of chronic conditions. Furthermore, the Pharmacy First initiative permits eligible patients to undergo assessment and receive treatment for seven prevalent conditions, contingent upon established clinical criteria and procedural pathways (NHS England, 2024). </w:t>
      </w:r>
    </w:p>
    <w:p w14:paraId="27F9E586" w14:textId="228F3E7C"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A primary advantage is accessibility. Community pharmacies frequently offer services without the requirement of a general practitioner appointment, providing a convenient initial point of contact for minor health concerns. Furthermore, their involvement may alleviate the burden on general practice, enabling physicians to concentrate on patients with more complex clinical requirements. </w:t>
      </w:r>
    </w:p>
    <w:p w14:paraId="14861071" w14:textId="6C5CCFDE"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Nevertheless, pharmacy services encounter significant challenges. Constraints such as staffing shortages, excessive workloads, disruptions in medicine supply, and financial instability may adversely impact the quality and accessibility of care. Consequently, although a pharmacy may ostensibly be accessible, it may prove unable to deliver specific services due to a deficiency in qualified personnel or essential resources. While official data indicates that 10,407 community pharmacies were operational in England as of 31 March 2025—a figure underscoring the substantial scale of the network—this aggregate statistic does not </w:t>
      </w:r>
      <w:r>
        <w:rPr>
          <w:rFonts w:ascii="Helvetica" w:hAnsi="Helvetica" w:cs="Helvetica"/>
          <w:kern w:val="0"/>
          <w:sz w:val="22"/>
          <w:szCs w:val="22"/>
        </w:rPr>
        <w:lastRenderedPageBreak/>
        <w:t xml:space="preserve">reflect the equity of access across individual local areas (NHS Business Services Authority, 2025). </w:t>
      </w:r>
    </w:p>
    <w:p w14:paraId="62EF2C1C" w14:textId="3F9F7A06"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While pharmacy services offer valuable clinical support, they cannot comprehensively substitute for all forms of healthcare. It is an essential professional responsibility for pharmacists to identify when patient presentation warrants referral to general practice, specialist services, or emergency care. As such, robust communication and structured referral pathways between healthcare settings are indispensable. Furthermore, limited access to private consultation spaces may compromise the protection of patient privacy. </w:t>
      </w:r>
    </w:p>
    <w:p w14:paraId="0C7C0EE8"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Additionally, digital systems may streamline prescription administration and communication; however, people with low digital literacy, disabilities, or language difficulties are likely to need additional assistance. It is therefore imperative that pharmacy services uphold inclusive principles and deliver information in accessible forms. Overall, notwithstanding significant evolution within the profession, the efficacy of pharmacy practice depends on adequate funding, appropriate staffing levels, continuing education, and effective partnership working across healthcare disciplines. </w:t>
      </w:r>
    </w:p>
    <w:p w14:paraId="0E54A0DE"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68C18E50" w14:textId="0A14D75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Significance for Service Users’ Quality of Life </w:t>
      </w:r>
    </w:p>
    <w:p w14:paraId="3BDB9F2D" w14:textId="6419141D"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Pharmacy services enhance quality of life by assisting patients in managing illness, using medicines safely, and maintaining independence. Clear guidance regarding dosage, potential side effects, and contraindications or interactions reduces medication errors and strengthens patients’ understanding of their treatment. </w:t>
      </w:r>
    </w:p>
    <w:p w14:paraId="1CB7E794" w14:textId="312597DE"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Pharmacists further support those with chronic conditions by explaining medication management approaches and encouraging adherence to prescribed treatment plans. Proactive advice for minor illnesses can prevent deterioration of health, whereas structured referral pathways enable patients to access additional specialist or general care when clinical need arises. </w:t>
      </w:r>
    </w:p>
    <w:p w14:paraId="53CE81E1" w14:textId="0A3FF8BE"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Accessibility is of especial importance to older people, disabled individuals, and those who face difficulties accessing general practice appointments. Local pharmacies offer conveniently </w:t>
      </w:r>
      <w:proofErr w:type="gramStart"/>
      <w:r>
        <w:rPr>
          <w:rFonts w:ascii="Helvetica" w:hAnsi="Helvetica" w:cs="Helvetica"/>
          <w:kern w:val="0"/>
          <w:sz w:val="22"/>
          <w:szCs w:val="22"/>
        </w:rPr>
        <w:t>situated,</w:t>
      </w:r>
      <w:proofErr w:type="gramEnd"/>
      <w:r>
        <w:rPr>
          <w:rFonts w:ascii="Helvetica" w:hAnsi="Helvetica" w:cs="Helvetica"/>
          <w:kern w:val="0"/>
          <w:sz w:val="22"/>
          <w:szCs w:val="22"/>
        </w:rPr>
        <w:t xml:space="preserve"> readily available support close to patients’ places of residence. Additionally, pharmacy-based public health services facilitate informed decision-making regarding personal health. </w:t>
      </w:r>
    </w:p>
    <w:p w14:paraId="345969A2"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These potential benefits, however, are not universally realised. Access to pharmacy care may be impeded by factors including travel distance, service operating hours, communication barriers, or medication supply constraints. Consequently, the delivery of improved outcomes requires appropriately funded, inclusive, and well-coordinated services aligned with wider National Health Service frameworks. </w:t>
      </w:r>
    </w:p>
    <w:p w14:paraId="65363DF9"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63C3961C"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749F571B" w14:textId="53364360"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lastRenderedPageBreak/>
        <w:t xml:space="preserve">Conclusion </w:t>
      </w:r>
    </w:p>
    <w:p w14:paraId="1FDD9B2D"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The pharmacy profession has transitioned from the traditional preparation and dispensing of medicines to a broader, more integrated healthcare function. Modern services supply medications, deliver clinical advice, and offer public health support, enabling convenient care access and empowering patients to manage their health. While staffing limitations, funding constraints, and inequitable access present ongoing challenges, pharmacies contribute materially to patient safety and wellbeing. Continued investment, professional training, and partnership working are therefore indispensable to ensuring services meet population health needs. </w:t>
      </w:r>
    </w:p>
    <w:p w14:paraId="1396C446"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19F46A61"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 </w:t>
      </w:r>
    </w:p>
    <w:p w14:paraId="50A1C083"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6863410C"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 </w:t>
      </w:r>
    </w:p>
    <w:p w14:paraId="42C352EF"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5A51720A"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 </w:t>
      </w:r>
    </w:p>
    <w:p w14:paraId="0190D3F6"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2C202E2E"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 </w:t>
      </w:r>
    </w:p>
    <w:p w14:paraId="69985BD3"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15078D14"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 </w:t>
      </w:r>
    </w:p>
    <w:p w14:paraId="5DBBE4D9"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0C473599"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 </w:t>
      </w:r>
    </w:p>
    <w:p w14:paraId="22DFDD1D"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3037227B"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074423D9"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4F88A2BE"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4BE1C496"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5108A0FD"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6263DA94"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48BE3B4A"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6883F1B7"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078BD0DF" w14:textId="441158AE"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lastRenderedPageBreak/>
        <w:t xml:space="preserve">Reference List </w:t>
      </w:r>
    </w:p>
    <w:p w14:paraId="19D8B084"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Coventry City Council (n.d.) Adult social care strategies, policies and plans. Available at: </w:t>
      </w:r>
      <w:hyperlink r:id="rId4" w:history="1">
        <w:r>
          <w:rPr>
            <w:rFonts w:ascii="Helvetica" w:hAnsi="Helvetica" w:cs="Helvetica"/>
            <w:kern w:val="0"/>
            <w:sz w:val="22"/>
            <w:szCs w:val="22"/>
          </w:rPr>
          <w:t>https://www.coventry.gov.uk/ASCpolicies</w:t>
        </w:r>
      </w:hyperlink>
      <w:r>
        <w:rPr>
          <w:rFonts w:ascii="Helvetica" w:hAnsi="Helvetica" w:cs="Helvetica"/>
          <w:kern w:val="0"/>
          <w:sz w:val="22"/>
          <w:szCs w:val="22"/>
        </w:rPr>
        <w:t xml:space="preserve"> (Accessed: 08 October 2026). </w:t>
      </w:r>
    </w:p>
    <w:p w14:paraId="28F86B18"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5D313D37"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UK Government (2014) Care Act 2014, Part 1: Care and support. Available at: </w:t>
      </w:r>
      <w:hyperlink r:id="rId5" w:history="1">
        <w:r>
          <w:rPr>
            <w:rFonts w:ascii="Helvetica" w:hAnsi="Helvetica" w:cs="Helvetica"/>
            <w:kern w:val="0"/>
            <w:sz w:val="22"/>
            <w:szCs w:val="22"/>
          </w:rPr>
          <w:t>https://www.legislation.gov.uk/ukpga/2014/23/part/1</w:t>
        </w:r>
      </w:hyperlink>
      <w:r>
        <w:rPr>
          <w:rFonts w:ascii="Helvetica" w:hAnsi="Helvetica" w:cs="Helvetica"/>
          <w:kern w:val="0"/>
          <w:sz w:val="22"/>
          <w:szCs w:val="22"/>
        </w:rPr>
        <w:t xml:space="preserve"> (Accessed: </w:t>
      </w:r>
      <w:proofErr w:type="gramStart"/>
      <w:r>
        <w:rPr>
          <w:rFonts w:ascii="Helvetica" w:hAnsi="Helvetica" w:cs="Helvetica"/>
          <w:kern w:val="0"/>
          <w:sz w:val="22"/>
          <w:szCs w:val="22"/>
        </w:rPr>
        <w:t>08  October</w:t>
      </w:r>
      <w:proofErr w:type="gramEnd"/>
      <w:r>
        <w:rPr>
          <w:rFonts w:ascii="Helvetica" w:hAnsi="Helvetica" w:cs="Helvetica"/>
          <w:kern w:val="0"/>
          <w:sz w:val="22"/>
          <w:szCs w:val="22"/>
        </w:rPr>
        <w:t xml:space="preserve"> 2026). </w:t>
      </w:r>
    </w:p>
    <w:p w14:paraId="45063FBC"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1BC7DBE0"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UK Government (2014) Care and Support Statutory Guidance. Available at: </w:t>
      </w:r>
      <w:hyperlink r:id="rId6" w:history="1">
        <w:r>
          <w:rPr>
            <w:rFonts w:ascii="Helvetica" w:hAnsi="Helvetica" w:cs="Helvetica"/>
            <w:kern w:val="0"/>
            <w:sz w:val="22"/>
            <w:szCs w:val="22"/>
          </w:rPr>
          <w:t>https://www.gov.uk/government/publications/care-act-statutory-guidance/care-and-support-statutory-guidance</w:t>
        </w:r>
      </w:hyperlink>
      <w:r>
        <w:rPr>
          <w:rFonts w:ascii="Helvetica" w:hAnsi="Helvetica" w:cs="Helvetica"/>
          <w:kern w:val="0"/>
          <w:sz w:val="22"/>
          <w:szCs w:val="22"/>
        </w:rPr>
        <w:t xml:space="preserve"> (Accessed: 10 October 2026). </w:t>
      </w:r>
    </w:p>
    <w:p w14:paraId="5D4AEC47"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1E5739B6"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NHS Business Services Authority (2025) General Pharmaceutical Services in England 2015/16–2024/25. Available at: </w:t>
      </w:r>
      <w:hyperlink r:id="rId7" w:history="1">
        <w:r>
          <w:rPr>
            <w:rFonts w:ascii="Helvetica" w:hAnsi="Helvetica" w:cs="Helvetica"/>
            <w:kern w:val="0"/>
            <w:sz w:val="22"/>
            <w:szCs w:val="22"/>
          </w:rPr>
          <w:t>https://www.nhsbsa.nhs.uk/statistical-collections/general-pharmaceutical-services-england/general-pharmaceutical-services-england-201516-202425</w:t>
        </w:r>
      </w:hyperlink>
      <w:r>
        <w:rPr>
          <w:rFonts w:ascii="Helvetica" w:hAnsi="Helvetica" w:cs="Helvetica"/>
          <w:kern w:val="0"/>
          <w:sz w:val="22"/>
          <w:szCs w:val="22"/>
        </w:rPr>
        <w:t xml:space="preserve"> (Accessed: 12 October 2026).  </w:t>
      </w:r>
    </w:p>
    <w:p w14:paraId="134DAD66"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2601D0F6"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NHS England (2024) Pharmacy First. Available at: </w:t>
      </w:r>
      <w:hyperlink r:id="rId8" w:history="1">
        <w:r>
          <w:rPr>
            <w:rFonts w:ascii="Helvetica" w:hAnsi="Helvetica" w:cs="Helvetica"/>
            <w:kern w:val="0"/>
            <w:sz w:val="22"/>
            <w:szCs w:val="22"/>
          </w:rPr>
          <w:t>https://www.england.nhs.uk/primary-care/pharmacy/pharmacy-services/pharmacy-first/</w:t>
        </w:r>
      </w:hyperlink>
      <w:r>
        <w:rPr>
          <w:rFonts w:ascii="Helvetica" w:hAnsi="Helvetica" w:cs="Helvetica"/>
          <w:kern w:val="0"/>
          <w:sz w:val="22"/>
          <w:szCs w:val="22"/>
        </w:rPr>
        <w:t xml:space="preserve"> (Accessed: 12 October 2026). </w:t>
      </w:r>
    </w:p>
    <w:p w14:paraId="2EBA3BF8"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399B6153"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Smith, M. (2007) ‘Community pharmacy and public health in Great Britain, 1936 to 2006: how a phoenix rose from the ashes’, Journal of Epidemiology and Community Health, 61(10), pp. 844–848. Available at: </w:t>
      </w:r>
      <w:hyperlink r:id="rId9" w:history="1">
        <w:r>
          <w:rPr>
            <w:rFonts w:ascii="Helvetica" w:hAnsi="Helvetica" w:cs="Helvetica"/>
            <w:kern w:val="0"/>
            <w:sz w:val="22"/>
            <w:szCs w:val="22"/>
          </w:rPr>
          <w:t>https://jech.bmj.com/content/61/10/844</w:t>
        </w:r>
      </w:hyperlink>
      <w:r>
        <w:rPr>
          <w:rFonts w:ascii="Helvetica" w:hAnsi="Helvetica" w:cs="Helvetica"/>
          <w:kern w:val="0"/>
          <w:sz w:val="22"/>
          <w:szCs w:val="22"/>
        </w:rPr>
        <w:t xml:space="preserve"> (Accessed: 13 October 2026). </w:t>
      </w:r>
    </w:p>
    <w:p w14:paraId="18F18AE4"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p>
    <w:p w14:paraId="056A0939" w14:textId="77777777" w:rsidR="00915A03" w:rsidRDefault="00915A03" w:rsidP="00915A03">
      <w:pPr>
        <w:autoSpaceDE w:val="0"/>
        <w:autoSpaceDN w:val="0"/>
        <w:adjustRightInd w:val="0"/>
        <w:spacing w:after="200" w:line="276" w:lineRule="auto"/>
        <w:rPr>
          <w:rFonts w:ascii="Helvetica" w:hAnsi="Helvetica" w:cs="Helvetica"/>
          <w:kern w:val="0"/>
          <w:sz w:val="22"/>
          <w:szCs w:val="22"/>
        </w:rPr>
      </w:pPr>
      <w:r>
        <w:rPr>
          <w:rFonts w:ascii="Helvetica" w:hAnsi="Helvetica" w:cs="Helvetica"/>
          <w:kern w:val="0"/>
          <w:sz w:val="22"/>
          <w:szCs w:val="22"/>
        </w:rPr>
        <w:t xml:space="preserve">Department of Health and Social Care (2025) Community Pharmacy Contractual Framework: 2024 to 2025 and 2025 to 2026. Available at: </w:t>
      </w:r>
      <w:hyperlink r:id="rId10" w:history="1">
        <w:r>
          <w:rPr>
            <w:rFonts w:ascii="Helvetica" w:hAnsi="Helvetica" w:cs="Helvetica"/>
            <w:kern w:val="0"/>
            <w:sz w:val="22"/>
            <w:szCs w:val="22"/>
          </w:rPr>
          <w:t>https://www.gov.uk/government/publications/community-pharmacy-contractual-framework-2024-to-2025-and-2025-to-2026</w:t>
        </w:r>
      </w:hyperlink>
      <w:r>
        <w:rPr>
          <w:rFonts w:ascii="Helvetica" w:hAnsi="Helvetica" w:cs="Helvetica"/>
          <w:kern w:val="0"/>
          <w:sz w:val="22"/>
          <w:szCs w:val="22"/>
        </w:rPr>
        <w:t xml:space="preserve"> (Accessed: 14 October 2026). </w:t>
      </w:r>
    </w:p>
    <w:p w14:paraId="4E981490" w14:textId="77777777" w:rsidR="00915A03" w:rsidRDefault="00915A03" w:rsidP="00915A03"/>
    <w:p w14:paraId="47570CA6" w14:textId="77777777" w:rsidR="00915A03" w:rsidRPr="00915A03" w:rsidRDefault="00915A03" w:rsidP="00915A03"/>
    <w:sectPr w:rsidR="00915A03" w:rsidRPr="00915A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A03"/>
    <w:rsid w:val="00915A03"/>
    <w:rsid w:val="00983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DD5F8F"/>
  <w15:chartTrackingRefBased/>
  <w15:docId w15:val="{25FD56D8-F498-E34B-B366-C9AAB04C4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A03"/>
  </w:style>
  <w:style w:type="paragraph" w:styleId="Heading1">
    <w:name w:val="heading 1"/>
    <w:basedOn w:val="Normal"/>
    <w:next w:val="Normal"/>
    <w:link w:val="Heading1Char"/>
    <w:uiPriority w:val="9"/>
    <w:qFormat/>
    <w:rsid w:val="00915A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5A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5A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5A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5A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5A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A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A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A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A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5A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5A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5A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5A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5A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A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A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A03"/>
    <w:rPr>
      <w:rFonts w:eastAsiaTheme="majorEastAsia" w:cstheme="majorBidi"/>
      <w:color w:val="272727" w:themeColor="text1" w:themeTint="D8"/>
    </w:rPr>
  </w:style>
  <w:style w:type="paragraph" w:styleId="Title">
    <w:name w:val="Title"/>
    <w:basedOn w:val="Normal"/>
    <w:next w:val="Normal"/>
    <w:link w:val="TitleChar"/>
    <w:uiPriority w:val="10"/>
    <w:qFormat/>
    <w:rsid w:val="00915A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A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A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A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A03"/>
    <w:pPr>
      <w:spacing w:before="160"/>
      <w:jc w:val="center"/>
    </w:pPr>
    <w:rPr>
      <w:i/>
      <w:iCs/>
      <w:color w:val="404040" w:themeColor="text1" w:themeTint="BF"/>
    </w:rPr>
  </w:style>
  <w:style w:type="character" w:customStyle="1" w:styleId="QuoteChar">
    <w:name w:val="Quote Char"/>
    <w:basedOn w:val="DefaultParagraphFont"/>
    <w:link w:val="Quote"/>
    <w:uiPriority w:val="29"/>
    <w:rsid w:val="00915A03"/>
    <w:rPr>
      <w:i/>
      <w:iCs/>
      <w:color w:val="404040" w:themeColor="text1" w:themeTint="BF"/>
    </w:rPr>
  </w:style>
  <w:style w:type="paragraph" w:styleId="ListParagraph">
    <w:name w:val="List Paragraph"/>
    <w:basedOn w:val="Normal"/>
    <w:uiPriority w:val="34"/>
    <w:qFormat/>
    <w:rsid w:val="00915A03"/>
    <w:pPr>
      <w:ind w:left="720"/>
      <w:contextualSpacing/>
    </w:pPr>
  </w:style>
  <w:style w:type="character" w:styleId="IntenseEmphasis">
    <w:name w:val="Intense Emphasis"/>
    <w:basedOn w:val="DefaultParagraphFont"/>
    <w:uiPriority w:val="21"/>
    <w:qFormat/>
    <w:rsid w:val="00915A03"/>
    <w:rPr>
      <w:i/>
      <w:iCs/>
      <w:color w:val="0F4761" w:themeColor="accent1" w:themeShade="BF"/>
    </w:rPr>
  </w:style>
  <w:style w:type="paragraph" w:styleId="IntenseQuote">
    <w:name w:val="Intense Quote"/>
    <w:basedOn w:val="Normal"/>
    <w:next w:val="Normal"/>
    <w:link w:val="IntenseQuoteChar"/>
    <w:uiPriority w:val="30"/>
    <w:qFormat/>
    <w:rsid w:val="00915A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5A03"/>
    <w:rPr>
      <w:i/>
      <w:iCs/>
      <w:color w:val="0F4761" w:themeColor="accent1" w:themeShade="BF"/>
    </w:rPr>
  </w:style>
  <w:style w:type="character" w:styleId="IntenseReference">
    <w:name w:val="Intense Reference"/>
    <w:basedOn w:val="DefaultParagraphFont"/>
    <w:uiPriority w:val="32"/>
    <w:qFormat/>
    <w:rsid w:val="00915A0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rimary-care/pharmacy/pharmacy-services/pharmacy-first/" TargetMode="External"/><Relationship Id="rId3" Type="http://schemas.openxmlformats.org/officeDocument/2006/relationships/webSettings" Target="webSettings.xml"/><Relationship Id="rId7" Type="http://schemas.openxmlformats.org/officeDocument/2006/relationships/hyperlink" Target="https://www.nhsbsa.nhs.uk/statistical-collections/general-pharmaceutical-services-england/general-pharmaceutical-services-england-201516-20242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care-act-statutory-guidance/care-and-support-statutory-guidance" TargetMode="External"/><Relationship Id="rId11" Type="http://schemas.openxmlformats.org/officeDocument/2006/relationships/fontTable" Target="fontTable.xml"/><Relationship Id="rId5" Type="http://schemas.openxmlformats.org/officeDocument/2006/relationships/hyperlink" Target="https://www.legislation.gov.uk/ukpga/2014/23/part/1" TargetMode="External"/><Relationship Id="rId10" Type="http://schemas.openxmlformats.org/officeDocument/2006/relationships/hyperlink" Target="https://www.gov.uk/government/publications/community-pharmacy-contractual-framework-2024-to-2025-and-2025-to-2026" TargetMode="External"/><Relationship Id="rId4" Type="http://schemas.openxmlformats.org/officeDocument/2006/relationships/hyperlink" Target="https://www.coventry.gov.uk/ASCpolicies" TargetMode="External"/><Relationship Id="rId9" Type="http://schemas.openxmlformats.org/officeDocument/2006/relationships/hyperlink" Target="https://jech.bmj.com/content/61/10/8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2420</Words>
  <Characters>13798</Characters>
  <Application>Microsoft Office Word</Application>
  <DocSecurity>0</DocSecurity>
  <Lines>114</Lines>
  <Paragraphs>32</Paragraphs>
  <ScaleCrop>false</ScaleCrop>
  <Company/>
  <LinksUpToDate>false</LinksUpToDate>
  <CharactersWithSpaces>16186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Fezhan Aziz</dc:creator>
  <cp:keywords/>
  <dc:description/>
  <cp:lastModifiedBy>Fezhan Aziz</cp:lastModifiedBy>
  <cp:revision>1</cp:revision>
  <dcterms:created xsi:type="dcterms:W3CDTF">2026-10-19T08:43:00Z</dcterms:created>
  <dcterms:modified xsi:type="dcterms:W3CDTF">2026-10-19T08:49:00Z</dcterms:modified>
</cp:coreProperties>
</file>