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52CDB" w14:textId="791F0201" w:rsidR="00E33468" w:rsidRDefault="003B33EB" w:rsidP="003B33EB">
      <w:pPr>
        <w:jc w:val="center"/>
        <w:rPr>
          <w:sz w:val="24"/>
          <w:szCs w:val="24"/>
          <w:u w:val="single"/>
        </w:rPr>
      </w:pPr>
      <w:r w:rsidRPr="003B33EB">
        <w:rPr>
          <w:sz w:val="24"/>
          <w:szCs w:val="24"/>
          <w:u w:val="single"/>
        </w:rPr>
        <w:t>Shareholder Protection and Ownership Structure: Explaining Divergence Between Anglo-Saxon and Rhineland Corporate Governance Models</w:t>
      </w:r>
    </w:p>
    <w:p w14:paraId="69DB7CA6" w14:textId="77777777" w:rsidR="003B33EB" w:rsidRDefault="003B33EB" w:rsidP="003B33EB">
      <w:pPr>
        <w:jc w:val="center"/>
        <w:rPr>
          <w:sz w:val="24"/>
          <w:szCs w:val="24"/>
          <w:u w:val="single"/>
        </w:rPr>
      </w:pPr>
    </w:p>
    <w:p w14:paraId="41177F03" w14:textId="398AA4B3" w:rsidR="003B33EB" w:rsidRDefault="003B33EB" w:rsidP="003B33EB">
      <w:r w:rsidRPr="003B33EB">
        <w:t xml:space="preserve">Advanced capitalist economies differ significantly in their corporate governance structures, most notably between the Rhineland and Anglo-Saxon models. The Rhineland model is linked to concentrated ownership, insider control, and long-term relationships between businesses, banks, and stakeholders, whereas the Anglo-Saxon model is generally characterized by dispersed share ownership and active capital markets. One of the main issues in international political economics has been </w:t>
      </w:r>
      <w:r>
        <w:t>explaining</w:t>
      </w:r>
      <w:r w:rsidRPr="003B33EB">
        <w:t xml:space="preserve"> why these disparate systems continue to exist.</w:t>
      </w:r>
    </w:p>
    <w:p w14:paraId="5953BFEA" w14:textId="77777777" w:rsidR="003B33EB" w:rsidRDefault="003B33EB" w:rsidP="003B33EB">
      <w:r w:rsidRPr="003B33EB">
        <w:t>One influential explanation attributes these differences to variation in shareholder protection. This viewpoint holds that greater legal protection for minority shareholders promotes broader involvement in stock markets by lowering the risk of expropriation and enabling distributed ownership. On the other hand, weakened shareholder protection encourages ownership concentration as a stand-in governance mechanism and deters outside investment. According to this theory, which was most widely put forth by La Porta and associates, legal institutions are crucial in determining company ownership patterns in various nations.</w:t>
      </w:r>
    </w:p>
    <w:p w14:paraId="00ECAA65" w14:textId="77777777" w:rsidR="003B33EB" w:rsidRDefault="003B33EB" w:rsidP="003B33EB">
      <w:r w:rsidRPr="003B33EB">
        <w:t xml:space="preserve">This essay argues that while divergent shareholder protection explains a significant proportion of the variation in ownership structures between Anglo-Saxon and Rhineland corporate governance models, it does not provide a complete explanation. Ownership structures are influenced by larger political, institutional, and regulatory circumstances in addition to legal regulations. Specifically, how shareholder protection functions in practice depends on variations in labour relations, regulatory design, and the allocation of control rights. </w:t>
      </w:r>
      <w:proofErr w:type="gramStart"/>
      <w:r w:rsidRPr="003B33EB">
        <w:t>In order to</w:t>
      </w:r>
      <w:proofErr w:type="gramEnd"/>
      <w:r w:rsidRPr="003B33EB">
        <w:t xml:space="preserve"> show that each model represents unique trade-offs rather than a universally ideal form of corporate governance, the essay critically evaluates the explanatory power of shareholder protection and illustrates the theories that both support and challenge dispersed and concentrated ownership structures.</w:t>
      </w:r>
    </w:p>
    <w:p w14:paraId="0BEBDCEC" w14:textId="77777777" w:rsidR="003752C0" w:rsidRDefault="003752C0" w:rsidP="003B33EB"/>
    <w:p w14:paraId="28675BB3" w14:textId="77777777" w:rsidR="00B00B7C" w:rsidRPr="007A5714" w:rsidRDefault="003752C0" w:rsidP="003752C0">
      <w:r w:rsidRPr="003752C0">
        <w:t>In established capitalist economies, corporate governance models have evolved along specific institutional lines, with the Anglo-Saxon and Rhineland systems serving as the most notable examples. These models vary not only in how they handle corporate control but also in their underlying ownership structures, financial structures, and systems for monitoring managerial behaviour. Ownership structure lies at the centre of these differences, shaping how firms are financed, governed, and disciplined.</w:t>
      </w:r>
      <w:r w:rsidR="00B00B7C" w:rsidRPr="007A5714">
        <w:t xml:space="preserve"> </w:t>
      </w:r>
    </w:p>
    <w:p w14:paraId="00FC1169" w14:textId="45B0BD9F" w:rsidR="003752C0" w:rsidRPr="007A5714" w:rsidRDefault="003752C0" w:rsidP="003752C0">
      <w:r w:rsidRPr="003752C0">
        <w:t>The Anglo-Saxon model, commonly associated with the United Kingdom and the United States, is characterised by dispersed share ownership and a market-based system of finance.</w:t>
      </w:r>
      <w:r w:rsidR="00B00B7C" w:rsidRPr="007A5714">
        <w:t xml:space="preserve"> </w:t>
      </w:r>
      <w:r w:rsidRPr="003752C0">
        <w:t xml:space="preserve">Firms primarily raise capital through the bond and equity markets, which leads to </w:t>
      </w:r>
      <w:proofErr w:type="gramStart"/>
      <w:r w:rsidRPr="003752C0">
        <w:t>a large number of</w:t>
      </w:r>
      <w:proofErr w:type="gramEnd"/>
      <w:r w:rsidRPr="003752C0">
        <w:t xml:space="preserve"> shareholders with comparatively tiny individual interests. In this system, corporate control is mostly externalised, and market mechanisms like share price fluctuations and the market for corporate control are used to enforce management discipline.</w:t>
      </w:r>
      <w:r w:rsidR="00B00B7C" w:rsidRPr="007A5714">
        <w:rPr>
          <w:rStyle w:val="FootnoteReference"/>
        </w:rPr>
        <w:footnoteReference w:id="1"/>
      </w:r>
      <w:r w:rsidRPr="007A5714">
        <w:t xml:space="preserve"> </w:t>
      </w:r>
      <w:r w:rsidRPr="003752C0">
        <w:t xml:space="preserve">In particular, the possibility of hostile takeovers is frequently seen as a crucial governance tool that encourages managers to </w:t>
      </w:r>
      <w:r w:rsidRPr="003752C0">
        <w:lastRenderedPageBreak/>
        <w:t>behave in the best interests of shareholders. Strong shareholder rights, substantial liquidity, and a focus on maximising shareholder wealth are generally linked to this structure.</w:t>
      </w:r>
      <w:r w:rsidR="00B00B7C" w:rsidRPr="007A5714">
        <w:rPr>
          <w:rStyle w:val="FootnoteReference"/>
        </w:rPr>
        <w:footnoteReference w:id="2"/>
      </w:r>
    </w:p>
    <w:p w14:paraId="3DAC136B" w14:textId="1B55265A" w:rsidR="007A5714" w:rsidRPr="007A5714" w:rsidRDefault="007A5714" w:rsidP="007A5714">
      <w:r w:rsidRPr="007A5714">
        <w:t>In contrast, the Rhineland model, commonly linked to countries such as Germany and the Netherlands, is associated with concentrated ownership and an insider-based system of corporate control. Firms rely more heavily on long-term bank finance and stable ownership structures, often involving families, industrial firms, or financial institutions holding large share blocks.</w:t>
      </w:r>
      <w:r w:rsidRPr="007A5714">
        <w:rPr>
          <w:rStyle w:val="FootnoteReference"/>
        </w:rPr>
        <w:footnoteReference w:id="3"/>
      </w:r>
      <w:r w:rsidRPr="007A5714">
        <w:t> Corporate governance within this model emphasises internal monitoring rather than market discipline, with control exercised through close relationships between owners, managers, banks, and employees. Institutional arrangements such as two-tier board structures and codetermination further embed stakeholder participation within corporate decision-making, reflecting a broader conception of the firm’s role within society.</w:t>
      </w:r>
      <w:r w:rsidRPr="007A5714">
        <w:rPr>
          <w:rStyle w:val="FootnoteReference"/>
        </w:rPr>
        <w:footnoteReference w:id="4"/>
      </w:r>
    </w:p>
    <w:p w14:paraId="2ECBE3EC" w14:textId="77777777" w:rsidR="007A5714" w:rsidRDefault="007A5714" w:rsidP="007A5714">
      <w:r w:rsidRPr="007A5714">
        <w:t xml:space="preserve">These contrasting ownership structures are not simply the result of firm-level choices but reflect coherent institutional systems shaped by legal, political, and economic factors. Dispersed ownership in the Anglo-Saxon model facilitates liquidity and capital mobility but weakens direct monitoring, while concentrated ownership in the Rhineland model strengthens control at the potential cost of minority shareholder protection. Understanding why </w:t>
      </w:r>
      <w:proofErr w:type="gramStart"/>
      <w:r w:rsidRPr="007A5714">
        <w:t>these ownership</w:t>
      </w:r>
      <w:proofErr w:type="gramEnd"/>
      <w:r w:rsidRPr="007A5714">
        <w:t xml:space="preserve"> patterns persist therefore requires an examination of the institutional conditions that support them, most notably the role of shareholder protection in shaping incentives for external investment and control.</w:t>
      </w:r>
    </w:p>
    <w:p w14:paraId="12F15B23" w14:textId="77777777" w:rsidR="00377659" w:rsidRDefault="00377659" w:rsidP="007A5714"/>
    <w:p w14:paraId="244ECB19" w14:textId="773025AD" w:rsidR="00377659" w:rsidRDefault="00377659" w:rsidP="00377659">
      <w:r w:rsidRPr="00377659">
        <w:t>One of the most influential explanations for cross-national variation in ownership structures centres on differences in shareholder protection. The supporters of this argument contend that patterns of corporate ownership and control are essentially shaped by the degree to which legal systems shield minority shareholders from insider expropriation.</w:t>
      </w:r>
      <w:r w:rsidR="00130E6C">
        <w:rPr>
          <w:rStyle w:val="FootnoteReference"/>
        </w:rPr>
        <w:footnoteReference w:id="5"/>
      </w:r>
      <w:r w:rsidRPr="00377659">
        <w:t> Deep equity markets and distributed ownership are made possible by outside investors who are more likely to provide capital when investor rights are sufficiently protected and successfully upheld. Conversely, where such protections are weak, ownership concentration emerges as a substitute mechanism for safeguarding control and monitoring managers.</w:t>
      </w:r>
    </w:p>
    <w:p w14:paraId="39C0724F" w14:textId="12A70E3C" w:rsidR="00130E6C" w:rsidRDefault="00130E6C" w:rsidP="00130E6C">
      <w:r w:rsidRPr="00130E6C">
        <w:t xml:space="preserve">This argument is most prominently associated with the legal </w:t>
      </w:r>
      <w:proofErr w:type="gramStart"/>
      <w:r w:rsidRPr="00130E6C">
        <w:t>origins</w:t>
      </w:r>
      <w:proofErr w:type="gramEnd"/>
      <w:r w:rsidRPr="00130E6C">
        <w:t xml:space="preserve"> literature developed by La Porta and colleagues. Their viewpoint holds that the historical evolution of legal traditions</w:t>
      </w:r>
      <w:r>
        <w:t xml:space="preserve">, </w:t>
      </w:r>
      <w:r w:rsidRPr="00130E6C">
        <w:t>particularly the difference between common law and civil law systems</w:t>
      </w:r>
      <w:r>
        <w:t xml:space="preserve">, </w:t>
      </w:r>
      <w:r w:rsidRPr="00130E6C">
        <w:t>is reflected in national corporate governance systems.</w:t>
      </w:r>
      <w:r>
        <w:rPr>
          <w:rStyle w:val="FootnoteReference"/>
        </w:rPr>
        <w:footnoteReference w:id="6"/>
      </w:r>
      <w:r w:rsidRPr="00130E6C">
        <w:t> It is stated that common law nations, like the US and the UK, offer minority shareholders more robust legal protection through flexible case-based legal frameworks, strict disclosure regulations, and more opportunities for legal action against managerial malfeasance. By lowering the risks external investors confront, these safeguards promote wider involvement in the equity markets and facilitate distributed ownership arrangements.</w:t>
      </w:r>
    </w:p>
    <w:p w14:paraId="1BDD5404" w14:textId="4657C621" w:rsidR="00F96FC3" w:rsidRDefault="00130E6C" w:rsidP="00F96FC3">
      <w:r w:rsidRPr="00130E6C">
        <w:t xml:space="preserve">In contrast, civil law systems, especially those that are derived from French legal tradition, are distinguished by less effective enforcement procedures and a lower protection for minority </w:t>
      </w:r>
      <w:r w:rsidRPr="00130E6C">
        <w:lastRenderedPageBreak/>
        <w:t>shareholders.</w:t>
      </w:r>
      <w:r>
        <w:rPr>
          <w:rStyle w:val="FootnoteReference"/>
        </w:rPr>
        <w:footnoteReference w:id="7"/>
      </w:r>
      <w:r>
        <w:t xml:space="preserve"> </w:t>
      </w:r>
      <w:r w:rsidRPr="00130E6C">
        <w:t>Dispersed ownership is unappealing under these situations because external investors are more vulnerable to expropriation by controlling shareholders or managers. Because of this, companies that operate in these systems typically have concentrated ownership structures, with large shareholders maintaining significant influence to monitor management and safeguard their capital. Therefore, concentrated ownership is not an indication of ineffective governance but rather a logical reaction to inadequate legal protection.</w:t>
      </w:r>
      <w:r w:rsidR="00F96FC3">
        <w:t xml:space="preserve"> </w:t>
      </w:r>
      <w:proofErr w:type="gramStart"/>
      <w:r w:rsidR="00F96FC3" w:rsidRPr="00F96FC3">
        <w:t>Furthermore</w:t>
      </w:r>
      <w:proofErr w:type="gramEnd"/>
      <w:r w:rsidR="00F96FC3" w:rsidRPr="00F96FC3">
        <w:t>, La Porta et al. contend that these variations in shareholder protection have wider ramifications for the advancement of finance. Larger and more liquid capital markets, more listed companies, and a stronger reliance on equity financing are characteristics of nations with robust investor safeguards, whereas those with inadequate protections are more dependent on internal funding and long-term bank connections</w:t>
      </w:r>
      <w:r w:rsidR="00F96FC3">
        <w:t>.</w:t>
      </w:r>
      <w:r w:rsidR="00F96FC3">
        <w:rPr>
          <w:rStyle w:val="FootnoteReference"/>
        </w:rPr>
        <w:footnoteReference w:id="8"/>
      </w:r>
      <w:r w:rsidR="00F96FC3">
        <w:t xml:space="preserve"> </w:t>
      </w:r>
      <w:r w:rsidR="00F96FC3" w:rsidRPr="00F96FC3">
        <w:t>Therefore, in this paradigm, ownership structure is not a stand-alone variable but rather a component of a larger institutional configuration that connects corporate control, finance, and law.</w:t>
      </w:r>
    </w:p>
    <w:p w14:paraId="062E72B1" w14:textId="77777777" w:rsidR="00F96FC3" w:rsidRDefault="00F96FC3" w:rsidP="00F96FC3">
      <w:r w:rsidRPr="00F96FC3">
        <w:t>The legal origins explanation offers a compelling and sparse account of why Anglo-Saxon economies tend towards dispersed ownership while Rhineland economies display concentrated ownership. Its explanatory power, however, depends on the idea that laws function consistently in various political and regulatory environments. As subsequent sections will demonstrate, variations in regulatory design, enforcement, and political priorities complicate this picture, suggesting that shareholder protection, while significant, cannot alone account for the persistence of divergent ownership structures.</w:t>
      </w:r>
    </w:p>
    <w:p w14:paraId="4685E12F" w14:textId="77777777" w:rsidR="002B3CC8" w:rsidRDefault="002B3CC8" w:rsidP="00F96FC3"/>
    <w:p w14:paraId="521E4AFD" w14:textId="460BDC08" w:rsidR="002B3CC8" w:rsidRDefault="002B3CC8" w:rsidP="002B3CC8">
      <w:r w:rsidRPr="002B3CC8">
        <w:t xml:space="preserve">While the legal origins framework provides a persuasive account of cross-national variation in ownership structures, subsequent research has demonstrated that legal origin alone cannot fully explain observed differences between Anglo-Saxon and Rhineland corporate governance systems. The relationship between formal legal norms and ownership outcomes is complicated by differences in regulatory design and implementation, which </w:t>
      </w:r>
      <w:r w:rsidRPr="002B3CC8">
        <w:t>influence</w:t>
      </w:r>
      <w:r>
        <w:t>s</w:t>
      </w:r>
      <w:r w:rsidRPr="002B3CC8">
        <w:t xml:space="preserve"> how shareholder protection functions in practice.</w:t>
      </w:r>
    </w:p>
    <w:p w14:paraId="5903FB5D" w14:textId="3162DF71" w:rsidR="002B3CC8" w:rsidRPr="002B3CC8" w:rsidRDefault="002B3CC8" w:rsidP="002B3CC8">
      <w:r w:rsidRPr="002B3CC8">
        <w:t xml:space="preserve">Goergen and </w:t>
      </w:r>
      <w:proofErr w:type="spellStart"/>
      <w:r w:rsidRPr="002B3CC8">
        <w:t>Renneboog’s</w:t>
      </w:r>
      <w:proofErr w:type="spellEnd"/>
      <w:r w:rsidRPr="002B3CC8">
        <w:t xml:space="preserve"> comparative analysis of the United Kingdom and Germany offers an important qualification of the legal </w:t>
      </w:r>
      <w:proofErr w:type="gramStart"/>
      <w:r w:rsidRPr="002B3CC8">
        <w:t>origins</w:t>
      </w:r>
      <w:proofErr w:type="gramEnd"/>
      <w:r w:rsidRPr="002B3CC8">
        <w:t xml:space="preserve"> explanation. Despite the differences between the two nations' legal systems and protections for minority shareholders, the authors show that </w:t>
      </w:r>
      <w:r w:rsidR="006A7466" w:rsidRPr="002B3CC8">
        <w:t>regulatory</w:t>
      </w:r>
      <w:r w:rsidRPr="002B3CC8">
        <w:t xml:space="preserve"> frameworks, especially those related to takeover thresholds and control rights, have a significant impact on ownership concentration.</w:t>
      </w:r>
      <w:r>
        <w:rPr>
          <w:rStyle w:val="FootnoteReference"/>
        </w:rPr>
        <w:footnoteReference w:id="9"/>
      </w:r>
      <w:r>
        <w:t xml:space="preserve"> </w:t>
      </w:r>
      <w:r w:rsidRPr="002B3CC8">
        <w:t>In the United Kingdom, relatively low mandatory bid thresholds and strong takeover regulation discourage the accumulation of large controlling stakes, reinforcing dispersed ownership and an active market for corporate control. In contrast, German takeover laws have long encouraged concentrated ownership as a strategy for gaining control by permitting controlling shareholders to cling onto sizable blocks without requiring bids.</w:t>
      </w:r>
      <w:r>
        <w:rPr>
          <w:rStyle w:val="FootnoteReference"/>
        </w:rPr>
        <w:footnoteReference w:id="10"/>
      </w:r>
    </w:p>
    <w:p w14:paraId="69D843DC" w14:textId="21D5870F" w:rsidR="00EA5D67" w:rsidRDefault="006A7466" w:rsidP="00EA5D67">
      <w:r w:rsidRPr="006A7466">
        <w:t xml:space="preserve">The allocation of power and private gains </w:t>
      </w:r>
      <w:proofErr w:type="gramStart"/>
      <w:r w:rsidRPr="006A7466">
        <w:t>are</w:t>
      </w:r>
      <w:proofErr w:type="gramEnd"/>
      <w:r w:rsidRPr="006A7466">
        <w:t xml:space="preserve"> significantly impacted by this regulatory divergence. Goergen and </w:t>
      </w:r>
      <w:proofErr w:type="spellStart"/>
      <w:r w:rsidRPr="006A7466">
        <w:t>Renneboog</w:t>
      </w:r>
      <w:proofErr w:type="spellEnd"/>
      <w:r w:rsidRPr="006A7466">
        <w:t xml:space="preserve"> demonstrate that in Germany, ownership concentration is linked to greater private benefits of control, which reflects fewer options for external discipline </w:t>
      </w:r>
      <w:r w:rsidRPr="006A7466">
        <w:lastRenderedPageBreak/>
        <w:t>through takeover markets and less protection for minority shareholders.</w:t>
      </w:r>
      <w:r>
        <w:rPr>
          <w:rStyle w:val="FootnoteReference"/>
        </w:rPr>
        <w:footnoteReference w:id="11"/>
      </w:r>
      <w:r>
        <w:t xml:space="preserve"> </w:t>
      </w:r>
      <w:r w:rsidRPr="006A7466">
        <w:t xml:space="preserve">In this situation, concentrated ownership is a logical tactic influenced by regulatory laws that incentivise insider control and </w:t>
      </w:r>
      <w:r w:rsidRPr="006A7466">
        <w:t>block holding</w:t>
      </w:r>
      <w:r w:rsidRPr="006A7466">
        <w:t>, rather than just a reaction to</w:t>
      </w:r>
      <w:r>
        <w:t xml:space="preserve"> weak</w:t>
      </w:r>
      <w:r w:rsidRPr="006A7466">
        <w:t xml:space="preserve"> legal protection. The persistence of such structures therefore reflects regulatory incentives rather than legal origin alone.</w:t>
      </w:r>
      <w:r w:rsidR="00EA5D67">
        <w:t xml:space="preserve"> </w:t>
      </w:r>
      <w:r w:rsidR="00EA5D67" w:rsidRPr="00EA5D67">
        <w:t>Crucially, this research implies that shareholder protection should be viewed as a multifaceted notion that includes formal legal rights as well as regulatory frameworks and enforcement mechanisms. If corporate control regulations differ, nations with comparable legal traditions may yet display different ownership patterns.</w:t>
      </w:r>
      <w:r w:rsidR="00EA5D67">
        <w:t xml:space="preserve"> </w:t>
      </w:r>
      <w:r w:rsidR="00EA5D67" w:rsidRPr="00EA5D67">
        <w:t>This insight challenges deterministic interpretations of the legal origins thesis and underscores the importance of examining how law is operationalised within specific institutional contexts.</w:t>
      </w:r>
    </w:p>
    <w:p w14:paraId="7C3A257B" w14:textId="77777777" w:rsidR="00EA5D67" w:rsidRPr="00EA5D67" w:rsidRDefault="00EA5D67" w:rsidP="00EA5D67">
      <w:r w:rsidRPr="00EA5D67">
        <w:t xml:space="preserve">Goergen and </w:t>
      </w:r>
      <w:proofErr w:type="spellStart"/>
      <w:r w:rsidRPr="00EA5D67">
        <w:t>Renneboog</w:t>
      </w:r>
      <w:proofErr w:type="spellEnd"/>
      <w:r w:rsidRPr="00EA5D67">
        <w:t xml:space="preserve"> support rather than contradict the larger institutional approach to corporate governance through demonstrating how regulatory design mediates the relationship between ownership structure and shareholder protection. According to their findings, shareholder protection is still an important explanatory factor, but its impacts depend on complementary regulatory frameworks. Thus, ownership arrangements in the Rhineland and Anglo-Saxon systems reflect intentional regulatory decisions that influence incentives for investment and control in addition to variations in legal origin.</w:t>
      </w:r>
    </w:p>
    <w:p w14:paraId="16D93364" w14:textId="77777777" w:rsidR="00EA5D67" w:rsidRDefault="00EA5D67" w:rsidP="00EA5D67"/>
    <w:p w14:paraId="7B99A36B" w14:textId="77777777" w:rsidR="00074766" w:rsidRDefault="00074766" w:rsidP="00074766">
      <w:r w:rsidRPr="00074766">
        <w:t xml:space="preserve">Although shareholder protection provides a powerful explanation for cross-national variation in ownership structures, treating it as a </w:t>
      </w:r>
      <w:proofErr w:type="gramStart"/>
      <w:r w:rsidRPr="00074766">
        <w:t>standalone determinant risks</w:t>
      </w:r>
      <w:proofErr w:type="gramEnd"/>
      <w:r w:rsidRPr="00074766">
        <w:t xml:space="preserve"> oversimplifying the institutional realities of corporate governance. Legal regulations are part of larger political and economic structures that influence how corporate control is distributed and used. As a result, ownership arrangements represent institutional complementarities and political decisions that influence governance outcomes in addition to providing legal protection for shareholders.</w:t>
      </w:r>
    </w:p>
    <w:p w14:paraId="4AB87161" w14:textId="60A6F867" w:rsidR="00074766" w:rsidRDefault="00074766" w:rsidP="00074766">
      <w:r w:rsidRPr="00074766">
        <w:t>Mark Roe’s political explanation of corporate governance offers a particularly influential critique of legal determinism. Roe argues that trade-offs between labour and shareholder protection, which represent larger political agendas within national political economies, determine company ownership patterns.</w:t>
      </w:r>
      <w:r>
        <w:rPr>
          <w:rStyle w:val="FootnoteReference"/>
        </w:rPr>
        <w:footnoteReference w:id="12"/>
      </w:r>
      <w:r w:rsidR="00F36FC4">
        <w:t xml:space="preserve"> </w:t>
      </w:r>
      <w:r w:rsidRPr="00074766">
        <w:t>In coordinated market economies, such as those associated with the Rhineland model, strong labour rights and employment protections reduce the feasibility and desirability of hostile takeovers. This weakens the market for corporate control as a governance mechanism and encourages ownership concentration as a means of ensuring effective monitoring and stability. In this context, concentrated ownership emerges not as a response to weak legal rules alone but as a political compromise designed to balance capital and labour interests.</w:t>
      </w:r>
    </w:p>
    <w:p w14:paraId="618962B4" w14:textId="1FAF6391" w:rsidR="00F36FC4" w:rsidRDefault="00F36FC4" w:rsidP="00F36FC4">
      <w:r w:rsidRPr="00F36FC4">
        <w:t>By contrast, the Anglo-Saxon model's liberal market economies often place a higher priority on flexible labour markets and shareholder rights. Reduced employment protection reinforces distributed ownership and external market discipline by lowering the political and social costs of takeovers.</w:t>
      </w:r>
      <w:r>
        <w:rPr>
          <w:rStyle w:val="FootnoteReference"/>
        </w:rPr>
        <w:footnoteReference w:id="13"/>
      </w:r>
      <w:r>
        <w:t xml:space="preserve"> </w:t>
      </w:r>
      <w:r w:rsidRPr="00F36FC4">
        <w:t xml:space="preserve">The divergence in ownership structures between Anglo-Saxon and Rhineland systems therefore reflects differing political settlements rather than differences in legal </w:t>
      </w:r>
      <w:r w:rsidRPr="00F36FC4">
        <w:lastRenderedPageBreak/>
        <w:t>efficiency alone. In this perspective, shareholder protection is not an exogenous institutional feature, but rather endogenous to political preferences.</w:t>
      </w:r>
    </w:p>
    <w:p w14:paraId="726CD727" w14:textId="2FE9BE92" w:rsidR="00F36FC4" w:rsidRPr="00F36FC4" w:rsidRDefault="00F36FC4" w:rsidP="00F36FC4">
      <w:r w:rsidRPr="00F36FC4">
        <w:t>The idea of institutional complementarities, which was created within the framework of various forms of capitalism, supports this claim. Corporate governance systems, according to Hall and Soskice, are cohesive wholes where labour relations, financial systems, training and education policies, and interfirm coordination all support one another.</w:t>
      </w:r>
      <w:r>
        <w:rPr>
          <w:rStyle w:val="FootnoteReference"/>
        </w:rPr>
        <w:footnoteReference w:id="14"/>
      </w:r>
      <w:r>
        <w:t xml:space="preserve"> </w:t>
      </w:r>
      <w:r w:rsidRPr="00F36FC4">
        <w:t>Whereas distributed ownership in Anglo-Saxon systems corresponds with flexible labour relations and liquid capital markets, ownership concentration in Rhineland systems enhances patient capital, firm-specific skills, and stakeholder participation. Therefore, trying to separate shareholder protection from these broader institutional arrangements hides the underlying reasoning behind corporate governance diversity.</w:t>
      </w:r>
    </w:p>
    <w:p w14:paraId="33C36C63" w14:textId="3078A1ED" w:rsidR="001D705A" w:rsidRDefault="001D705A" w:rsidP="001D705A">
      <w:r w:rsidRPr="001D705A">
        <w:t xml:space="preserve">When taken together, these viewpoints show how inadequate shareholder protection is as a thorough justification for ownership variation. Although laws have a significant influence on investor incentives, they do so within institutional frameworks that have been politically established to favour specific types of control and coordination. Thus, rather than being merely reactions to degrees of legal protection, ownership arrangements in Anglo-Saxon and Rhineland models represent long-lasting political and institutional trade-offs. Understanding these limitations is crucial to comprehending why disparate corporate governance structures continue to exist </w:t>
      </w:r>
      <w:r w:rsidRPr="001D705A">
        <w:t>despite</w:t>
      </w:r>
      <w:r w:rsidRPr="001D705A">
        <w:t xml:space="preserve"> convergence demands.</w:t>
      </w:r>
    </w:p>
    <w:p w14:paraId="677AC96C" w14:textId="77777777" w:rsidR="002859B5" w:rsidRDefault="002859B5" w:rsidP="001D705A"/>
    <w:p w14:paraId="1BA63B87" w14:textId="267DC3F1" w:rsidR="002859B5" w:rsidRDefault="002859B5" w:rsidP="002859B5">
      <w:r w:rsidRPr="002859B5">
        <w:t>Theoretical debates surrounding ownership structure largely revolve around the problem of corporate control and the most effective means of monitoring managerial behaviour. Agency theory, which highlights the division of ownership and control in contemporary organisations, is most frequently used to support dispersed ownership. This perspective holds that distributed shareholding can work well in situations when managers are disciplined by market forces and strong shareholder rights, particularly through takeover threats and share price signals. These external governance methods are said to replace direct owner oversight in Anglo-Saxon systems, giving businesses access to large capital pools, risk diversification, and liquidity.</w:t>
      </w:r>
      <w:r>
        <w:rPr>
          <w:rStyle w:val="FootnoteReference"/>
        </w:rPr>
        <w:footnoteReference w:id="15"/>
      </w:r>
    </w:p>
    <w:p w14:paraId="4527230B" w14:textId="08B4AC2C" w:rsidR="002859B5" w:rsidRDefault="002859B5" w:rsidP="002859B5">
      <w:r w:rsidRPr="002859B5">
        <w:t xml:space="preserve">However, critics of dispersed ownership highlight its inherent weaknesses. </w:t>
      </w:r>
      <w:r w:rsidR="005F010E">
        <w:t>The s</w:t>
      </w:r>
      <w:r w:rsidRPr="002859B5">
        <w:t>mall shareholders' collective action issue restricts their capacity and motivation of maintaining observation on management behaviour, which may develop managerial opportunism and short-termism.</w:t>
      </w:r>
      <w:r>
        <w:rPr>
          <w:rStyle w:val="FootnoteReference"/>
        </w:rPr>
        <w:footnoteReference w:id="16"/>
      </w:r>
      <w:r>
        <w:t xml:space="preserve"> </w:t>
      </w:r>
      <w:r w:rsidRPr="002859B5">
        <w:t>Where market discipline fails or becomes distorted, dispersed ownership may weaken rather than strengthen corporate governance, particularly in environments characterised by complex financial products or informational asymmetries.</w:t>
      </w:r>
    </w:p>
    <w:p w14:paraId="1CD63F03" w14:textId="668F326D" w:rsidR="005F010E" w:rsidRDefault="005F010E" w:rsidP="005F010E">
      <w:r w:rsidRPr="005F010E">
        <w:t>Concentrated ownership is often defended as a solution to these problems. Larger shareholders have the ability and motivation to keep a close watch on management, which lowers agency costs and lessens the possibility of free riders.</w:t>
      </w:r>
      <w:r>
        <w:rPr>
          <w:rStyle w:val="FootnoteReference"/>
        </w:rPr>
        <w:footnoteReference w:id="17"/>
      </w:r>
      <w:r>
        <w:t xml:space="preserve"> </w:t>
      </w:r>
      <w:r w:rsidRPr="005F010E">
        <w:t xml:space="preserve">Insider-based governance systems like the Rhineland model, where ownership concentration supports long-term financing and stakeholder cooperation, are founded on this reasoning. However, there are also serious concerns associated with concentrated ownership. </w:t>
      </w:r>
      <w:r>
        <w:t xml:space="preserve">Franks and Mayer show that block </w:t>
      </w:r>
      <w:r>
        <w:lastRenderedPageBreak/>
        <w:t>holders in German companies frequently extract significant private benefits of control</w:t>
      </w:r>
      <w:r w:rsidR="00794617">
        <w:t xml:space="preserve"> that accrue solely to themselves rather than to minority shareholders. They argue that this pattern limits both the distributive fairness and the efficiency of ownership transfers within German insider systems.</w:t>
      </w:r>
      <w:r w:rsidR="00794617">
        <w:rPr>
          <w:rStyle w:val="FootnoteReference"/>
        </w:rPr>
        <w:footnoteReference w:id="18"/>
      </w:r>
      <w:r w:rsidR="00794617">
        <w:t xml:space="preserve"> </w:t>
      </w:r>
      <w:r w:rsidRPr="005F010E">
        <w:t>Therefore, weak minority protection may limit market discipline and strengthen dominating shareholders.</w:t>
      </w:r>
    </w:p>
    <w:p w14:paraId="5D0162D8" w14:textId="77777777" w:rsidR="00794617" w:rsidRPr="00794617" w:rsidRDefault="00794617" w:rsidP="00794617">
      <w:r w:rsidRPr="00794617">
        <w:t>When combined, these theoretical stances emphasise that neither concentrated nor distributed ownership is a fundamentally better form of government. Rather, each represents trade-offs between stakeholder and shareholder interests, flexibility and stability, and liquidity and control. The notion that ownership structures cannot be assessed independently of legal and political frameworks is strengthened by the fact that the efficacy of either model depends on the institutional context in which it functions.</w:t>
      </w:r>
    </w:p>
    <w:p w14:paraId="285F4A62" w14:textId="77777777" w:rsidR="00794617" w:rsidRDefault="00794617" w:rsidP="005F010E"/>
    <w:p w14:paraId="44DCCE52" w14:textId="379D535F" w:rsidR="00794617" w:rsidRPr="00794617" w:rsidRDefault="00794617" w:rsidP="00794617">
      <w:r>
        <w:t>To conclude, t</w:t>
      </w:r>
      <w:r w:rsidRPr="00794617">
        <w:t>he differences in ownership arrangements between Rhineland and Anglo-Saxon corporate governance models can be largely explained by divergent shareholder protection. While weaker protection encourages ownership concentration as a stand-in for control and monitoring, strong protection of minority shareholders supports dispersed ownership by promoting widespread participation in equity markets. In this regard, corporate governance outcomes in mature capitalist economies continue to be significantly influenced by legal structures.</w:t>
      </w:r>
      <w:r w:rsidRPr="00794617">
        <w:br/>
      </w:r>
      <w:r w:rsidRPr="00794617">
        <w:br/>
        <w:t>However, the protection of shareholders is not the only way to understand ownership systems. The practical application of legal laws is influenced by regulatory frameworks, political trade-offs between capital and labour, and broader institutional complementarities. Different strategies for striking a balance between liquidity, control, and shareholder interests are reflected in the unique benefits and drawbacks of concentrated and distributed ownership arrangements. Anglo-Saxon and Rhineland systems continue to exist as distinct yet complementary forms of government, enmeshed in politically and institutionally distinctive national settings, rather than merging into a unified ideal model.</w:t>
      </w:r>
    </w:p>
    <w:p w14:paraId="59D7BC76" w14:textId="65E4016B" w:rsidR="00794617" w:rsidRPr="005F010E" w:rsidRDefault="00794617" w:rsidP="005F010E"/>
    <w:p w14:paraId="7202D4FE" w14:textId="77777777" w:rsidR="005F010E" w:rsidRPr="002859B5" w:rsidRDefault="005F010E" w:rsidP="002859B5"/>
    <w:p w14:paraId="0F2AE539" w14:textId="77777777" w:rsidR="002859B5" w:rsidRDefault="002859B5" w:rsidP="002859B5"/>
    <w:p w14:paraId="262B221D" w14:textId="77777777" w:rsidR="002859B5" w:rsidRPr="001D705A" w:rsidRDefault="002859B5" w:rsidP="001D705A"/>
    <w:p w14:paraId="4F71BB49" w14:textId="77777777" w:rsidR="00F36FC4" w:rsidRPr="00F36FC4" w:rsidRDefault="00F36FC4" w:rsidP="00F36FC4"/>
    <w:p w14:paraId="381B510F" w14:textId="77777777" w:rsidR="00F36FC4" w:rsidRPr="00074766" w:rsidRDefault="00F36FC4" w:rsidP="00074766"/>
    <w:p w14:paraId="42F91412" w14:textId="77777777" w:rsidR="00074766" w:rsidRPr="00074766" w:rsidRDefault="00074766" w:rsidP="00074766"/>
    <w:p w14:paraId="084D8B7F" w14:textId="77777777" w:rsidR="00074766" w:rsidRPr="00EA5D67" w:rsidRDefault="00074766" w:rsidP="00EA5D67"/>
    <w:p w14:paraId="41ED31CE" w14:textId="28B04AEE" w:rsidR="006A7466" w:rsidRDefault="006A7466" w:rsidP="006A7466"/>
    <w:p w14:paraId="365DCBBB" w14:textId="77777777" w:rsidR="006A7466" w:rsidRDefault="006A7466" w:rsidP="006A7466"/>
    <w:p w14:paraId="5DBAB172" w14:textId="77777777" w:rsidR="006A7466" w:rsidRPr="006A7466" w:rsidRDefault="006A7466" w:rsidP="006A7466"/>
    <w:p w14:paraId="6B4E7778" w14:textId="77EF152A" w:rsidR="002B3CC8" w:rsidRPr="002B3CC8" w:rsidRDefault="002B3CC8" w:rsidP="002B3CC8"/>
    <w:p w14:paraId="78EFB186" w14:textId="77777777" w:rsidR="002B3CC8" w:rsidRDefault="002B3CC8" w:rsidP="00F96FC3"/>
    <w:p w14:paraId="09E1D2B2" w14:textId="77777777" w:rsidR="00F96FC3" w:rsidRDefault="00F96FC3" w:rsidP="00F96FC3"/>
    <w:p w14:paraId="7A650853" w14:textId="77777777" w:rsidR="00F96FC3" w:rsidRPr="00F96FC3" w:rsidRDefault="00F96FC3" w:rsidP="00F96FC3"/>
    <w:p w14:paraId="3AD0A479" w14:textId="77777777" w:rsidR="00F96FC3" w:rsidRPr="00F96FC3" w:rsidRDefault="00F96FC3" w:rsidP="00F96FC3"/>
    <w:p w14:paraId="516A00BF" w14:textId="14ECCDD3" w:rsidR="00130E6C" w:rsidRPr="00130E6C" w:rsidRDefault="00130E6C" w:rsidP="00130E6C"/>
    <w:p w14:paraId="5804BBEE" w14:textId="77777777" w:rsidR="00130E6C" w:rsidRPr="00130E6C" w:rsidRDefault="00130E6C" w:rsidP="00130E6C"/>
    <w:p w14:paraId="396C89AE" w14:textId="77777777" w:rsidR="00130E6C" w:rsidRPr="00377659" w:rsidRDefault="00130E6C" w:rsidP="00377659"/>
    <w:p w14:paraId="125C4223" w14:textId="77777777" w:rsidR="00377659" w:rsidRDefault="00377659" w:rsidP="007A5714"/>
    <w:p w14:paraId="70E3A346" w14:textId="77777777" w:rsidR="00377659" w:rsidRDefault="00377659" w:rsidP="007A5714"/>
    <w:p w14:paraId="3B034291" w14:textId="77777777" w:rsidR="00377659" w:rsidRPr="007A5714" w:rsidRDefault="00377659" w:rsidP="007A5714"/>
    <w:p w14:paraId="7D07A370" w14:textId="77777777" w:rsidR="007A5714" w:rsidRPr="007A5714" w:rsidRDefault="007A5714" w:rsidP="007A5714"/>
    <w:p w14:paraId="43815E5A" w14:textId="77777777" w:rsidR="00B00B7C" w:rsidRPr="003752C0" w:rsidRDefault="00B00B7C" w:rsidP="003752C0"/>
    <w:p w14:paraId="42F42C87" w14:textId="77777777" w:rsidR="003752C0" w:rsidRDefault="003752C0" w:rsidP="003B33EB"/>
    <w:p w14:paraId="416A522F" w14:textId="77777777" w:rsidR="003B33EB" w:rsidRDefault="003B33EB" w:rsidP="003B33EB"/>
    <w:p w14:paraId="6BB0F66C" w14:textId="77777777" w:rsidR="003B33EB" w:rsidRPr="003B33EB" w:rsidRDefault="003B33EB" w:rsidP="003B33EB"/>
    <w:p w14:paraId="5451A2F0" w14:textId="77777777" w:rsidR="003B33EB" w:rsidRDefault="003B33EB" w:rsidP="003B33EB"/>
    <w:p w14:paraId="0AFAA87F" w14:textId="77777777" w:rsidR="00377659" w:rsidRDefault="00377659" w:rsidP="003B33EB"/>
    <w:p w14:paraId="3190A0B5" w14:textId="77777777" w:rsidR="00377659" w:rsidRDefault="00377659" w:rsidP="003B33EB"/>
    <w:p w14:paraId="75950D2F" w14:textId="77777777" w:rsidR="00377659" w:rsidRDefault="00377659" w:rsidP="003B33EB"/>
    <w:p w14:paraId="7A8AAA92" w14:textId="77777777" w:rsidR="00377659" w:rsidRDefault="00377659" w:rsidP="003B33EB"/>
    <w:p w14:paraId="10B75134" w14:textId="77777777" w:rsidR="00377659" w:rsidRDefault="00377659" w:rsidP="003B33EB"/>
    <w:p w14:paraId="649448F2" w14:textId="77777777" w:rsidR="00377659" w:rsidRDefault="00377659" w:rsidP="003B33EB"/>
    <w:p w14:paraId="4EC2F44D" w14:textId="63B2FCAC" w:rsidR="003B33EB" w:rsidRDefault="00B00B7C" w:rsidP="003B33EB">
      <w:r>
        <w:t xml:space="preserve">Bibliography </w:t>
      </w:r>
    </w:p>
    <w:p w14:paraId="2A4535EC" w14:textId="77777777" w:rsidR="00B00B7C" w:rsidRDefault="00B00B7C" w:rsidP="003B33EB"/>
    <w:p w14:paraId="728887C7" w14:textId="24753B3F" w:rsidR="00B00B7C" w:rsidRDefault="00B00B7C" w:rsidP="00B00B7C">
      <w:pPr>
        <w:pStyle w:val="ListParagraph"/>
        <w:numPr>
          <w:ilvl w:val="0"/>
          <w:numId w:val="1"/>
        </w:numPr>
      </w:pPr>
      <w:r w:rsidRPr="00B00B7C">
        <w:t xml:space="preserve">Henry G. Manne, ‘Mergers and the Market for Corporate Control’, </w:t>
      </w:r>
      <w:r w:rsidRPr="00B00B7C">
        <w:rPr>
          <w:i/>
          <w:iCs/>
        </w:rPr>
        <w:t>Journal of Political Economy</w:t>
      </w:r>
      <w:r w:rsidRPr="00B00B7C">
        <w:t>, 73.2 (1965)</w:t>
      </w:r>
    </w:p>
    <w:p w14:paraId="5FA455B9" w14:textId="3579424B" w:rsidR="003B33EB" w:rsidRPr="003B33EB" w:rsidRDefault="00B00B7C" w:rsidP="00B00B7C">
      <w:pPr>
        <w:pStyle w:val="ListParagraph"/>
        <w:numPr>
          <w:ilvl w:val="0"/>
          <w:numId w:val="1"/>
        </w:numPr>
      </w:pPr>
      <w:r w:rsidRPr="00B00B7C">
        <w:t xml:space="preserve">Andrei Shleifer and Robert W. </w:t>
      </w:r>
      <w:proofErr w:type="spellStart"/>
      <w:r w:rsidRPr="00B00B7C">
        <w:t>Vishny</w:t>
      </w:r>
      <w:proofErr w:type="spellEnd"/>
      <w:r w:rsidRPr="00B00B7C">
        <w:t xml:space="preserve">, ‘A Survey of Corporate Governance’, </w:t>
      </w:r>
      <w:r w:rsidRPr="00B00B7C">
        <w:rPr>
          <w:i/>
          <w:iCs/>
        </w:rPr>
        <w:t>Journal of Finance</w:t>
      </w:r>
      <w:r w:rsidRPr="00B00B7C">
        <w:t>, 52.2 (1997)</w:t>
      </w:r>
    </w:p>
    <w:p w14:paraId="454D16EC" w14:textId="149CF33E" w:rsidR="003B33EB" w:rsidRDefault="007A5714" w:rsidP="007A5714">
      <w:pPr>
        <w:pStyle w:val="ListParagraph"/>
        <w:numPr>
          <w:ilvl w:val="0"/>
          <w:numId w:val="1"/>
        </w:numPr>
      </w:pPr>
      <w:r w:rsidRPr="007A5714">
        <w:t xml:space="preserve">Julian Franks and Colin Mayer, ‘Ownership and Control of German Corporations’, </w:t>
      </w:r>
      <w:r w:rsidRPr="007A5714">
        <w:rPr>
          <w:i/>
          <w:iCs/>
        </w:rPr>
        <w:t>Review of Financial Studies</w:t>
      </w:r>
      <w:r w:rsidRPr="007A5714">
        <w:t>, 14.4 (2001)</w:t>
      </w:r>
    </w:p>
    <w:p w14:paraId="0522038D" w14:textId="77742CD0" w:rsidR="00130E6C" w:rsidRDefault="00130E6C" w:rsidP="007A5714">
      <w:pPr>
        <w:pStyle w:val="ListParagraph"/>
        <w:numPr>
          <w:ilvl w:val="0"/>
          <w:numId w:val="1"/>
        </w:numPr>
      </w:pPr>
      <w:r w:rsidRPr="00130E6C">
        <w:lastRenderedPageBreak/>
        <w:t xml:space="preserve">Rafael La Porta, Florencio Lopez-de-Silanes, Andrei Shleifer, and Robert W. </w:t>
      </w:r>
      <w:proofErr w:type="spellStart"/>
      <w:r w:rsidRPr="00130E6C">
        <w:t>Vishny</w:t>
      </w:r>
      <w:proofErr w:type="spellEnd"/>
      <w:r w:rsidRPr="00130E6C">
        <w:t xml:space="preserve">, ‘Legal Determinants of External Finance’, </w:t>
      </w:r>
      <w:r w:rsidRPr="00130E6C">
        <w:rPr>
          <w:i/>
          <w:iCs/>
        </w:rPr>
        <w:t>Journal of Finance</w:t>
      </w:r>
      <w:r w:rsidRPr="00130E6C">
        <w:t>, 52.3 (1997)</w:t>
      </w:r>
    </w:p>
    <w:p w14:paraId="71F62A14" w14:textId="4D16E83E" w:rsidR="00130E6C" w:rsidRPr="007A5714" w:rsidRDefault="00130E6C" w:rsidP="007A5714">
      <w:pPr>
        <w:pStyle w:val="ListParagraph"/>
        <w:numPr>
          <w:ilvl w:val="0"/>
          <w:numId w:val="1"/>
        </w:numPr>
      </w:pPr>
      <w:r w:rsidRPr="00130E6C">
        <w:t xml:space="preserve">Rafael La Porta, Florencio Lopez-de-Silanes, Andrei Shleifer, and Robert W. </w:t>
      </w:r>
      <w:proofErr w:type="spellStart"/>
      <w:r w:rsidRPr="00130E6C">
        <w:t>Vishny</w:t>
      </w:r>
      <w:proofErr w:type="spellEnd"/>
      <w:r w:rsidRPr="00130E6C">
        <w:t xml:space="preserve">, ‘Law and Finance’, </w:t>
      </w:r>
      <w:r w:rsidRPr="00130E6C">
        <w:rPr>
          <w:i/>
          <w:iCs/>
        </w:rPr>
        <w:t>Journal of Political Economy</w:t>
      </w:r>
      <w:r w:rsidRPr="00130E6C">
        <w:t>, 106.6 (1998)</w:t>
      </w:r>
    </w:p>
    <w:p w14:paraId="614FF1AB" w14:textId="64C20FFB" w:rsidR="003B33EB" w:rsidRDefault="002B3CC8" w:rsidP="002B3CC8">
      <w:pPr>
        <w:pStyle w:val="ListParagraph"/>
        <w:numPr>
          <w:ilvl w:val="0"/>
          <w:numId w:val="1"/>
        </w:numPr>
      </w:pPr>
      <w:r w:rsidRPr="002B3CC8">
        <w:t xml:space="preserve">Marc Goergen and Luc Renneboog, ‘Why Are the Levels of Control (So) Different in Different Countries? The Role of Law and Financial Structure’, </w:t>
      </w:r>
      <w:r w:rsidRPr="002B3CC8">
        <w:rPr>
          <w:i/>
          <w:iCs/>
        </w:rPr>
        <w:t>Journal of Corporate Finance</w:t>
      </w:r>
      <w:r w:rsidRPr="002B3CC8">
        <w:t>, 9.2 (2003)</w:t>
      </w:r>
    </w:p>
    <w:p w14:paraId="07A66F53" w14:textId="666680AE" w:rsidR="00074766" w:rsidRDefault="00074766" w:rsidP="002B3CC8">
      <w:pPr>
        <w:pStyle w:val="ListParagraph"/>
        <w:numPr>
          <w:ilvl w:val="0"/>
          <w:numId w:val="1"/>
        </w:numPr>
      </w:pPr>
      <w:r w:rsidRPr="00074766">
        <w:t xml:space="preserve">Mark J. Roe, </w:t>
      </w:r>
      <w:r w:rsidRPr="00074766">
        <w:rPr>
          <w:i/>
          <w:iCs/>
        </w:rPr>
        <w:t>Political Determinants of Corporate Governance</w:t>
      </w:r>
      <w:r w:rsidRPr="00074766">
        <w:t xml:space="preserve"> (Oxford: Oxford University Press, 2003)</w:t>
      </w:r>
    </w:p>
    <w:p w14:paraId="5BBF1896" w14:textId="5A6DBFB0" w:rsidR="001D705A" w:rsidRPr="002B3CC8" w:rsidRDefault="001D705A" w:rsidP="002B3CC8">
      <w:pPr>
        <w:pStyle w:val="ListParagraph"/>
        <w:numPr>
          <w:ilvl w:val="0"/>
          <w:numId w:val="1"/>
        </w:numPr>
      </w:pPr>
      <w:r w:rsidRPr="001D705A">
        <w:t xml:space="preserve">Peter A. Hall and David Soskice, </w:t>
      </w:r>
      <w:r w:rsidRPr="001D705A">
        <w:rPr>
          <w:i/>
          <w:iCs/>
        </w:rPr>
        <w:t>Varieties of Capitalism: The Institutional Foundations of Comparative Advantage</w:t>
      </w:r>
      <w:r w:rsidRPr="001D705A">
        <w:t xml:space="preserve"> (Oxford: Oxford University Press, 2001)</w:t>
      </w:r>
    </w:p>
    <w:sectPr w:rsidR="001D705A" w:rsidRPr="002B3C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F445C" w14:textId="77777777" w:rsidR="00010200" w:rsidRDefault="00010200" w:rsidP="00B00B7C">
      <w:pPr>
        <w:spacing w:after="0" w:line="240" w:lineRule="auto"/>
      </w:pPr>
      <w:r>
        <w:separator/>
      </w:r>
    </w:p>
  </w:endnote>
  <w:endnote w:type="continuationSeparator" w:id="0">
    <w:p w14:paraId="7A2305F4" w14:textId="77777777" w:rsidR="00010200" w:rsidRDefault="00010200" w:rsidP="00B00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E7799" w14:textId="77777777" w:rsidR="00010200" w:rsidRDefault="00010200" w:rsidP="00B00B7C">
      <w:pPr>
        <w:spacing w:after="0" w:line="240" w:lineRule="auto"/>
      </w:pPr>
      <w:r>
        <w:separator/>
      </w:r>
    </w:p>
  </w:footnote>
  <w:footnote w:type="continuationSeparator" w:id="0">
    <w:p w14:paraId="18AC198B" w14:textId="77777777" w:rsidR="00010200" w:rsidRDefault="00010200" w:rsidP="00B00B7C">
      <w:pPr>
        <w:spacing w:after="0" w:line="240" w:lineRule="auto"/>
      </w:pPr>
      <w:r>
        <w:continuationSeparator/>
      </w:r>
    </w:p>
  </w:footnote>
  <w:footnote w:id="1">
    <w:p w14:paraId="6F26C0FE" w14:textId="6F7BD390" w:rsidR="00B00B7C" w:rsidRPr="006A7466" w:rsidRDefault="00B00B7C">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Manne</w:t>
      </w:r>
      <w:r w:rsidR="006A7466" w:rsidRPr="006A7466">
        <w:rPr>
          <w:sz w:val="18"/>
          <w:szCs w:val="18"/>
        </w:rPr>
        <w:t xml:space="preserve">, </w:t>
      </w:r>
      <w:r w:rsidRPr="006A7466">
        <w:rPr>
          <w:sz w:val="18"/>
          <w:szCs w:val="18"/>
        </w:rPr>
        <w:t>‘Mergers and the Market for Corporate Control</w:t>
      </w:r>
      <w:r w:rsidR="007A5714" w:rsidRPr="006A7466">
        <w:rPr>
          <w:sz w:val="18"/>
          <w:szCs w:val="18"/>
        </w:rPr>
        <w:t>,</w:t>
      </w:r>
      <w:r w:rsidRPr="006A7466">
        <w:rPr>
          <w:sz w:val="18"/>
          <w:szCs w:val="18"/>
        </w:rPr>
        <w:t>’</w:t>
      </w:r>
      <w:r w:rsidR="007A5714" w:rsidRPr="006A7466">
        <w:rPr>
          <w:sz w:val="18"/>
          <w:szCs w:val="18"/>
        </w:rPr>
        <w:t xml:space="preserve"> 1965,</w:t>
      </w:r>
      <w:r w:rsidRPr="006A7466">
        <w:rPr>
          <w:sz w:val="18"/>
          <w:szCs w:val="18"/>
        </w:rPr>
        <w:t xml:space="preserve"> pp 110-120</w:t>
      </w:r>
    </w:p>
  </w:footnote>
  <w:footnote w:id="2">
    <w:p w14:paraId="6DF29EA0" w14:textId="5F73108E" w:rsidR="00B00B7C" w:rsidRPr="006A7466" w:rsidRDefault="00B00B7C">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Shleifer</w:t>
      </w:r>
      <w:r w:rsidR="006A7466" w:rsidRPr="006A7466">
        <w:rPr>
          <w:sz w:val="18"/>
          <w:szCs w:val="18"/>
        </w:rPr>
        <w:t xml:space="preserve">, </w:t>
      </w:r>
      <w:proofErr w:type="spellStart"/>
      <w:r w:rsidR="006A7466" w:rsidRPr="006A7466">
        <w:rPr>
          <w:sz w:val="18"/>
          <w:szCs w:val="18"/>
        </w:rPr>
        <w:t>Vishny</w:t>
      </w:r>
      <w:proofErr w:type="spellEnd"/>
      <w:r w:rsidR="006A7466" w:rsidRPr="006A7466">
        <w:rPr>
          <w:sz w:val="18"/>
          <w:szCs w:val="18"/>
        </w:rPr>
        <w:t>,</w:t>
      </w:r>
      <w:r w:rsidR="006A7466" w:rsidRPr="006A7466">
        <w:rPr>
          <w:sz w:val="18"/>
          <w:szCs w:val="18"/>
        </w:rPr>
        <w:t xml:space="preserve"> </w:t>
      </w:r>
      <w:r w:rsidRPr="006A7466">
        <w:rPr>
          <w:sz w:val="18"/>
          <w:szCs w:val="18"/>
        </w:rPr>
        <w:t>‘A Survey of Corporate Governance’,</w:t>
      </w:r>
      <w:r w:rsidR="007A5714" w:rsidRPr="006A7466">
        <w:rPr>
          <w:sz w:val="18"/>
          <w:szCs w:val="18"/>
        </w:rPr>
        <w:t xml:space="preserve"> 1997,</w:t>
      </w:r>
      <w:r w:rsidRPr="006A7466">
        <w:rPr>
          <w:i/>
          <w:iCs/>
          <w:sz w:val="18"/>
          <w:szCs w:val="18"/>
        </w:rPr>
        <w:t xml:space="preserve"> pp</w:t>
      </w:r>
      <w:r w:rsidR="007A5714" w:rsidRPr="006A7466">
        <w:rPr>
          <w:i/>
          <w:iCs/>
          <w:sz w:val="18"/>
          <w:szCs w:val="18"/>
        </w:rPr>
        <w:t xml:space="preserve"> 743-747</w:t>
      </w:r>
    </w:p>
  </w:footnote>
  <w:footnote w:id="3">
    <w:p w14:paraId="1BFB344E" w14:textId="39C8C489" w:rsidR="007A5714" w:rsidRPr="006A7466" w:rsidRDefault="007A5714">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 xml:space="preserve">Franks, Mayer, </w:t>
      </w:r>
      <w:r w:rsidRPr="006A7466">
        <w:rPr>
          <w:sz w:val="18"/>
          <w:szCs w:val="18"/>
        </w:rPr>
        <w:t>‘Ownership and Control of German Corporations</w:t>
      </w:r>
      <w:r w:rsidRPr="006A7466">
        <w:rPr>
          <w:sz w:val="18"/>
          <w:szCs w:val="18"/>
        </w:rPr>
        <w:t>,</w:t>
      </w:r>
      <w:r w:rsidRPr="006A7466">
        <w:rPr>
          <w:sz w:val="18"/>
          <w:szCs w:val="18"/>
        </w:rPr>
        <w:t>’</w:t>
      </w:r>
      <w:r w:rsidRPr="006A7466">
        <w:rPr>
          <w:sz w:val="18"/>
          <w:szCs w:val="18"/>
        </w:rPr>
        <w:t xml:space="preserve"> 2001, pp 943-945</w:t>
      </w:r>
    </w:p>
  </w:footnote>
  <w:footnote w:id="4">
    <w:p w14:paraId="2CACFD46" w14:textId="0076E315" w:rsidR="007A5714" w:rsidRPr="006A7466" w:rsidRDefault="007A5714">
      <w:pPr>
        <w:pStyle w:val="FootnoteText"/>
        <w:rPr>
          <w:sz w:val="18"/>
          <w:szCs w:val="18"/>
        </w:rPr>
      </w:pPr>
      <w:r w:rsidRPr="006A7466">
        <w:rPr>
          <w:rStyle w:val="FootnoteReference"/>
          <w:sz w:val="18"/>
          <w:szCs w:val="18"/>
        </w:rPr>
        <w:footnoteRef/>
      </w:r>
      <w:r w:rsidRPr="006A7466">
        <w:rPr>
          <w:sz w:val="18"/>
          <w:szCs w:val="18"/>
        </w:rPr>
        <w:t xml:space="preserve"> </w:t>
      </w:r>
      <w:r w:rsidRPr="006A7466">
        <w:rPr>
          <w:i/>
          <w:iCs/>
          <w:sz w:val="18"/>
          <w:szCs w:val="18"/>
        </w:rPr>
        <w:t>Ibid</w:t>
      </w:r>
      <w:r w:rsidRPr="006A7466">
        <w:rPr>
          <w:sz w:val="18"/>
          <w:szCs w:val="18"/>
        </w:rPr>
        <w:t>, pp 952-954</w:t>
      </w:r>
    </w:p>
  </w:footnote>
  <w:footnote w:id="5">
    <w:p w14:paraId="0D22592F" w14:textId="004503EE" w:rsidR="00130E6C" w:rsidRPr="006A7466" w:rsidRDefault="00130E6C">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 xml:space="preserve">La Porta, </w:t>
      </w:r>
      <w:r w:rsidR="00F96FC3" w:rsidRPr="006A7466">
        <w:rPr>
          <w:sz w:val="18"/>
          <w:szCs w:val="18"/>
        </w:rPr>
        <w:t>‘</w:t>
      </w:r>
      <w:r w:rsidRPr="006A7466">
        <w:rPr>
          <w:sz w:val="18"/>
          <w:szCs w:val="18"/>
        </w:rPr>
        <w:t>Legal Determinants of External Finance</w:t>
      </w:r>
      <w:r w:rsidRPr="006A7466">
        <w:rPr>
          <w:sz w:val="18"/>
          <w:szCs w:val="18"/>
        </w:rPr>
        <w:t>,</w:t>
      </w:r>
      <w:r w:rsidRPr="006A7466">
        <w:rPr>
          <w:sz w:val="18"/>
          <w:szCs w:val="18"/>
        </w:rPr>
        <w:t>’</w:t>
      </w:r>
      <w:r w:rsidRPr="006A7466">
        <w:rPr>
          <w:sz w:val="18"/>
          <w:szCs w:val="18"/>
        </w:rPr>
        <w:t xml:space="preserve"> 1997, pp 1131-1133</w:t>
      </w:r>
    </w:p>
  </w:footnote>
  <w:footnote w:id="6">
    <w:p w14:paraId="2DD9DEE0" w14:textId="38B9ABEC" w:rsidR="00130E6C" w:rsidRDefault="00130E6C">
      <w:pPr>
        <w:pStyle w:val="FootnoteText"/>
      </w:pPr>
      <w:r w:rsidRPr="006A7466">
        <w:rPr>
          <w:rStyle w:val="FootnoteReference"/>
          <w:sz w:val="18"/>
          <w:szCs w:val="18"/>
        </w:rPr>
        <w:footnoteRef/>
      </w:r>
      <w:r w:rsidRPr="006A7466">
        <w:rPr>
          <w:sz w:val="18"/>
          <w:szCs w:val="18"/>
        </w:rPr>
        <w:t xml:space="preserve"> </w:t>
      </w:r>
      <w:r w:rsidR="006A7466" w:rsidRPr="006A7466">
        <w:rPr>
          <w:sz w:val="18"/>
          <w:szCs w:val="18"/>
        </w:rPr>
        <w:t xml:space="preserve">La Porta, </w:t>
      </w:r>
      <w:r w:rsidRPr="006A7466">
        <w:rPr>
          <w:sz w:val="18"/>
          <w:szCs w:val="18"/>
        </w:rPr>
        <w:t xml:space="preserve">‘Law and Finance’, </w:t>
      </w:r>
      <w:r w:rsidRPr="006A7466">
        <w:rPr>
          <w:i/>
          <w:iCs/>
          <w:sz w:val="18"/>
          <w:szCs w:val="18"/>
        </w:rPr>
        <w:t>Journal of Political Economy</w:t>
      </w:r>
      <w:r w:rsidRPr="006A7466">
        <w:rPr>
          <w:i/>
          <w:iCs/>
          <w:sz w:val="18"/>
          <w:szCs w:val="18"/>
        </w:rPr>
        <w:t>,’ 1998, pp 1114-1116</w:t>
      </w:r>
    </w:p>
  </w:footnote>
  <w:footnote w:id="7">
    <w:p w14:paraId="7B3F84B1" w14:textId="2C51BA2B" w:rsidR="00130E6C" w:rsidRPr="006A7466" w:rsidRDefault="00130E6C">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 xml:space="preserve">La Porta </w:t>
      </w:r>
      <w:r w:rsidR="00F96FC3" w:rsidRPr="006A7466">
        <w:rPr>
          <w:sz w:val="18"/>
          <w:szCs w:val="18"/>
        </w:rPr>
        <w:t xml:space="preserve">‘Law and Finance’, </w:t>
      </w:r>
      <w:r w:rsidR="00F96FC3" w:rsidRPr="006A7466">
        <w:rPr>
          <w:i/>
          <w:iCs/>
          <w:sz w:val="18"/>
          <w:szCs w:val="18"/>
        </w:rPr>
        <w:t>Journal of Political Economy,’ pp 111</w:t>
      </w:r>
      <w:r w:rsidR="00F96FC3" w:rsidRPr="006A7466">
        <w:rPr>
          <w:i/>
          <w:iCs/>
          <w:sz w:val="18"/>
          <w:szCs w:val="18"/>
        </w:rPr>
        <w:t>6</w:t>
      </w:r>
      <w:r w:rsidR="00F96FC3" w:rsidRPr="006A7466">
        <w:rPr>
          <w:i/>
          <w:iCs/>
          <w:sz w:val="18"/>
          <w:szCs w:val="18"/>
        </w:rPr>
        <w:t>-111</w:t>
      </w:r>
      <w:r w:rsidR="00F96FC3" w:rsidRPr="006A7466">
        <w:rPr>
          <w:i/>
          <w:iCs/>
          <w:sz w:val="18"/>
          <w:szCs w:val="18"/>
        </w:rPr>
        <w:t>7</w:t>
      </w:r>
    </w:p>
  </w:footnote>
  <w:footnote w:id="8">
    <w:p w14:paraId="08E940ED" w14:textId="43363C3E" w:rsidR="00F96FC3" w:rsidRPr="006A7466" w:rsidRDefault="00F96FC3">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 xml:space="preserve">La Porta, </w:t>
      </w:r>
      <w:r w:rsidRPr="006A7466">
        <w:rPr>
          <w:sz w:val="18"/>
          <w:szCs w:val="18"/>
        </w:rPr>
        <w:t>‘Legal Determinants of External Finance,’ pp 1</w:t>
      </w:r>
      <w:r w:rsidRPr="006A7466">
        <w:rPr>
          <w:sz w:val="18"/>
          <w:szCs w:val="18"/>
        </w:rPr>
        <w:t>131-1134</w:t>
      </w:r>
    </w:p>
  </w:footnote>
  <w:footnote w:id="9">
    <w:p w14:paraId="106B2023" w14:textId="26D0E878" w:rsidR="002B3CC8" w:rsidRPr="006A7466" w:rsidRDefault="002B3CC8">
      <w:pPr>
        <w:pStyle w:val="FootnoteText"/>
        <w:rPr>
          <w:sz w:val="18"/>
          <w:szCs w:val="18"/>
        </w:rPr>
      </w:pPr>
      <w:r w:rsidRPr="006A7466">
        <w:rPr>
          <w:rStyle w:val="FootnoteReference"/>
          <w:sz w:val="18"/>
          <w:szCs w:val="18"/>
        </w:rPr>
        <w:footnoteRef/>
      </w:r>
      <w:r w:rsidRPr="006A7466">
        <w:rPr>
          <w:sz w:val="18"/>
          <w:szCs w:val="18"/>
        </w:rPr>
        <w:t xml:space="preserve"> </w:t>
      </w:r>
      <w:r w:rsidR="006A7466" w:rsidRPr="006A7466">
        <w:rPr>
          <w:sz w:val="18"/>
          <w:szCs w:val="18"/>
        </w:rPr>
        <w:t>Goergen</w:t>
      </w:r>
      <w:r w:rsidR="006A7466" w:rsidRPr="006A7466">
        <w:rPr>
          <w:sz w:val="18"/>
          <w:szCs w:val="18"/>
        </w:rPr>
        <w:t xml:space="preserve">, </w:t>
      </w:r>
      <w:proofErr w:type="spellStart"/>
      <w:r w:rsidR="006A7466" w:rsidRPr="006A7466">
        <w:rPr>
          <w:sz w:val="18"/>
          <w:szCs w:val="18"/>
        </w:rPr>
        <w:t>Renneboog</w:t>
      </w:r>
      <w:proofErr w:type="spellEnd"/>
      <w:r w:rsidR="006A7466" w:rsidRPr="006A7466">
        <w:rPr>
          <w:sz w:val="18"/>
          <w:szCs w:val="18"/>
        </w:rPr>
        <w:t xml:space="preserve">, </w:t>
      </w:r>
      <w:r w:rsidRPr="006A7466">
        <w:rPr>
          <w:sz w:val="18"/>
          <w:szCs w:val="18"/>
        </w:rPr>
        <w:t>Why Are the Levels of Control (So) Different in Different Countries? The Role of Law and Financial Structure</w:t>
      </w:r>
      <w:r w:rsidRPr="006A7466">
        <w:rPr>
          <w:sz w:val="18"/>
          <w:szCs w:val="18"/>
        </w:rPr>
        <w:t>,</w:t>
      </w:r>
      <w:r w:rsidRPr="006A7466">
        <w:rPr>
          <w:sz w:val="18"/>
          <w:szCs w:val="18"/>
        </w:rPr>
        <w:t>’</w:t>
      </w:r>
      <w:r w:rsidRPr="006A7466">
        <w:rPr>
          <w:sz w:val="18"/>
          <w:szCs w:val="18"/>
        </w:rPr>
        <w:t xml:space="preserve"> pp</w:t>
      </w:r>
      <w:r w:rsidR="006A7466" w:rsidRPr="006A7466">
        <w:rPr>
          <w:sz w:val="18"/>
          <w:szCs w:val="18"/>
        </w:rPr>
        <w:t xml:space="preserve"> 179-200</w:t>
      </w:r>
    </w:p>
  </w:footnote>
  <w:footnote w:id="10">
    <w:p w14:paraId="50859749" w14:textId="5B36D721" w:rsidR="002B3CC8" w:rsidRDefault="002B3CC8">
      <w:pPr>
        <w:pStyle w:val="FootnoteText"/>
      </w:pPr>
      <w:r w:rsidRPr="006A7466">
        <w:rPr>
          <w:rStyle w:val="FootnoteReference"/>
          <w:sz w:val="18"/>
          <w:szCs w:val="18"/>
        </w:rPr>
        <w:footnoteRef/>
      </w:r>
      <w:r w:rsidRPr="006A7466">
        <w:rPr>
          <w:sz w:val="18"/>
          <w:szCs w:val="18"/>
        </w:rPr>
        <w:t xml:space="preserve"> </w:t>
      </w:r>
      <w:r w:rsidR="006A7466" w:rsidRPr="006A7466">
        <w:rPr>
          <w:i/>
          <w:iCs/>
          <w:sz w:val="18"/>
          <w:szCs w:val="18"/>
        </w:rPr>
        <w:t>Ibid</w:t>
      </w:r>
      <w:r w:rsidR="006A7466" w:rsidRPr="006A7466">
        <w:rPr>
          <w:sz w:val="18"/>
          <w:szCs w:val="18"/>
        </w:rPr>
        <w:t>, pp 185-189</w:t>
      </w:r>
    </w:p>
  </w:footnote>
  <w:footnote w:id="11">
    <w:p w14:paraId="50A5F5E8" w14:textId="2943DFDB" w:rsidR="006A7466" w:rsidRPr="00794617" w:rsidRDefault="006A7466">
      <w:pPr>
        <w:pStyle w:val="FootnoteText"/>
        <w:rPr>
          <w:sz w:val="18"/>
          <w:szCs w:val="18"/>
        </w:rPr>
      </w:pPr>
      <w:r w:rsidRPr="00794617">
        <w:rPr>
          <w:rStyle w:val="FootnoteReference"/>
          <w:sz w:val="18"/>
          <w:szCs w:val="18"/>
        </w:rPr>
        <w:footnoteRef/>
      </w:r>
      <w:r w:rsidRPr="00794617">
        <w:rPr>
          <w:sz w:val="18"/>
          <w:szCs w:val="18"/>
        </w:rPr>
        <w:t xml:space="preserve"> </w:t>
      </w:r>
      <w:r w:rsidRPr="00794617">
        <w:rPr>
          <w:sz w:val="18"/>
          <w:szCs w:val="18"/>
        </w:rPr>
        <w:t xml:space="preserve">Goergen, </w:t>
      </w:r>
      <w:proofErr w:type="spellStart"/>
      <w:r w:rsidRPr="00794617">
        <w:rPr>
          <w:sz w:val="18"/>
          <w:szCs w:val="18"/>
        </w:rPr>
        <w:t>Renneboog</w:t>
      </w:r>
      <w:proofErr w:type="spellEnd"/>
      <w:r w:rsidRPr="00794617">
        <w:rPr>
          <w:sz w:val="18"/>
          <w:szCs w:val="18"/>
        </w:rPr>
        <w:t>, Why Are the Levels of Control (So) Different in Different Countries? The Role of Law and Financial Structure,’</w:t>
      </w:r>
      <w:r w:rsidRPr="00794617">
        <w:rPr>
          <w:sz w:val="18"/>
          <w:szCs w:val="18"/>
        </w:rPr>
        <w:t xml:space="preserve"> pp 191-195</w:t>
      </w:r>
    </w:p>
  </w:footnote>
  <w:footnote w:id="12">
    <w:p w14:paraId="0C3DCB04" w14:textId="79F6B303" w:rsidR="00074766" w:rsidRPr="00794617" w:rsidRDefault="00074766">
      <w:pPr>
        <w:pStyle w:val="FootnoteText"/>
        <w:rPr>
          <w:sz w:val="18"/>
          <w:szCs w:val="18"/>
        </w:rPr>
      </w:pPr>
      <w:r w:rsidRPr="00794617">
        <w:rPr>
          <w:rStyle w:val="FootnoteReference"/>
          <w:sz w:val="18"/>
          <w:szCs w:val="18"/>
        </w:rPr>
        <w:footnoteRef/>
      </w:r>
      <w:r w:rsidRPr="00794617">
        <w:rPr>
          <w:sz w:val="18"/>
          <w:szCs w:val="18"/>
        </w:rPr>
        <w:t xml:space="preserve"> </w:t>
      </w:r>
      <w:r w:rsidRPr="00794617">
        <w:rPr>
          <w:sz w:val="18"/>
          <w:szCs w:val="18"/>
        </w:rPr>
        <w:t xml:space="preserve">Roe, </w:t>
      </w:r>
      <w:r w:rsidR="00F36FC4" w:rsidRPr="00794617">
        <w:rPr>
          <w:sz w:val="18"/>
          <w:szCs w:val="18"/>
        </w:rPr>
        <w:t>‘</w:t>
      </w:r>
      <w:r w:rsidRPr="00794617">
        <w:rPr>
          <w:i/>
          <w:iCs/>
          <w:sz w:val="18"/>
          <w:szCs w:val="18"/>
        </w:rPr>
        <w:t>Political Determinants of Corporate Governance</w:t>
      </w:r>
      <w:r w:rsidR="00F36FC4" w:rsidRPr="00794617">
        <w:rPr>
          <w:i/>
          <w:iCs/>
          <w:sz w:val="18"/>
          <w:szCs w:val="18"/>
        </w:rPr>
        <w:t>,’ pp 1-4</w:t>
      </w:r>
    </w:p>
  </w:footnote>
  <w:footnote w:id="13">
    <w:p w14:paraId="3368FFC4" w14:textId="0895A55F" w:rsidR="00F36FC4" w:rsidRDefault="00F36FC4">
      <w:pPr>
        <w:pStyle w:val="FootnoteText"/>
      </w:pPr>
      <w:r w:rsidRPr="00794617">
        <w:rPr>
          <w:rStyle w:val="FootnoteReference"/>
          <w:sz w:val="18"/>
          <w:szCs w:val="18"/>
        </w:rPr>
        <w:footnoteRef/>
      </w:r>
      <w:r w:rsidRPr="00794617">
        <w:rPr>
          <w:sz w:val="18"/>
          <w:szCs w:val="18"/>
        </w:rPr>
        <w:t xml:space="preserve"> Ibid</w:t>
      </w:r>
    </w:p>
  </w:footnote>
  <w:footnote w:id="14">
    <w:p w14:paraId="378801F6" w14:textId="51F232F5" w:rsidR="00F36FC4" w:rsidRPr="00794617" w:rsidRDefault="00F36FC4">
      <w:pPr>
        <w:pStyle w:val="FootnoteText"/>
        <w:rPr>
          <w:sz w:val="18"/>
          <w:szCs w:val="18"/>
        </w:rPr>
      </w:pPr>
      <w:r w:rsidRPr="00794617">
        <w:rPr>
          <w:rStyle w:val="FootnoteReference"/>
          <w:sz w:val="18"/>
          <w:szCs w:val="18"/>
        </w:rPr>
        <w:footnoteRef/>
      </w:r>
      <w:r w:rsidRPr="00794617">
        <w:rPr>
          <w:sz w:val="18"/>
          <w:szCs w:val="18"/>
        </w:rPr>
        <w:t xml:space="preserve"> </w:t>
      </w:r>
      <w:r w:rsidR="001D705A" w:rsidRPr="00794617">
        <w:rPr>
          <w:sz w:val="18"/>
          <w:szCs w:val="18"/>
        </w:rPr>
        <w:t>Hall</w:t>
      </w:r>
      <w:r w:rsidR="001D705A" w:rsidRPr="00794617">
        <w:rPr>
          <w:sz w:val="18"/>
          <w:szCs w:val="18"/>
        </w:rPr>
        <w:t>,</w:t>
      </w:r>
      <w:r w:rsidR="001D705A" w:rsidRPr="00794617">
        <w:rPr>
          <w:sz w:val="18"/>
          <w:szCs w:val="18"/>
        </w:rPr>
        <w:t xml:space="preserve"> Soskice, </w:t>
      </w:r>
      <w:r w:rsidR="001D705A" w:rsidRPr="00794617">
        <w:rPr>
          <w:i/>
          <w:iCs/>
          <w:sz w:val="18"/>
          <w:szCs w:val="18"/>
        </w:rPr>
        <w:t>Varieties of Capitalism: The Institutional Foundations of Comparative Advantage</w:t>
      </w:r>
      <w:r w:rsidR="001D705A" w:rsidRPr="00794617">
        <w:rPr>
          <w:i/>
          <w:iCs/>
          <w:sz w:val="18"/>
          <w:szCs w:val="18"/>
        </w:rPr>
        <w:t>, pp 6-7</w:t>
      </w:r>
      <w:r w:rsidR="00794617" w:rsidRPr="00794617">
        <w:rPr>
          <w:i/>
          <w:iCs/>
          <w:sz w:val="18"/>
          <w:szCs w:val="18"/>
        </w:rPr>
        <w:t>;</w:t>
      </w:r>
      <w:r w:rsidR="001D705A" w:rsidRPr="00794617">
        <w:rPr>
          <w:i/>
          <w:iCs/>
          <w:sz w:val="18"/>
          <w:szCs w:val="18"/>
        </w:rPr>
        <w:t xml:space="preserve"> 23-25</w:t>
      </w:r>
    </w:p>
  </w:footnote>
  <w:footnote w:id="15">
    <w:p w14:paraId="41D2B4C4" w14:textId="3F538035" w:rsidR="002859B5" w:rsidRPr="00794617" w:rsidRDefault="002859B5">
      <w:pPr>
        <w:pStyle w:val="FootnoteText"/>
        <w:rPr>
          <w:sz w:val="18"/>
          <w:szCs w:val="18"/>
        </w:rPr>
      </w:pPr>
      <w:r w:rsidRPr="00794617">
        <w:rPr>
          <w:rStyle w:val="FootnoteReference"/>
          <w:sz w:val="18"/>
          <w:szCs w:val="18"/>
        </w:rPr>
        <w:footnoteRef/>
      </w:r>
      <w:r w:rsidRPr="00794617">
        <w:rPr>
          <w:sz w:val="18"/>
          <w:szCs w:val="18"/>
        </w:rPr>
        <w:t xml:space="preserve"> </w:t>
      </w:r>
      <w:r w:rsidRPr="00794617">
        <w:rPr>
          <w:sz w:val="18"/>
          <w:szCs w:val="18"/>
        </w:rPr>
        <w:t xml:space="preserve">Shleifer, </w:t>
      </w:r>
      <w:proofErr w:type="spellStart"/>
      <w:r w:rsidRPr="00794617">
        <w:rPr>
          <w:sz w:val="18"/>
          <w:szCs w:val="18"/>
        </w:rPr>
        <w:t>Vishny</w:t>
      </w:r>
      <w:proofErr w:type="spellEnd"/>
      <w:r w:rsidRPr="00794617">
        <w:rPr>
          <w:sz w:val="18"/>
          <w:szCs w:val="18"/>
        </w:rPr>
        <w:t>, ‘A Survey of Corporate Governance’, 1997,</w:t>
      </w:r>
      <w:r w:rsidRPr="00794617">
        <w:rPr>
          <w:i/>
          <w:iCs/>
          <w:sz w:val="18"/>
          <w:szCs w:val="18"/>
        </w:rPr>
        <w:t xml:space="preserve"> pp 7</w:t>
      </w:r>
      <w:r w:rsidRPr="00794617">
        <w:rPr>
          <w:i/>
          <w:iCs/>
          <w:sz w:val="18"/>
          <w:szCs w:val="18"/>
        </w:rPr>
        <w:t>39-740</w:t>
      </w:r>
    </w:p>
  </w:footnote>
  <w:footnote w:id="16">
    <w:p w14:paraId="28B18B42" w14:textId="025A90C0" w:rsidR="002859B5" w:rsidRPr="00794617" w:rsidRDefault="002859B5">
      <w:pPr>
        <w:pStyle w:val="FootnoteText"/>
        <w:rPr>
          <w:sz w:val="18"/>
          <w:szCs w:val="18"/>
        </w:rPr>
      </w:pPr>
      <w:r w:rsidRPr="00794617">
        <w:rPr>
          <w:rStyle w:val="FootnoteReference"/>
          <w:sz w:val="18"/>
          <w:szCs w:val="18"/>
        </w:rPr>
        <w:footnoteRef/>
      </w:r>
      <w:r w:rsidRPr="00794617">
        <w:rPr>
          <w:sz w:val="18"/>
          <w:szCs w:val="18"/>
        </w:rPr>
        <w:t xml:space="preserve"> </w:t>
      </w:r>
      <w:r w:rsidR="005F010E" w:rsidRPr="00794617">
        <w:rPr>
          <w:sz w:val="18"/>
          <w:szCs w:val="18"/>
        </w:rPr>
        <w:t>Roe, ‘</w:t>
      </w:r>
      <w:r w:rsidR="005F010E" w:rsidRPr="00794617">
        <w:rPr>
          <w:i/>
          <w:iCs/>
          <w:sz w:val="18"/>
          <w:szCs w:val="18"/>
        </w:rPr>
        <w:t>Political Determinants of Corporate Governance,</w:t>
      </w:r>
      <w:r w:rsidR="005F010E" w:rsidRPr="00794617">
        <w:rPr>
          <w:i/>
          <w:iCs/>
          <w:sz w:val="18"/>
          <w:szCs w:val="18"/>
        </w:rPr>
        <w:t xml:space="preserve"> pp 10-12</w:t>
      </w:r>
    </w:p>
  </w:footnote>
  <w:footnote w:id="17">
    <w:p w14:paraId="61732EEF" w14:textId="52B81596" w:rsidR="005F010E" w:rsidRDefault="005F010E">
      <w:pPr>
        <w:pStyle w:val="FootnoteText"/>
      </w:pPr>
      <w:r w:rsidRPr="00794617">
        <w:rPr>
          <w:rStyle w:val="FootnoteReference"/>
          <w:sz w:val="18"/>
          <w:szCs w:val="18"/>
        </w:rPr>
        <w:footnoteRef/>
      </w:r>
      <w:r w:rsidRPr="00794617">
        <w:rPr>
          <w:sz w:val="18"/>
          <w:szCs w:val="18"/>
        </w:rPr>
        <w:t xml:space="preserve"> </w:t>
      </w:r>
      <w:r w:rsidRPr="00794617">
        <w:rPr>
          <w:sz w:val="18"/>
          <w:szCs w:val="18"/>
        </w:rPr>
        <w:t xml:space="preserve">Shleifer, </w:t>
      </w:r>
      <w:proofErr w:type="spellStart"/>
      <w:r w:rsidRPr="00794617">
        <w:rPr>
          <w:sz w:val="18"/>
          <w:szCs w:val="18"/>
        </w:rPr>
        <w:t>Vishny</w:t>
      </w:r>
      <w:proofErr w:type="spellEnd"/>
      <w:r w:rsidRPr="00794617">
        <w:rPr>
          <w:sz w:val="18"/>
          <w:szCs w:val="18"/>
        </w:rPr>
        <w:t>, ‘A Survey of Corporate Governance’, 1997,</w:t>
      </w:r>
      <w:r w:rsidRPr="00794617">
        <w:rPr>
          <w:i/>
          <w:iCs/>
          <w:sz w:val="18"/>
          <w:szCs w:val="18"/>
        </w:rPr>
        <w:t xml:space="preserve"> pp </w:t>
      </w:r>
      <w:r w:rsidRPr="00794617">
        <w:rPr>
          <w:i/>
          <w:iCs/>
          <w:sz w:val="18"/>
          <w:szCs w:val="18"/>
        </w:rPr>
        <w:t>753-754</w:t>
      </w:r>
    </w:p>
  </w:footnote>
  <w:footnote w:id="18">
    <w:p w14:paraId="0CE5B44E" w14:textId="56958875" w:rsidR="00794617" w:rsidRDefault="00794617">
      <w:pPr>
        <w:pStyle w:val="FootnoteText"/>
      </w:pPr>
      <w:r>
        <w:rPr>
          <w:rStyle w:val="FootnoteReference"/>
        </w:rPr>
        <w:footnoteRef/>
      </w:r>
      <w:r>
        <w:t xml:space="preserve"> </w:t>
      </w:r>
      <w:r w:rsidRPr="006A7466">
        <w:rPr>
          <w:sz w:val="18"/>
          <w:szCs w:val="18"/>
        </w:rPr>
        <w:t xml:space="preserve">Franks, Mayer, ‘Ownership and Control of German Corporations,’ 2001, pp </w:t>
      </w:r>
      <w:r>
        <w:rPr>
          <w:sz w:val="18"/>
          <w:szCs w:val="18"/>
        </w:rPr>
        <w:t>943-945; 958-959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26CAB"/>
    <w:multiLevelType w:val="hybridMultilevel"/>
    <w:tmpl w:val="E8D4D316"/>
    <w:lvl w:ilvl="0" w:tplc="78329F2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5555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3EB"/>
    <w:rsid w:val="00010200"/>
    <w:rsid w:val="00074766"/>
    <w:rsid w:val="00130E6C"/>
    <w:rsid w:val="001D705A"/>
    <w:rsid w:val="002859B5"/>
    <w:rsid w:val="002A3EA5"/>
    <w:rsid w:val="002B3CC8"/>
    <w:rsid w:val="003752C0"/>
    <w:rsid w:val="00377659"/>
    <w:rsid w:val="003B33EB"/>
    <w:rsid w:val="005F010E"/>
    <w:rsid w:val="006A7466"/>
    <w:rsid w:val="00714174"/>
    <w:rsid w:val="00794617"/>
    <w:rsid w:val="007A5714"/>
    <w:rsid w:val="00B00B7C"/>
    <w:rsid w:val="00C333E8"/>
    <w:rsid w:val="00E33468"/>
    <w:rsid w:val="00EA5D67"/>
    <w:rsid w:val="00EE4B9C"/>
    <w:rsid w:val="00F36FC4"/>
    <w:rsid w:val="00F640BA"/>
    <w:rsid w:val="00F96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29F75"/>
  <w15:chartTrackingRefBased/>
  <w15:docId w15:val="{88B66604-AC25-4A18-8E41-001DCDAE2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3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3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3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3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3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3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3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3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3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3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33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3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3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3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3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3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3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3EB"/>
    <w:rPr>
      <w:rFonts w:eastAsiaTheme="majorEastAsia" w:cstheme="majorBidi"/>
      <w:color w:val="272727" w:themeColor="text1" w:themeTint="D8"/>
    </w:rPr>
  </w:style>
  <w:style w:type="paragraph" w:styleId="Title">
    <w:name w:val="Title"/>
    <w:basedOn w:val="Normal"/>
    <w:next w:val="Normal"/>
    <w:link w:val="TitleChar"/>
    <w:uiPriority w:val="10"/>
    <w:qFormat/>
    <w:rsid w:val="003B33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3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3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3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3EB"/>
    <w:pPr>
      <w:spacing w:before="160"/>
      <w:jc w:val="center"/>
    </w:pPr>
    <w:rPr>
      <w:i/>
      <w:iCs/>
      <w:color w:val="404040" w:themeColor="text1" w:themeTint="BF"/>
    </w:rPr>
  </w:style>
  <w:style w:type="character" w:customStyle="1" w:styleId="QuoteChar">
    <w:name w:val="Quote Char"/>
    <w:basedOn w:val="DefaultParagraphFont"/>
    <w:link w:val="Quote"/>
    <w:uiPriority w:val="29"/>
    <w:rsid w:val="003B33EB"/>
    <w:rPr>
      <w:i/>
      <w:iCs/>
      <w:color w:val="404040" w:themeColor="text1" w:themeTint="BF"/>
    </w:rPr>
  </w:style>
  <w:style w:type="paragraph" w:styleId="ListParagraph">
    <w:name w:val="List Paragraph"/>
    <w:basedOn w:val="Normal"/>
    <w:uiPriority w:val="34"/>
    <w:qFormat/>
    <w:rsid w:val="003B33EB"/>
    <w:pPr>
      <w:ind w:left="720"/>
      <w:contextualSpacing/>
    </w:pPr>
  </w:style>
  <w:style w:type="character" w:styleId="IntenseEmphasis">
    <w:name w:val="Intense Emphasis"/>
    <w:basedOn w:val="DefaultParagraphFont"/>
    <w:uiPriority w:val="21"/>
    <w:qFormat/>
    <w:rsid w:val="003B33EB"/>
    <w:rPr>
      <w:i/>
      <w:iCs/>
      <w:color w:val="0F4761" w:themeColor="accent1" w:themeShade="BF"/>
    </w:rPr>
  </w:style>
  <w:style w:type="paragraph" w:styleId="IntenseQuote">
    <w:name w:val="Intense Quote"/>
    <w:basedOn w:val="Normal"/>
    <w:next w:val="Normal"/>
    <w:link w:val="IntenseQuoteChar"/>
    <w:uiPriority w:val="30"/>
    <w:qFormat/>
    <w:rsid w:val="003B33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3EB"/>
    <w:rPr>
      <w:i/>
      <w:iCs/>
      <w:color w:val="0F4761" w:themeColor="accent1" w:themeShade="BF"/>
    </w:rPr>
  </w:style>
  <w:style w:type="character" w:styleId="IntenseReference">
    <w:name w:val="Intense Reference"/>
    <w:basedOn w:val="DefaultParagraphFont"/>
    <w:uiPriority w:val="32"/>
    <w:qFormat/>
    <w:rsid w:val="003B33EB"/>
    <w:rPr>
      <w:b/>
      <w:bCs/>
      <w:smallCaps/>
      <w:color w:val="0F4761" w:themeColor="accent1" w:themeShade="BF"/>
      <w:spacing w:val="5"/>
    </w:rPr>
  </w:style>
  <w:style w:type="paragraph" w:styleId="FootnoteText">
    <w:name w:val="footnote text"/>
    <w:basedOn w:val="Normal"/>
    <w:link w:val="FootnoteTextChar"/>
    <w:uiPriority w:val="99"/>
    <w:semiHidden/>
    <w:unhideWhenUsed/>
    <w:rsid w:val="00B00B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0B7C"/>
    <w:rPr>
      <w:sz w:val="20"/>
      <w:szCs w:val="20"/>
    </w:rPr>
  </w:style>
  <w:style w:type="character" w:styleId="FootnoteReference">
    <w:name w:val="footnote reference"/>
    <w:basedOn w:val="DefaultParagraphFont"/>
    <w:uiPriority w:val="99"/>
    <w:semiHidden/>
    <w:unhideWhenUsed/>
    <w:rsid w:val="00B00B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6" ma:contentTypeDescription="Create a new document." ma:contentTypeScope="" ma:versionID="2f2b4e73617385a17d35af8d7536c40b">
  <xsd:schema xmlns:xsd="http://www.w3.org/2001/XMLSchema" xmlns:xs="http://www.w3.org/2001/XMLSchema" xmlns:p="http://schemas.microsoft.com/office/2006/metadata/properties" xmlns:ns3="ad7316b1-23f1-480c-8fa6-cbf037f4db9c" targetNamespace="http://schemas.microsoft.com/office/2006/metadata/properties" ma:root="true" ma:fieldsID="40ecf57166790f1b69a292d4a8d364dc"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CD4DD6CA-11D9-4B04-8219-51333220E0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28E5B4-9C4D-4414-B0AE-D32B2CDF5572}">
  <ds:schemaRefs>
    <ds:schemaRef ds:uri="http://schemas.microsoft.com/sharepoint/v3/contenttype/forms"/>
  </ds:schemaRefs>
</ds:datastoreItem>
</file>

<file path=customXml/itemProps3.xml><?xml version="1.0" encoding="utf-8"?>
<ds:datastoreItem xmlns:ds="http://schemas.openxmlformats.org/officeDocument/2006/customXml" ds:itemID="{7A149608-7866-4C31-8583-F522B029E60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2985</Words>
  <Characters>17021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Barker-Morgan (2305490)</dc:creator>
  <cp:keywords/>
  <dc:description/>
  <cp:lastModifiedBy>Broc Barker-Morgan (2305490)</cp:lastModifiedBy>
  <cp:revision>2</cp:revision>
  <dcterms:created xsi:type="dcterms:W3CDTF">2026-01-25T01:12:00Z</dcterms:created>
  <dcterms:modified xsi:type="dcterms:W3CDTF">2026-01-25T01:12:00Z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