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40986" w14:textId="4B9963CB" w:rsidR="002D17CA" w:rsidRPr="002D17CA" w:rsidRDefault="002D17CA" w:rsidP="002D17CA">
      <w:pPr>
        <w:rPr>
          <w:rFonts w:ascii="Arial" w:hAnsi="Arial" w:cs="Arial"/>
          <w:b/>
          <w:bCs/>
          <w:sz w:val="22"/>
          <w:szCs w:val="22"/>
        </w:rPr>
      </w:pPr>
      <w:bookmarkStart w:id="0" w:name="Xf1e64c8072389c74a45301ea17431087fed3390"/>
      <w:bookmarkStart w:id="1" w:name="conclusion-approx.-300-words"/>
      <w:r w:rsidRPr="00484782">
        <w:rPr>
          <w:rFonts w:ascii="Arial" w:hAnsi="Arial" w:cs="Arial"/>
          <w:b/>
          <w:bCs/>
        </w:rPr>
        <w:t xml:space="preserve">Name: </w:t>
      </w:r>
      <w:r w:rsidR="0095385B">
        <w:rPr>
          <w:rFonts w:ascii="Arial" w:hAnsi="Arial" w:cs="Arial"/>
          <w:b/>
          <w:bCs/>
        </w:rPr>
        <w:t>Muhammed Kamran Khan</w:t>
      </w:r>
    </w:p>
    <w:p w14:paraId="24A218F2" w14:textId="77777777" w:rsidR="00526E48" w:rsidRDefault="00526E48" w:rsidP="002D17CA">
      <w:pPr>
        <w:jc w:val="both"/>
        <w:rPr>
          <w:rFonts w:ascii="Arial" w:hAnsi="Arial" w:cs="Arial"/>
          <w:b/>
          <w:bCs/>
        </w:rPr>
      </w:pPr>
    </w:p>
    <w:p w14:paraId="62EE0E21" w14:textId="20F45787" w:rsidR="002D17CA" w:rsidRPr="00484782" w:rsidRDefault="002D17CA" w:rsidP="002D17CA">
      <w:pPr>
        <w:jc w:val="both"/>
        <w:rPr>
          <w:rFonts w:ascii="Arial" w:hAnsi="Arial" w:cs="Arial"/>
          <w:b/>
          <w:bCs/>
        </w:rPr>
      </w:pPr>
      <w:r w:rsidRPr="00484782">
        <w:rPr>
          <w:rFonts w:ascii="Arial" w:hAnsi="Arial" w:cs="Arial"/>
          <w:b/>
          <w:bCs/>
        </w:rPr>
        <w:t xml:space="preserve">Student No: </w:t>
      </w:r>
      <w:r w:rsidR="0095385B">
        <w:rPr>
          <w:rFonts w:ascii="Arial" w:hAnsi="Arial" w:cs="Arial"/>
          <w:b/>
          <w:bCs/>
        </w:rPr>
        <w:t>2428180</w:t>
      </w:r>
    </w:p>
    <w:p w14:paraId="1B3296F9" w14:textId="77777777" w:rsidR="00526E48" w:rsidRDefault="00526E48" w:rsidP="002D17CA">
      <w:pPr>
        <w:jc w:val="both"/>
        <w:rPr>
          <w:rFonts w:ascii="Arial" w:hAnsi="Arial" w:cs="Arial"/>
          <w:b/>
          <w:bCs/>
        </w:rPr>
      </w:pPr>
    </w:p>
    <w:p w14:paraId="61A0E785" w14:textId="50A4AF45" w:rsidR="002D17CA" w:rsidRPr="00484782" w:rsidRDefault="002D17CA" w:rsidP="002D17CA">
      <w:pPr>
        <w:jc w:val="both"/>
        <w:rPr>
          <w:rFonts w:ascii="Arial" w:hAnsi="Arial" w:cs="Arial"/>
          <w:b/>
          <w:bCs/>
        </w:rPr>
      </w:pPr>
      <w:r w:rsidRPr="00484782">
        <w:rPr>
          <w:rFonts w:ascii="Arial" w:hAnsi="Arial" w:cs="Arial"/>
          <w:b/>
          <w:bCs/>
        </w:rPr>
        <w:t>Module:</w:t>
      </w:r>
      <w:r w:rsidR="0095385B">
        <w:rPr>
          <w:rFonts w:ascii="Arial" w:hAnsi="Arial" w:cs="Arial"/>
          <w:b/>
          <w:bCs/>
        </w:rPr>
        <w:t xml:space="preserve"> Psychology in Health and Social Care</w:t>
      </w:r>
    </w:p>
    <w:p w14:paraId="06B67A54" w14:textId="77777777" w:rsidR="00526E48" w:rsidRDefault="00526E48" w:rsidP="002D17CA">
      <w:pPr>
        <w:jc w:val="both"/>
        <w:rPr>
          <w:rFonts w:ascii="Arial" w:hAnsi="Arial" w:cs="Arial"/>
          <w:b/>
          <w:bCs/>
        </w:rPr>
      </w:pPr>
    </w:p>
    <w:p w14:paraId="74DEC9DB" w14:textId="25C38B1C" w:rsidR="002D17CA" w:rsidRPr="00484782" w:rsidRDefault="002D17CA" w:rsidP="002D17CA">
      <w:pPr>
        <w:jc w:val="both"/>
        <w:rPr>
          <w:rFonts w:ascii="Arial" w:hAnsi="Arial" w:cs="Arial"/>
          <w:b/>
          <w:bCs/>
        </w:rPr>
      </w:pPr>
      <w:r w:rsidRPr="00484782">
        <w:rPr>
          <w:rFonts w:ascii="Arial" w:hAnsi="Arial" w:cs="Arial"/>
          <w:b/>
          <w:bCs/>
        </w:rPr>
        <w:t xml:space="preserve">Assignment Title: </w:t>
      </w:r>
      <w:r w:rsidR="0095385B">
        <w:rPr>
          <w:rFonts w:ascii="Arial" w:hAnsi="Arial" w:cs="Arial"/>
          <w:b/>
          <w:bCs/>
        </w:rPr>
        <w:t>Written Task – Component 2</w:t>
      </w:r>
    </w:p>
    <w:p w14:paraId="35CFC51F" w14:textId="77777777" w:rsidR="00526E48" w:rsidRDefault="00526E48" w:rsidP="002D17CA">
      <w:pPr>
        <w:jc w:val="both"/>
        <w:rPr>
          <w:rFonts w:ascii="Arial" w:hAnsi="Arial" w:cs="Arial"/>
          <w:b/>
          <w:bCs/>
        </w:rPr>
      </w:pPr>
    </w:p>
    <w:p w14:paraId="21F2D005" w14:textId="1AE432F5" w:rsidR="002D17CA" w:rsidRPr="00484782" w:rsidRDefault="002D17CA" w:rsidP="002D17CA">
      <w:pPr>
        <w:jc w:val="both"/>
        <w:rPr>
          <w:rFonts w:ascii="Arial" w:hAnsi="Arial" w:cs="Arial"/>
          <w:b/>
          <w:bCs/>
        </w:rPr>
      </w:pPr>
      <w:r w:rsidRPr="00484782">
        <w:rPr>
          <w:rFonts w:ascii="Arial" w:hAnsi="Arial" w:cs="Arial"/>
          <w:b/>
          <w:bCs/>
        </w:rPr>
        <w:t xml:space="preserve">Module Code: </w:t>
      </w:r>
      <w:r w:rsidR="0095385B" w:rsidRPr="0095385B">
        <w:rPr>
          <w:rFonts w:ascii="Arial" w:hAnsi="Arial" w:cs="Arial"/>
          <w:b/>
          <w:bCs/>
        </w:rPr>
        <w:t>LCHS4010</w:t>
      </w:r>
    </w:p>
    <w:p w14:paraId="2762D7EE" w14:textId="77777777" w:rsidR="00526E48" w:rsidRDefault="00526E48" w:rsidP="002D17CA">
      <w:pPr>
        <w:jc w:val="both"/>
        <w:rPr>
          <w:rFonts w:ascii="Arial" w:hAnsi="Arial" w:cs="Arial"/>
          <w:b/>
          <w:bCs/>
        </w:rPr>
      </w:pPr>
    </w:p>
    <w:p w14:paraId="7B231439" w14:textId="6DC02654" w:rsidR="002D17CA" w:rsidRPr="00484782" w:rsidRDefault="002D17CA" w:rsidP="002D17CA">
      <w:pPr>
        <w:jc w:val="both"/>
        <w:rPr>
          <w:rFonts w:ascii="Arial" w:hAnsi="Arial" w:cs="Arial"/>
          <w:b/>
          <w:bCs/>
        </w:rPr>
      </w:pPr>
      <w:r w:rsidRPr="00484782">
        <w:rPr>
          <w:rFonts w:ascii="Arial" w:hAnsi="Arial" w:cs="Arial"/>
          <w:b/>
          <w:bCs/>
        </w:rPr>
        <w:t>Lecturer:</w:t>
      </w:r>
      <w:r w:rsidR="0095385B">
        <w:rPr>
          <w:rFonts w:ascii="Arial" w:hAnsi="Arial" w:cs="Arial"/>
          <w:b/>
          <w:bCs/>
        </w:rPr>
        <w:t xml:space="preserve"> Helen Parsons</w:t>
      </w:r>
    </w:p>
    <w:p w14:paraId="0BCBC8B2" w14:textId="77777777" w:rsidR="002D17CA" w:rsidRDefault="002D17CA" w:rsidP="002D17CA">
      <w:pPr>
        <w:rPr>
          <w:rFonts w:ascii="Arial" w:hAnsi="Arial" w:cs="Arial"/>
          <w:b/>
          <w:bCs/>
        </w:rPr>
      </w:pPr>
      <w:r>
        <w:rPr>
          <w:rFonts w:ascii="Arial" w:hAnsi="Arial" w:cs="Arial"/>
          <w:b/>
          <w:bCs/>
        </w:rPr>
        <w:br w:type="page"/>
      </w:r>
      <w:r>
        <w:rPr>
          <w:rFonts w:ascii="Arial" w:hAnsi="Arial" w:cs="Arial"/>
          <w:b/>
          <w:bCs/>
        </w:rPr>
        <w:lastRenderedPageBreak/>
        <w:t xml:space="preserve">Contents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p>
    <w:p w14:paraId="23DEFD0D" w14:textId="77777777" w:rsidR="002D17CA" w:rsidRDefault="002D17CA" w:rsidP="002D17CA">
      <w:pPr>
        <w:rPr>
          <w:rFonts w:ascii="Arial" w:hAnsi="Arial" w:cs="Arial"/>
          <w:b/>
          <w:bCs/>
        </w:rPr>
      </w:pPr>
    </w:p>
    <w:p w14:paraId="3C9EB1E4" w14:textId="77777777" w:rsidR="002D17CA" w:rsidRDefault="002D17CA" w:rsidP="002D17CA">
      <w:pPr>
        <w:rPr>
          <w:rFonts w:ascii="Arial" w:hAnsi="Arial" w:cs="Arial"/>
          <w:b/>
          <w:bCs/>
        </w:rPr>
      </w:pPr>
      <w:r>
        <w:rPr>
          <w:rFonts w:ascii="Arial" w:hAnsi="Arial" w:cs="Arial"/>
          <w:b/>
          <w:bCs/>
        </w:rPr>
        <w:t>Cover page ………………………………………………………………….</w:t>
      </w:r>
      <w:r>
        <w:rPr>
          <w:rFonts w:ascii="Arial" w:hAnsi="Arial" w:cs="Arial"/>
          <w:b/>
          <w:bCs/>
        </w:rPr>
        <w:tab/>
        <w:t>1</w:t>
      </w:r>
    </w:p>
    <w:p w14:paraId="2F1B4D53" w14:textId="1F8040A4" w:rsidR="002D17CA" w:rsidRDefault="002D17CA" w:rsidP="002D17CA">
      <w:pPr>
        <w:rPr>
          <w:rFonts w:ascii="Arial" w:hAnsi="Arial" w:cs="Arial"/>
          <w:b/>
          <w:bCs/>
        </w:rPr>
      </w:pPr>
      <w:r>
        <w:rPr>
          <w:rFonts w:ascii="Arial" w:hAnsi="Arial" w:cs="Arial"/>
          <w:b/>
          <w:bCs/>
        </w:rPr>
        <w:t>Contents Page …………………………………………………………</w:t>
      </w:r>
      <w:r w:rsidR="00E442BB">
        <w:rPr>
          <w:rFonts w:ascii="Arial" w:hAnsi="Arial" w:cs="Arial"/>
          <w:b/>
          <w:bCs/>
        </w:rPr>
        <w:t>….</w:t>
      </w:r>
      <w:r>
        <w:rPr>
          <w:rFonts w:ascii="Arial" w:hAnsi="Arial" w:cs="Arial"/>
          <w:b/>
          <w:bCs/>
        </w:rPr>
        <w:tab/>
        <w:t>2</w:t>
      </w:r>
    </w:p>
    <w:p w14:paraId="0BE74CDA" w14:textId="519576FC" w:rsidR="00E442BB" w:rsidRDefault="00E442BB" w:rsidP="002D17CA">
      <w:pPr>
        <w:rPr>
          <w:rFonts w:ascii="Arial" w:hAnsi="Arial" w:cs="Arial"/>
          <w:b/>
          <w:bCs/>
        </w:rPr>
      </w:pPr>
      <w:r>
        <w:rPr>
          <w:rFonts w:ascii="Arial" w:hAnsi="Arial" w:cs="Arial"/>
          <w:b/>
          <w:bCs/>
        </w:rPr>
        <w:t>Assignment …………………………………………………………………</w:t>
      </w:r>
      <w:r>
        <w:rPr>
          <w:rFonts w:ascii="Arial" w:hAnsi="Arial" w:cs="Arial"/>
          <w:b/>
          <w:bCs/>
        </w:rPr>
        <w:tab/>
        <w:t>3-8</w:t>
      </w:r>
    </w:p>
    <w:p w14:paraId="5E70DF73" w14:textId="2383AD18" w:rsidR="002D17CA" w:rsidRDefault="002D17CA" w:rsidP="002D17CA">
      <w:pPr>
        <w:spacing w:after="120" w:line="360" w:lineRule="auto"/>
        <w:rPr>
          <w:rFonts w:ascii="Arial" w:hAnsi="Arial" w:cs="Arial"/>
          <w:b/>
          <w:bCs/>
        </w:rPr>
      </w:pPr>
      <w:r>
        <w:rPr>
          <w:rFonts w:ascii="Arial" w:hAnsi="Arial" w:cs="Arial"/>
          <w:b/>
          <w:bCs/>
        </w:rPr>
        <w:t>References ………………………………………………………………</w:t>
      </w:r>
      <w:r w:rsidR="00E442BB">
        <w:rPr>
          <w:rFonts w:ascii="Arial" w:hAnsi="Arial" w:cs="Arial"/>
          <w:b/>
          <w:bCs/>
        </w:rPr>
        <w:t>….</w:t>
      </w:r>
      <w:r>
        <w:rPr>
          <w:rFonts w:ascii="Arial" w:hAnsi="Arial" w:cs="Arial"/>
          <w:b/>
          <w:bCs/>
        </w:rPr>
        <w:tab/>
      </w:r>
      <w:r w:rsidR="00E442BB">
        <w:rPr>
          <w:rFonts w:ascii="Arial" w:hAnsi="Arial" w:cs="Arial"/>
          <w:b/>
          <w:bCs/>
        </w:rPr>
        <w:t>9</w:t>
      </w:r>
    </w:p>
    <w:p w14:paraId="4BC510CA" w14:textId="77777777" w:rsidR="002D17CA" w:rsidRDefault="002D17CA">
      <w:pPr>
        <w:rPr>
          <w:rFonts w:ascii="Arial" w:hAnsi="Arial" w:cs="Arial"/>
          <w:b/>
          <w:bCs/>
        </w:rPr>
      </w:pPr>
      <w:r>
        <w:rPr>
          <w:rFonts w:ascii="Arial" w:hAnsi="Arial" w:cs="Arial"/>
          <w:b/>
          <w:bCs/>
        </w:rPr>
        <w:br w:type="page"/>
      </w:r>
    </w:p>
    <w:p w14:paraId="2BD77A24" w14:textId="2B392ECC" w:rsidR="002D17CA" w:rsidRPr="002D17CA" w:rsidRDefault="002D17CA" w:rsidP="00E442BB">
      <w:pPr>
        <w:spacing w:after="120" w:line="360" w:lineRule="auto"/>
        <w:rPr>
          <w:rFonts w:ascii="Arial" w:hAnsi="Arial" w:cs="Arial"/>
          <w:b/>
          <w:bCs/>
          <w:sz w:val="22"/>
          <w:szCs w:val="22"/>
        </w:rPr>
      </w:pPr>
      <w:r w:rsidRPr="002D17CA">
        <w:rPr>
          <w:rFonts w:ascii="Arial" w:hAnsi="Arial" w:cs="Arial"/>
          <w:b/>
          <w:bCs/>
          <w:sz w:val="22"/>
          <w:szCs w:val="22"/>
        </w:rPr>
        <w:lastRenderedPageBreak/>
        <w:t>Supporting Older Adults with Dementia in Care Homes: Psychological Theories and Practical Applications</w:t>
      </w:r>
    </w:p>
    <w:p w14:paraId="04756EAE" w14:textId="77777777" w:rsidR="002D17CA" w:rsidRPr="002D17CA" w:rsidRDefault="002D17CA" w:rsidP="00E442BB">
      <w:pPr>
        <w:spacing w:after="120" w:line="360" w:lineRule="auto"/>
        <w:rPr>
          <w:rFonts w:ascii="Arial" w:hAnsi="Arial" w:cs="Arial"/>
          <w:b/>
          <w:bCs/>
          <w:sz w:val="22"/>
          <w:szCs w:val="22"/>
        </w:rPr>
      </w:pPr>
      <w:r w:rsidRPr="002D17CA">
        <w:rPr>
          <w:rFonts w:ascii="Arial" w:hAnsi="Arial" w:cs="Arial"/>
          <w:b/>
          <w:bCs/>
          <w:sz w:val="22"/>
          <w:szCs w:val="22"/>
        </w:rPr>
        <w:t>Introduction</w:t>
      </w:r>
    </w:p>
    <w:p w14:paraId="204D4F3B" w14:textId="31CC2DED"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Dementia is a progressive neurological disorder that impacts cognitive, emotional, and social functioning in elderly individuals, posing intricate challenges within care home environments. Health and social care professionals play a crucial role in enhancing the well-being of residents, necessitating a comprehensive understanding of the psychological, social, and biological factors that affect older adults. Psychological theories offer a systematic framework for analysing behaviours, emotional reactions, and cognitive deterioration, which allows professionals to apply person-centred interventions effectively. Two pertinent theories in this regard are Erikson’s Psychosocial Theory and Social Disengagement Theory.</w:t>
      </w:r>
    </w:p>
    <w:p w14:paraId="363C554C" w14:textId="77777777" w:rsidR="00E442BB" w:rsidRDefault="00E442BB" w:rsidP="00E442BB">
      <w:pPr>
        <w:spacing w:after="120" w:line="360" w:lineRule="auto"/>
        <w:rPr>
          <w:rFonts w:ascii="Arial" w:hAnsi="Arial" w:cs="Arial"/>
          <w:sz w:val="22"/>
          <w:szCs w:val="22"/>
        </w:rPr>
      </w:pPr>
      <w:r w:rsidRPr="00E442BB">
        <w:rPr>
          <w:rFonts w:ascii="Arial" w:hAnsi="Arial" w:cs="Arial"/>
          <w:sz w:val="22"/>
          <w:szCs w:val="22"/>
        </w:rPr>
        <w:t>Erikson’s Psychosocial Theory, formulated by Erik Erikson in 1950, emphasizes human development through eight distinct stages, each characterized by a psychosocial conflict. In the context of late adulthood (65 years and older), the stage of integrity versus despair is especially relevant, concentrating on reflection, acceptance of life experiences, and the cultivation of wisdom. Grasping this stage aids professionals in facilitating emotional and cognitive processes for residents with dementia, thereby promoting dignity, autonomy, and a sense of purpose. Important concepts include the resolution of psychosocial conflicts, ego integrity, and the emotional ramifications of unresolved life challenges.</w:t>
      </w:r>
    </w:p>
    <w:p w14:paraId="36ECED84" w14:textId="13532FA5"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The Social Disengagement Theory, proposed by Elaine Cumming and William E. Henry in 1961, posits that the process of aging entails a natural retreat from social roles and relationships, which is shaped by both biological aging and environmental factors. Although some degree of disengagement is considered normative, excessive withdrawal may lead to emotional distress and cognitive decline. This theory offers valuable insights into the social behaviour patterns observed in residents of care homes and informs the development of interventions aimed at fostering meaningful engagement.</w:t>
      </w:r>
    </w:p>
    <w:p w14:paraId="3A60B40D" w14:textId="77777777"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Biological elements such as genetics, neurodegeneration, and physical health interact with environmental factors, including social support, caregiving practices, and cultural context. The dynamic relationship between nature and nurture significantly influences psychological development and the progression of dementia, as noted by Baltes et al. in 1999. Acknowledging this interaction enables professionals to create interventions that enhance cognitive functioning, emotional resilience, and social inclusion.</w:t>
      </w:r>
    </w:p>
    <w:p w14:paraId="2AE81B0F" w14:textId="77777777" w:rsidR="00E442BB" w:rsidRPr="00E442BB" w:rsidRDefault="00E442BB" w:rsidP="00E442BB">
      <w:pPr>
        <w:spacing w:after="120" w:line="360" w:lineRule="auto"/>
        <w:rPr>
          <w:rFonts w:ascii="Arial" w:hAnsi="Arial" w:cs="Arial"/>
          <w:sz w:val="22"/>
          <w:szCs w:val="22"/>
        </w:rPr>
      </w:pPr>
    </w:p>
    <w:p w14:paraId="1F1BC882" w14:textId="2562DB1A" w:rsidR="002D17CA" w:rsidRDefault="00E442BB" w:rsidP="00E442BB">
      <w:pPr>
        <w:spacing w:after="120" w:line="360" w:lineRule="auto"/>
        <w:rPr>
          <w:rFonts w:ascii="Arial" w:hAnsi="Arial" w:cs="Arial"/>
          <w:sz w:val="22"/>
          <w:szCs w:val="22"/>
        </w:rPr>
      </w:pPr>
      <w:r w:rsidRPr="00E442BB">
        <w:rPr>
          <w:rFonts w:ascii="Arial" w:hAnsi="Arial" w:cs="Arial"/>
          <w:sz w:val="22"/>
          <w:szCs w:val="22"/>
        </w:rPr>
        <w:t>This report explores how Erikson’s Psychosocial Theory and the Social Disengagement Theory inform care practices for older adults suffering from dementia. It examines age-related psychological transformations, the interplay of biological and environmental influences, and practical care strategies. Furthermore, the report assesses the strengths and weaknesses of each theory and offers recommendations for addressing challenges, ensuring that care is culturally sensitive, inclusive, and ethically sound, in accordance with professional standards.</w:t>
      </w:r>
    </w:p>
    <w:p w14:paraId="26C8C438" w14:textId="77777777" w:rsidR="00E442BB" w:rsidRPr="002D17CA" w:rsidRDefault="00E442BB" w:rsidP="00E442BB">
      <w:pPr>
        <w:spacing w:after="120" w:line="360" w:lineRule="auto"/>
        <w:rPr>
          <w:rFonts w:ascii="Arial" w:hAnsi="Arial" w:cs="Arial"/>
          <w:sz w:val="22"/>
          <w:szCs w:val="22"/>
        </w:rPr>
      </w:pPr>
    </w:p>
    <w:p w14:paraId="76B9D0CF" w14:textId="765F9274" w:rsidR="00E442BB" w:rsidRDefault="00E442BB" w:rsidP="00E442BB">
      <w:pPr>
        <w:spacing w:after="120" w:line="360" w:lineRule="auto"/>
        <w:rPr>
          <w:rFonts w:ascii="Arial" w:hAnsi="Arial" w:cs="Arial"/>
          <w:b/>
          <w:bCs/>
          <w:sz w:val="22"/>
          <w:szCs w:val="22"/>
        </w:rPr>
      </w:pPr>
      <w:r w:rsidRPr="00E442BB">
        <w:rPr>
          <w:rFonts w:ascii="Arial" w:hAnsi="Arial" w:cs="Arial"/>
          <w:b/>
          <w:bCs/>
          <w:sz w:val="22"/>
          <w:szCs w:val="22"/>
        </w:rPr>
        <w:t>Discussion and Analysis</w:t>
      </w:r>
    </w:p>
    <w:p w14:paraId="717F6DF1" w14:textId="77777777" w:rsidR="00E442BB" w:rsidRPr="00E442BB" w:rsidRDefault="00E442BB" w:rsidP="00E442BB">
      <w:pPr>
        <w:spacing w:after="120" w:line="360" w:lineRule="auto"/>
        <w:rPr>
          <w:rFonts w:ascii="Arial" w:hAnsi="Arial" w:cs="Arial"/>
          <w:b/>
          <w:bCs/>
          <w:sz w:val="22"/>
          <w:szCs w:val="22"/>
        </w:rPr>
      </w:pPr>
    </w:p>
    <w:p w14:paraId="1A1E38A7" w14:textId="1EE72887" w:rsidR="00E442BB" w:rsidRPr="00E442BB" w:rsidRDefault="00E442BB" w:rsidP="00E442BB">
      <w:pPr>
        <w:spacing w:after="120" w:line="360" w:lineRule="auto"/>
        <w:rPr>
          <w:rFonts w:ascii="Arial" w:hAnsi="Arial" w:cs="Arial"/>
          <w:b/>
          <w:bCs/>
          <w:sz w:val="22"/>
          <w:szCs w:val="22"/>
        </w:rPr>
      </w:pPr>
      <w:r w:rsidRPr="00E442BB">
        <w:rPr>
          <w:rFonts w:ascii="Arial" w:hAnsi="Arial" w:cs="Arial"/>
          <w:b/>
          <w:bCs/>
          <w:sz w:val="22"/>
          <w:szCs w:val="22"/>
        </w:rPr>
        <w:t>Erikson’s Psychosocial Theory and Dementia Care</w:t>
      </w:r>
    </w:p>
    <w:p w14:paraId="2B4C7D6A" w14:textId="250A8881"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Erikson’s theory (1950) posits that human development unfolds through eight distinct stages, each characterized by a psychosocial conflict. In the context of late adulthood, the conflict of integrity versus despair is particularly significant. Ego integrity signifies the acceptance and coherence that arise from leading a meaningful life, whereas despair embodies feelings of regret and dissatisfaction. For elderly individuals suffering from dementia, cognitive impairments may hinder the integration of life experiences, potentially heightening feelings of despair (Erikson, 1950).</w:t>
      </w:r>
    </w:p>
    <w:p w14:paraId="7264FD87" w14:textId="2D819390"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Professionals can enhance ego integrity through reminiscence therapy, life review interventions, and the validation of past accomplishments, thereby nurturing a sense of achievement and dignity (Woods et al., 2012). Engaging activities such as memory boxes, personalized photo albums, and organized reminiscence groups can stimulate cognitive function and foster emotional well-being (Subramaniam &amp; Woods, 2012). By concentrating on individual life histories, caregivers can promote person-centred care and help maintain the identities of residents. Furthermore, encouraging narrative storytelling or life story work allows residents to articulate their experiences, reinforcing their self-identity, which can lead to improved mood and decreased agitation (Haight &amp; Webster, 1995).</w:t>
      </w:r>
    </w:p>
    <w:p w14:paraId="31D5E930" w14:textId="77777777"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 xml:space="preserve">The theory also elucidates how unresolved psychosocial conflicts from earlier life stages may resurface in later adulthood, potentially intensifying distress among residents with dementia. Professionals can utilize their understanding of these conflicts by offering reassurance, </w:t>
      </w:r>
      <w:r w:rsidRPr="00E442BB">
        <w:rPr>
          <w:rFonts w:ascii="Arial" w:hAnsi="Arial" w:cs="Arial"/>
          <w:sz w:val="22"/>
          <w:szCs w:val="22"/>
        </w:rPr>
        <w:lastRenderedPageBreak/>
        <w:t>empathetic listening, and validation of emotions, thereby cultivating a sense of acceptance and alleviating despair.</w:t>
      </w:r>
    </w:p>
    <w:p w14:paraId="31FB23DC" w14:textId="0CCA1210"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Identifying periods where residents may have previously encountered difficulties with intimacy, generativity, or identity can inform tailored interventions that honour their life histories and accomplishments.</w:t>
      </w:r>
    </w:p>
    <w:p w14:paraId="0A9B7762" w14:textId="77777777"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The strengths of Erikson’s theory lie in its lifespan perspective, emphasis on psychosocial needs, and relevance to interventions aimed at enhancing emotional well-being. However, its limitations include a stage-based framework that may not adequately represent the experiences of residents suffering from advanced dementia, as well as the cultural differences in life reflection practices (McAdams, 2001). Some older adults might not place the same importance on life reflection, and cognitive impairments can hinder the effectiveness of interventions that rely on reminiscence or life review. Nevertheless, adaptations such as the use of visual aids, music therapy, and family participation can improve engagement.</w:t>
      </w:r>
    </w:p>
    <w:p w14:paraId="093F9085" w14:textId="77777777" w:rsidR="00E442BB" w:rsidRPr="00E442BB" w:rsidRDefault="00E442BB" w:rsidP="00E442BB">
      <w:pPr>
        <w:spacing w:after="120" w:line="360" w:lineRule="auto"/>
        <w:rPr>
          <w:rFonts w:ascii="Arial" w:hAnsi="Arial" w:cs="Arial"/>
          <w:sz w:val="22"/>
          <w:szCs w:val="22"/>
        </w:rPr>
      </w:pPr>
    </w:p>
    <w:p w14:paraId="1A574CD6" w14:textId="2122AD56" w:rsidR="00E442BB" w:rsidRPr="00E442BB" w:rsidRDefault="00E442BB" w:rsidP="00E442BB">
      <w:pPr>
        <w:spacing w:after="120" w:line="360" w:lineRule="auto"/>
        <w:rPr>
          <w:rFonts w:ascii="Arial" w:hAnsi="Arial" w:cs="Arial"/>
          <w:b/>
          <w:bCs/>
          <w:sz w:val="22"/>
          <w:szCs w:val="22"/>
        </w:rPr>
      </w:pPr>
      <w:r w:rsidRPr="00E442BB">
        <w:rPr>
          <w:rFonts w:ascii="Arial" w:hAnsi="Arial" w:cs="Arial"/>
          <w:b/>
          <w:bCs/>
          <w:sz w:val="22"/>
          <w:szCs w:val="22"/>
        </w:rPr>
        <w:t>Social Disengagement Theory and Its Application</w:t>
      </w:r>
    </w:p>
    <w:p w14:paraId="7AA58F52" w14:textId="77777777" w:rsidR="00E442BB" w:rsidRDefault="00E442BB" w:rsidP="00E442BB">
      <w:pPr>
        <w:spacing w:after="120" w:line="360" w:lineRule="auto"/>
        <w:rPr>
          <w:rFonts w:ascii="Arial" w:hAnsi="Arial" w:cs="Arial"/>
          <w:sz w:val="22"/>
          <w:szCs w:val="22"/>
        </w:rPr>
      </w:pPr>
      <w:r w:rsidRPr="00E442BB">
        <w:rPr>
          <w:rFonts w:ascii="Arial" w:hAnsi="Arial" w:cs="Arial"/>
          <w:sz w:val="22"/>
          <w:szCs w:val="22"/>
        </w:rPr>
        <w:t>Cumming and Henry (1961) suggested that aging is characterized by a withdrawal from social roles, which is influenced by physical decline, bereavement, and cognitive impairments. In care facilities, this disengagement can worsen feelings of loneliness, depression, and cognitive decline if not addressed (Dickens et al., 2011). Acknowledging this withdrawal enables professionals to implement interventions that strike a balance between promoting autonomy and providing opportunities for social engagement.</w:t>
      </w:r>
    </w:p>
    <w:p w14:paraId="4DB24774" w14:textId="3F23A4DD"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Practical applications encompass organized social activities, group therapy, and intergenerational programs, which enhance participation and help combat isolation (Chen &amp; Feeley, 2014).</w:t>
      </w:r>
    </w:p>
    <w:p w14:paraId="4B6BF944" w14:textId="77777777"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Recognizing biological limitations, such as decreased mobility, along with environmental influences like institutional routines, allows staff to tailor interventions effectively. For instance, arranging activities during periods when residents are most alert or offering smaller group sessions can foster greater participation. Additionally, technology such as video conferencing or digital reminiscence tools can alleviate social isolation, especially for residents with minimal family interaction.</w:t>
      </w:r>
    </w:p>
    <w:p w14:paraId="08469487" w14:textId="77777777" w:rsidR="00E442BB" w:rsidRPr="00E442BB" w:rsidRDefault="00E442BB" w:rsidP="00E442BB">
      <w:pPr>
        <w:spacing w:after="120" w:line="360" w:lineRule="auto"/>
        <w:rPr>
          <w:rFonts w:ascii="Arial" w:hAnsi="Arial" w:cs="Arial"/>
          <w:sz w:val="22"/>
          <w:szCs w:val="22"/>
        </w:rPr>
      </w:pPr>
    </w:p>
    <w:p w14:paraId="7E4742E0" w14:textId="2DC8BE11" w:rsidR="002D17CA" w:rsidRDefault="00E442BB" w:rsidP="00E442BB">
      <w:pPr>
        <w:spacing w:after="120" w:line="360" w:lineRule="auto"/>
        <w:rPr>
          <w:rFonts w:ascii="Arial" w:hAnsi="Arial" w:cs="Arial"/>
          <w:sz w:val="22"/>
          <w:szCs w:val="22"/>
        </w:rPr>
      </w:pPr>
      <w:r w:rsidRPr="00E442BB">
        <w:rPr>
          <w:rFonts w:ascii="Arial" w:hAnsi="Arial" w:cs="Arial"/>
          <w:sz w:val="22"/>
          <w:szCs w:val="22"/>
        </w:rPr>
        <w:lastRenderedPageBreak/>
        <w:t>The theory sheds light on the psychological effects of diminished social engagement, demonstrating how loneliness can intensify behavioural and cognitive symptoms associated with dementia. Social engagement promotes cognitive processing and emotional health, underscoring the necessity of fostering a supportive environment that encourages inclusion. The strengths of Social Disengagement Theory lie in its emphasis on social adaptation and age-related behavioural transformations. However, criticisms point to its deterministic aspects, which overlook the experiences of active older adults or disengagement resulting from environmental constraints (Greenfield &amp; Marks, 2004). Merging this theory with person-centred approaches helps to avoid rationalizing isolation and highlights the possibilities for engagement, even within dementia care.</w:t>
      </w:r>
    </w:p>
    <w:p w14:paraId="523B0A17" w14:textId="77777777" w:rsidR="00E442BB" w:rsidRDefault="00E442BB" w:rsidP="00E442BB">
      <w:pPr>
        <w:spacing w:after="120" w:line="360" w:lineRule="auto"/>
        <w:rPr>
          <w:rFonts w:ascii="Arial" w:hAnsi="Arial" w:cs="Arial"/>
          <w:b/>
          <w:bCs/>
          <w:sz w:val="22"/>
          <w:szCs w:val="22"/>
        </w:rPr>
      </w:pPr>
    </w:p>
    <w:p w14:paraId="3CB1D04E" w14:textId="0930686C" w:rsidR="00E442BB" w:rsidRPr="00E442BB" w:rsidRDefault="00E442BB" w:rsidP="00E442BB">
      <w:pPr>
        <w:spacing w:after="120" w:line="360" w:lineRule="auto"/>
        <w:rPr>
          <w:rFonts w:ascii="Arial" w:hAnsi="Arial" w:cs="Arial"/>
          <w:b/>
          <w:bCs/>
          <w:sz w:val="22"/>
          <w:szCs w:val="22"/>
        </w:rPr>
      </w:pPr>
      <w:r w:rsidRPr="00E442BB">
        <w:rPr>
          <w:rFonts w:ascii="Arial" w:hAnsi="Arial" w:cs="Arial"/>
          <w:b/>
          <w:bCs/>
          <w:sz w:val="22"/>
          <w:szCs w:val="22"/>
        </w:rPr>
        <w:t>Nature and Nurture in Late Adulthood</w:t>
      </w:r>
    </w:p>
    <w:p w14:paraId="2EB75FB6" w14:textId="0C910EDD"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Nature pertains to genetic and biological factors, whereas nurture includes environmental elements such as social interactions, caregiving, and cultural context (Berk, 2018). Cognitive decline, sensory alterations, and physical frailty (nature) interact with social isolation, the quality of care, and cultural norms (nurture), thereby influencing psychological outcomes. For instance, a genetic predisposition to Alzheimer’s disease may result in a more rapid decline if there is a lack of environmental stimulation.</w:t>
      </w:r>
    </w:p>
    <w:p w14:paraId="634949A2" w14:textId="4BDF9266" w:rsidR="002D17CA" w:rsidRPr="00E442BB" w:rsidRDefault="00E442BB" w:rsidP="00E442BB">
      <w:pPr>
        <w:spacing w:after="120" w:line="360" w:lineRule="auto"/>
        <w:rPr>
          <w:rFonts w:ascii="Arial" w:hAnsi="Arial" w:cs="Arial"/>
          <w:sz w:val="22"/>
          <w:szCs w:val="22"/>
        </w:rPr>
      </w:pPr>
      <w:r w:rsidRPr="00E442BB">
        <w:rPr>
          <w:rFonts w:ascii="Arial" w:hAnsi="Arial" w:cs="Arial"/>
          <w:sz w:val="22"/>
          <w:szCs w:val="22"/>
        </w:rPr>
        <w:t>Both Erikson’s and Social Disengagement theories engage with the nature-nurture discourse. Erikson acknowledges the role of biological maturation and cognitive abilities (nature) alongside the influence of social relationships and experiences (nurture) on psychosocial development. Social Disengagement Theory illustrates how environmental contexts affect the extent of withdrawal, dynamically interacting with biological aging.</w:t>
      </w:r>
    </w:p>
    <w:p w14:paraId="311FDDB8" w14:textId="77777777" w:rsidR="00E442BB" w:rsidRDefault="00E442BB" w:rsidP="00E442BB">
      <w:pPr>
        <w:spacing w:after="120" w:line="360" w:lineRule="auto"/>
        <w:rPr>
          <w:rFonts w:ascii="Arial" w:hAnsi="Arial" w:cs="Arial"/>
          <w:b/>
          <w:bCs/>
          <w:sz w:val="22"/>
          <w:szCs w:val="22"/>
        </w:rPr>
      </w:pPr>
    </w:p>
    <w:p w14:paraId="0AFFBB6C" w14:textId="33F3F58C" w:rsidR="002D17CA" w:rsidRPr="002D17CA" w:rsidRDefault="002D17CA" w:rsidP="00E442BB">
      <w:pPr>
        <w:spacing w:after="120" w:line="360" w:lineRule="auto"/>
        <w:rPr>
          <w:rFonts w:ascii="Arial" w:hAnsi="Arial" w:cs="Arial"/>
          <w:b/>
          <w:bCs/>
          <w:sz w:val="22"/>
          <w:szCs w:val="22"/>
        </w:rPr>
      </w:pPr>
      <w:r w:rsidRPr="002D17CA">
        <w:rPr>
          <w:rFonts w:ascii="Arial" w:hAnsi="Arial" w:cs="Arial"/>
          <w:b/>
          <w:bCs/>
          <w:sz w:val="22"/>
          <w:szCs w:val="22"/>
        </w:rPr>
        <w:t>Integrating Theories in Care Homes</w:t>
      </w:r>
    </w:p>
    <w:p w14:paraId="03907A0C" w14:textId="2E8997DD"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Integrating Erikson’s and Social Disengagement theories facilitates comprehensive care. Reminiscence therapy enhances ego integrity and promotes social engagement, effectively addressing emotional, cognitive, and social requirements. Group activities designed according to cognitive capabilities strengthen identity, mitigate withdrawal, and encourage meaningful involvement. Staff can incorporate creative therapies, such as music, art, or movement sessions, which concurrently stimulate memory, promote social interaction, and improve emotional expression.</w:t>
      </w:r>
    </w:p>
    <w:p w14:paraId="7A228CF8" w14:textId="5F821124" w:rsidR="002D17CA" w:rsidRDefault="00E442BB" w:rsidP="00E442BB">
      <w:pPr>
        <w:spacing w:after="120" w:line="360" w:lineRule="auto"/>
        <w:rPr>
          <w:rFonts w:ascii="Arial" w:hAnsi="Arial" w:cs="Arial"/>
          <w:sz w:val="22"/>
          <w:szCs w:val="22"/>
        </w:rPr>
      </w:pPr>
      <w:r w:rsidRPr="00E442BB">
        <w:rPr>
          <w:rFonts w:ascii="Arial" w:hAnsi="Arial" w:cs="Arial"/>
          <w:sz w:val="22"/>
          <w:szCs w:val="22"/>
        </w:rPr>
        <w:lastRenderedPageBreak/>
        <w:t>Challenges encompass varying cognitive abilities, the necessity for staff training, and cultural disparities. Proposed solutions include professional development, personalized care plans, and culturally attuned interventions, ensuring inclusive practices and honouring residents’ values. Research demonstrates that structured reminiscence and social programs enhance mood, diminish agitation, and improve communication among dementia residents (Woods et al., 2012; Chen &amp; Feeley, 2014). Collaborative efforts across disciplines, involving occupational therapists, psychologists, and social workers, further augment the efficacy of care, underscoring the significance of theory-driven, evidence-based practices.</w:t>
      </w:r>
    </w:p>
    <w:p w14:paraId="40DCEDA9" w14:textId="77777777" w:rsidR="00E442BB" w:rsidRPr="002D17CA" w:rsidRDefault="00E442BB" w:rsidP="00E442BB">
      <w:pPr>
        <w:spacing w:after="120" w:line="360" w:lineRule="auto"/>
        <w:rPr>
          <w:rFonts w:ascii="Arial" w:hAnsi="Arial" w:cs="Arial"/>
          <w:sz w:val="22"/>
          <w:szCs w:val="22"/>
        </w:rPr>
      </w:pPr>
    </w:p>
    <w:p w14:paraId="1A8704F3" w14:textId="7B4817BB" w:rsidR="002D17CA" w:rsidRPr="002D17CA" w:rsidRDefault="002D17CA" w:rsidP="00E442BB">
      <w:pPr>
        <w:spacing w:after="120" w:line="360" w:lineRule="auto"/>
        <w:rPr>
          <w:rFonts w:ascii="Arial" w:hAnsi="Arial" w:cs="Arial"/>
          <w:b/>
          <w:bCs/>
          <w:sz w:val="22"/>
          <w:szCs w:val="22"/>
        </w:rPr>
      </w:pPr>
      <w:r w:rsidRPr="002D17CA">
        <w:rPr>
          <w:rFonts w:ascii="Arial" w:hAnsi="Arial" w:cs="Arial"/>
          <w:b/>
          <w:bCs/>
          <w:sz w:val="22"/>
          <w:szCs w:val="22"/>
        </w:rPr>
        <w:t>Conclusion</w:t>
      </w:r>
    </w:p>
    <w:p w14:paraId="1EA065D7" w14:textId="191A9696"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Supporting older adults with dementia in care homes requires a comprehensive understanding of psychological development, age-related transformations, and the interplay between biological and environmental factors.</w:t>
      </w:r>
    </w:p>
    <w:p w14:paraId="7B4EDE53" w14:textId="01AE5C61"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Erikson’s Psychosocial Theory offers valuable insights into the emotional and cognitive challenges faced during late adulthood, particularly during the integrity versus despair stage. Interventions such as reminiscence therapy and life review serve to enhance ego integrity, thereby promoting dignity, purpose, and overall well-being.</w:t>
      </w:r>
    </w:p>
    <w:p w14:paraId="68236349" w14:textId="26C1AEDB"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Social Disengagement Theory further enriches this understanding by emphasizing the natural tendency for individuals to withdraw socially, which can be a normative behaviour but may become harmful if it occurs excessively. Implementing structured social activities, group interventions, and intergenerational programs can help alleviate feelings of isolation while still respecting individual autonomy and preferences.</w:t>
      </w:r>
    </w:p>
    <w:p w14:paraId="3D35C59A" w14:textId="4E680051"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The interplay between nature and nurture is fundamental to effective dementia care. Biological elements such as genetics and neurodegeneration interact with environmental factors, including the quality of social support and caregiving. Acknowledging these dynamics enables professionals to provide personalized, evidence-based interventions that enhance cognitive, emotional, and social outcomes.</w:t>
      </w:r>
    </w:p>
    <w:p w14:paraId="06E9AF65" w14:textId="7CB73917" w:rsidR="00E442BB" w:rsidRPr="00E442BB" w:rsidRDefault="00E442BB" w:rsidP="00E442BB">
      <w:pPr>
        <w:spacing w:after="120" w:line="360" w:lineRule="auto"/>
        <w:rPr>
          <w:rFonts w:ascii="Arial" w:hAnsi="Arial" w:cs="Arial"/>
          <w:sz w:val="22"/>
          <w:szCs w:val="22"/>
        </w:rPr>
      </w:pPr>
      <w:r w:rsidRPr="00E442BB">
        <w:rPr>
          <w:rFonts w:ascii="Arial" w:hAnsi="Arial" w:cs="Arial"/>
          <w:sz w:val="22"/>
          <w:szCs w:val="22"/>
        </w:rPr>
        <w:t xml:space="preserve">The integration of Erikson’s and Social Disengagement theories fosters a holistic approach that addresses the cognitive, emotional, and social needs of individuals. Challenges such as diverse abilities, cultural differences, and institutional limitations can be effectively managed through targeted training, inclusive planning, and culturally competent strategies. Ethically applying </w:t>
      </w:r>
      <w:r w:rsidRPr="00E442BB">
        <w:rPr>
          <w:rFonts w:ascii="Arial" w:hAnsi="Arial" w:cs="Arial"/>
          <w:sz w:val="22"/>
          <w:szCs w:val="22"/>
        </w:rPr>
        <w:lastRenderedPageBreak/>
        <w:t>these theories ensures that professional standards are maintained, facilitates effective communication, and promotes equitable, person-centred care.</w:t>
      </w:r>
    </w:p>
    <w:p w14:paraId="4B9A3AEA" w14:textId="4DFA7C93" w:rsidR="002D17CA" w:rsidRDefault="00E442BB" w:rsidP="00E442BB">
      <w:pPr>
        <w:spacing w:after="120" w:line="360" w:lineRule="auto"/>
        <w:rPr>
          <w:rFonts w:ascii="Arial" w:hAnsi="Arial" w:cs="Arial"/>
          <w:sz w:val="22"/>
          <w:szCs w:val="22"/>
        </w:rPr>
      </w:pPr>
      <w:r w:rsidRPr="00E442BB">
        <w:rPr>
          <w:rFonts w:ascii="Arial" w:hAnsi="Arial" w:cs="Arial"/>
          <w:sz w:val="22"/>
          <w:szCs w:val="22"/>
        </w:rPr>
        <w:t>In summary, these theories establish a solid framework for dementia care among older adults. A thorough understanding of psychosocial development and social engagement patterns empowers professionals to improve quality of life, nurture meaningful relationships, and provide compassionate, inclusive, and effective care within care home environments.</w:t>
      </w:r>
      <w:r w:rsidR="002D17CA">
        <w:rPr>
          <w:rFonts w:ascii="Arial" w:hAnsi="Arial" w:cs="Arial"/>
          <w:sz w:val="22"/>
          <w:szCs w:val="22"/>
        </w:rPr>
        <w:br w:type="page"/>
      </w:r>
    </w:p>
    <w:p w14:paraId="54284F72" w14:textId="79D53A6F" w:rsidR="002D17CA" w:rsidRPr="002D17CA" w:rsidRDefault="002D17CA" w:rsidP="002D17CA">
      <w:pPr>
        <w:pStyle w:val="FirstParagraph"/>
        <w:spacing w:after="120" w:line="360" w:lineRule="auto"/>
        <w:rPr>
          <w:rFonts w:ascii="Arial" w:hAnsi="Arial" w:cs="Arial"/>
          <w:b/>
          <w:bCs/>
          <w:sz w:val="22"/>
          <w:szCs w:val="22"/>
        </w:rPr>
      </w:pPr>
      <w:r w:rsidRPr="002D17CA">
        <w:rPr>
          <w:rFonts w:ascii="Arial" w:hAnsi="Arial" w:cs="Arial"/>
          <w:b/>
          <w:bCs/>
          <w:sz w:val="22"/>
          <w:szCs w:val="22"/>
        </w:rPr>
        <w:lastRenderedPageBreak/>
        <w:t xml:space="preserve">References </w:t>
      </w:r>
    </w:p>
    <w:p w14:paraId="7EE13274" w14:textId="529FB67A" w:rsidR="002D17CA" w:rsidRPr="002D17CA" w:rsidRDefault="002D17CA" w:rsidP="002D17CA">
      <w:pPr>
        <w:pStyle w:val="FirstParagraph"/>
        <w:spacing w:after="120" w:line="360" w:lineRule="auto"/>
        <w:rPr>
          <w:rFonts w:ascii="Arial" w:hAnsi="Arial" w:cs="Arial"/>
          <w:sz w:val="22"/>
          <w:szCs w:val="22"/>
        </w:rPr>
      </w:pPr>
      <w:r w:rsidRPr="002D17CA">
        <w:rPr>
          <w:rFonts w:ascii="Arial" w:hAnsi="Arial" w:cs="Arial"/>
          <w:sz w:val="22"/>
          <w:szCs w:val="22"/>
        </w:rPr>
        <w:t xml:space="preserve">Baltes, P.B., Lindenberger, U., &amp; Staudinger, U.M., 1999. Lifespan theory in developmental psychology. In R.M. Lerner (Ed.), </w:t>
      </w:r>
      <w:r w:rsidRPr="002D17CA">
        <w:rPr>
          <w:rFonts w:ascii="Arial" w:hAnsi="Arial" w:cs="Arial"/>
          <w:i/>
          <w:iCs/>
          <w:sz w:val="22"/>
          <w:szCs w:val="22"/>
        </w:rPr>
        <w:t>Handbook of Child Psychology</w:t>
      </w:r>
      <w:r w:rsidRPr="002D17CA">
        <w:rPr>
          <w:rFonts w:ascii="Arial" w:hAnsi="Arial" w:cs="Arial"/>
          <w:sz w:val="22"/>
          <w:szCs w:val="22"/>
        </w:rPr>
        <w:t>. New York: Wiley.</w:t>
      </w:r>
    </w:p>
    <w:p w14:paraId="205987D9"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Berk, L.E., 2018. </w:t>
      </w:r>
      <w:r w:rsidRPr="002D17CA">
        <w:rPr>
          <w:rFonts w:ascii="Arial" w:hAnsi="Arial" w:cs="Arial"/>
          <w:i/>
          <w:iCs/>
          <w:sz w:val="22"/>
          <w:szCs w:val="22"/>
        </w:rPr>
        <w:t>Development Through the Lifespan</w:t>
      </w:r>
      <w:r w:rsidRPr="002D17CA">
        <w:rPr>
          <w:rFonts w:ascii="Arial" w:hAnsi="Arial" w:cs="Arial"/>
          <w:sz w:val="22"/>
          <w:szCs w:val="22"/>
        </w:rPr>
        <w:t>. 7th ed. Boston: Pearson.</w:t>
      </w:r>
    </w:p>
    <w:p w14:paraId="25BD657A"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Chen, Y. &amp; Feeley, T.H., 2014. Social support, social strain, loneliness, and well-being among older adults: An analysis of the Health and Retirement Study. </w:t>
      </w:r>
      <w:r w:rsidRPr="002D17CA">
        <w:rPr>
          <w:rFonts w:ascii="Arial" w:hAnsi="Arial" w:cs="Arial"/>
          <w:i/>
          <w:iCs/>
          <w:sz w:val="22"/>
          <w:szCs w:val="22"/>
        </w:rPr>
        <w:t>Journal of Social and Personal Relationships</w:t>
      </w:r>
      <w:r w:rsidRPr="002D17CA">
        <w:rPr>
          <w:rFonts w:ascii="Arial" w:hAnsi="Arial" w:cs="Arial"/>
          <w:sz w:val="22"/>
          <w:szCs w:val="22"/>
        </w:rPr>
        <w:t>, 31(2), pp.141–161.</w:t>
      </w:r>
    </w:p>
    <w:p w14:paraId="6DEAC465"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Cumming, E. &amp; Henry, W.E., 1961. </w:t>
      </w:r>
      <w:r w:rsidRPr="002D17CA">
        <w:rPr>
          <w:rFonts w:ascii="Arial" w:hAnsi="Arial" w:cs="Arial"/>
          <w:i/>
          <w:iCs/>
          <w:sz w:val="22"/>
          <w:szCs w:val="22"/>
        </w:rPr>
        <w:t>Growing Old: The Process of Disengagement</w:t>
      </w:r>
      <w:r w:rsidRPr="002D17CA">
        <w:rPr>
          <w:rFonts w:ascii="Arial" w:hAnsi="Arial" w:cs="Arial"/>
          <w:sz w:val="22"/>
          <w:szCs w:val="22"/>
        </w:rPr>
        <w:t>. New York: Basic Books.</w:t>
      </w:r>
    </w:p>
    <w:p w14:paraId="627D570B"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Dickens, A.P., Richards, S.H., Greaves, C.J. &amp; Campbell, J.L., 2011. Interventions targeting social isolation in older people: a systematic review. </w:t>
      </w:r>
      <w:r w:rsidRPr="002D17CA">
        <w:rPr>
          <w:rFonts w:ascii="Arial" w:hAnsi="Arial" w:cs="Arial"/>
          <w:i/>
          <w:iCs/>
          <w:sz w:val="22"/>
          <w:szCs w:val="22"/>
        </w:rPr>
        <w:t>BMC Public Health</w:t>
      </w:r>
      <w:r w:rsidRPr="002D17CA">
        <w:rPr>
          <w:rFonts w:ascii="Arial" w:hAnsi="Arial" w:cs="Arial"/>
          <w:sz w:val="22"/>
          <w:szCs w:val="22"/>
        </w:rPr>
        <w:t>, 11, p.647.</w:t>
      </w:r>
    </w:p>
    <w:p w14:paraId="7D8120AD"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Erikson, E.H., 1950. </w:t>
      </w:r>
      <w:r w:rsidRPr="002D17CA">
        <w:rPr>
          <w:rFonts w:ascii="Arial" w:hAnsi="Arial" w:cs="Arial"/>
          <w:i/>
          <w:iCs/>
          <w:sz w:val="22"/>
          <w:szCs w:val="22"/>
        </w:rPr>
        <w:t>Childhood and Society</w:t>
      </w:r>
      <w:r w:rsidRPr="002D17CA">
        <w:rPr>
          <w:rFonts w:ascii="Arial" w:hAnsi="Arial" w:cs="Arial"/>
          <w:sz w:val="22"/>
          <w:szCs w:val="22"/>
        </w:rPr>
        <w:t>. New York: Norton.</w:t>
      </w:r>
    </w:p>
    <w:p w14:paraId="5DCF8B53"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Greenfield, E.A. &amp; Marks, N.F., 2004. Formal volunteering as a protective factor for older adults’ psychological well-being. </w:t>
      </w:r>
      <w:r w:rsidRPr="002D17CA">
        <w:rPr>
          <w:rFonts w:ascii="Arial" w:hAnsi="Arial" w:cs="Arial"/>
          <w:i/>
          <w:iCs/>
          <w:sz w:val="22"/>
          <w:szCs w:val="22"/>
        </w:rPr>
        <w:t>The Journals of Gerontology Series B: Psychological Sciences and Social Sciences</w:t>
      </w:r>
      <w:r w:rsidRPr="002D17CA">
        <w:rPr>
          <w:rFonts w:ascii="Arial" w:hAnsi="Arial" w:cs="Arial"/>
          <w:sz w:val="22"/>
          <w:szCs w:val="22"/>
        </w:rPr>
        <w:t>, 59(5), pp.S258–S264.</w:t>
      </w:r>
    </w:p>
    <w:p w14:paraId="7E20E05E"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Haight, B.K. &amp; Webster, J.D., 1995. The art and science of reminiscing: Theory, research, methods, and applications. </w:t>
      </w:r>
      <w:r w:rsidRPr="002D17CA">
        <w:rPr>
          <w:rFonts w:ascii="Arial" w:hAnsi="Arial" w:cs="Arial"/>
          <w:i/>
          <w:iCs/>
          <w:sz w:val="22"/>
          <w:szCs w:val="22"/>
        </w:rPr>
        <w:t>Psychology and Aging</w:t>
      </w:r>
      <w:r w:rsidRPr="002D17CA">
        <w:rPr>
          <w:rFonts w:ascii="Arial" w:hAnsi="Arial" w:cs="Arial"/>
          <w:sz w:val="22"/>
          <w:szCs w:val="22"/>
        </w:rPr>
        <w:t>, 10(3), pp. 505–512.</w:t>
      </w:r>
    </w:p>
    <w:p w14:paraId="4E4C6198"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McAdams, D.P., 2001. The psychology of life stories. </w:t>
      </w:r>
      <w:r w:rsidRPr="002D17CA">
        <w:rPr>
          <w:rFonts w:ascii="Arial" w:hAnsi="Arial" w:cs="Arial"/>
          <w:i/>
          <w:iCs/>
          <w:sz w:val="22"/>
          <w:szCs w:val="22"/>
        </w:rPr>
        <w:t>Review of General Psychology</w:t>
      </w:r>
      <w:r w:rsidRPr="002D17CA">
        <w:rPr>
          <w:rFonts w:ascii="Arial" w:hAnsi="Arial" w:cs="Arial"/>
          <w:sz w:val="22"/>
          <w:szCs w:val="22"/>
        </w:rPr>
        <w:t>, 5(2), pp.100–122.</w:t>
      </w:r>
    </w:p>
    <w:p w14:paraId="6348F057"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Subramaniam, P. &amp; Woods, B., 2012. The impact of individual reminiscence therapy for people with dementia: systematic review. </w:t>
      </w:r>
      <w:r w:rsidRPr="002D17CA">
        <w:rPr>
          <w:rFonts w:ascii="Arial" w:hAnsi="Arial" w:cs="Arial"/>
          <w:i/>
          <w:iCs/>
          <w:sz w:val="22"/>
          <w:szCs w:val="22"/>
        </w:rPr>
        <w:t>Expert Review of Neurotherapeutics</w:t>
      </w:r>
      <w:r w:rsidRPr="002D17CA">
        <w:rPr>
          <w:rFonts w:ascii="Arial" w:hAnsi="Arial" w:cs="Arial"/>
          <w:sz w:val="22"/>
          <w:szCs w:val="22"/>
        </w:rPr>
        <w:t>, 12(5), pp.545–555.</w:t>
      </w:r>
    </w:p>
    <w:p w14:paraId="00391792" w14:textId="77777777" w:rsidR="002D17CA" w:rsidRPr="002D17CA" w:rsidRDefault="002D17CA" w:rsidP="002D17CA">
      <w:pPr>
        <w:pStyle w:val="BodyText"/>
        <w:spacing w:after="120" w:line="360" w:lineRule="auto"/>
        <w:rPr>
          <w:rFonts w:ascii="Arial" w:hAnsi="Arial" w:cs="Arial"/>
          <w:sz w:val="22"/>
          <w:szCs w:val="22"/>
        </w:rPr>
      </w:pPr>
      <w:r w:rsidRPr="002D17CA">
        <w:rPr>
          <w:rFonts w:ascii="Arial" w:hAnsi="Arial" w:cs="Arial"/>
          <w:sz w:val="22"/>
          <w:szCs w:val="22"/>
        </w:rPr>
        <w:t xml:space="preserve">Woods, B., O’Philbin, L., Farrell, E.M., Spector, A.E. &amp; Orrell, M., 2012. Reminiscence therapy for dementia. </w:t>
      </w:r>
      <w:r w:rsidRPr="002D17CA">
        <w:rPr>
          <w:rFonts w:ascii="Arial" w:hAnsi="Arial" w:cs="Arial"/>
          <w:i/>
          <w:iCs/>
          <w:sz w:val="22"/>
          <w:szCs w:val="22"/>
        </w:rPr>
        <w:t>Cochrane Database of Systematic Reviews</w:t>
      </w:r>
      <w:r w:rsidRPr="002D17CA">
        <w:rPr>
          <w:rFonts w:ascii="Arial" w:hAnsi="Arial" w:cs="Arial"/>
          <w:sz w:val="22"/>
          <w:szCs w:val="22"/>
        </w:rPr>
        <w:t>, (3), CD001120.</w:t>
      </w:r>
    </w:p>
    <w:bookmarkEnd w:id="0"/>
    <w:bookmarkEnd w:id="1"/>
    <w:p w14:paraId="32509709" w14:textId="77777777" w:rsidR="002D17CA" w:rsidRPr="002D17CA" w:rsidRDefault="002D17CA" w:rsidP="002D17CA">
      <w:pPr>
        <w:spacing w:after="120" w:line="360" w:lineRule="auto"/>
        <w:rPr>
          <w:rFonts w:ascii="Arial" w:hAnsi="Arial" w:cs="Arial"/>
          <w:sz w:val="22"/>
          <w:szCs w:val="22"/>
        </w:rPr>
      </w:pPr>
    </w:p>
    <w:sectPr w:rsidR="002D17CA" w:rsidRPr="002D17CA">
      <w:footerReference w:type="default" r:id="rId7"/>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09B96" w14:textId="77777777" w:rsidR="00C74264" w:rsidRDefault="00C74264" w:rsidP="002D17CA">
      <w:pPr>
        <w:spacing w:after="0"/>
      </w:pPr>
      <w:r>
        <w:separator/>
      </w:r>
    </w:p>
  </w:endnote>
  <w:endnote w:type="continuationSeparator" w:id="0">
    <w:p w14:paraId="5C0218C9" w14:textId="77777777" w:rsidR="00C74264" w:rsidRDefault="00C74264" w:rsidP="002D17C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8899243"/>
      <w:docPartObj>
        <w:docPartGallery w:val="Page Numbers (Bottom of Page)"/>
        <w:docPartUnique/>
      </w:docPartObj>
    </w:sdtPr>
    <w:sdtEndPr>
      <w:rPr>
        <w:noProof/>
      </w:rPr>
    </w:sdtEndPr>
    <w:sdtContent>
      <w:p w14:paraId="49C638D4" w14:textId="1ED50983" w:rsidR="002D17CA" w:rsidRDefault="002D17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2B15A" w14:textId="77777777" w:rsidR="002D17CA" w:rsidRDefault="002D1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EA261" w14:textId="77777777" w:rsidR="00C74264" w:rsidRDefault="00C74264" w:rsidP="002D17CA">
      <w:pPr>
        <w:spacing w:after="0"/>
      </w:pPr>
      <w:r>
        <w:separator/>
      </w:r>
    </w:p>
  </w:footnote>
  <w:footnote w:type="continuationSeparator" w:id="0">
    <w:p w14:paraId="34BAF0A1" w14:textId="77777777" w:rsidR="00C74264" w:rsidRDefault="00C74264" w:rsidP="002D17C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FF3E9528"/>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890922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117"/>
    <w:rsid w:val="00077D15"/>
    <w:rsid w:val="001E3117"/>
    <w:rsid w:val="002D17CA"/>
    <w:rsid w:val="00526E48"/>
    <w:rsid w:val="00600250"/>
    <w:rsid w:val="007050A1"/>
    <w:rsid w:val="008F1184"/>
    <w:rsid w:val="0095385B"/>
    <w:rsid w:val="00A22DBC"/>
    <w:rsid w:val="00B960B8"/>
    <w:rsid w:val="00C74264"/>
    <w:rsid w:val="00CD0909"/>
    <w:rsid w:val="00E44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79CE7"/>
  <w15:docId w15:val="{025C4139-5B99-44D6-A862-661FBE2A1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footer"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rPr>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2D17CA"/>
    <w:pPr>
      <w:tabs>
        <w:tab w:val="center" w:pos="4513"/>
        <w:tab w:val="right" w:pos="9026"/>
      </w:tabs>
      <w:spacing w:after="0"/>
    </w:pPr>
  </w:style>
  <w:style w:type="character" w:customStyle="1" w:styleId="HeaderChar">
    <w:name w:val="Header Char"/>
    <w:basedOn w:val="DefaultParagraphFont"/>
    <w:link w:val="Header"/>
    <w:rsid w:val="002D17CA"/>
    <w:rPr>
      <w:lang w:val="en-GB"/>
    </w:rPr>
  </w:style>
  <w:style w:type="paragraph" w:styleId="Footer">
    <w:name w:val="footer"/>
    <w:basedOn w:val="Normal"/>
    <w:link w:val="FooterChar"/>
    <w:uiPriority w:val="99"/>
    <w:rsid w:val="002D17CA"/>
    <w:pPr>
      <w:tabs>
        <w:tab w:val="center" w:pos="4513"/>
        <w:tab w:val="right" w:pos="9026"/>
      </w:tabs>
      <w:spacing w:after="0"/>
    </w:pPr>
  </w:style>
  <w:style w:type="character" w:customStyle="1" w:styleId="FooterChar">
    <w:name w:val="Footer Char"/>
    <w:basedOn w:val="DefaultParagraphFont"/>
    <w:link w:val="Footer"/>
    <w:uiPriority w:val="99"/>
    <w:rsid w:val="002D17C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Hajira Zaman</dc:creator>
  <cp:keywords/>
  <cp:lastModifiedBy>Muhammad Kamran Khan (2428180)</cp:lastModifiedBy>
  <cp:revision>3</cp:revision>
  <dcterms:created xsi:type="dcterms:W3CDTF">2025-11-18T00:07:00Z</dcterms:created>
  <dcterms:modified xsi:type="dcterms:W3CDTF">2025-11-18T00:51:00Z</dcterms:modified>
</cp:coreProperties>
</file>