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D8EE76" w14:textId="77777777" w:rsidR="00F313CD" w:rsidRDefault="00B97990">
      <w:pPr>
        <w:rPr>
          <w:rFonts w:ascii="Calibri" w:hAnsi="Calibri"/>
        </w:rPr>
      </w:pPr>
      <w:r>
        <w:rPr>
          <w:rFonts w:ascii="Calibri" w:hAnsi="Calibri"/>
          <w:sz w:val="36"/>
          <w:szCs w:val="36"/>
          <w:u w:val="single"/>
        </w:rPr>
        <w:t xml:space="preserve">Contemporary Issues: Overfishing </w:t>
      </w:r>
    </w:p>
    <w:p w14:paraId="5E40FA22" w14:textId="77777777" w:rsidR="00F313CD" w:rsidRDefault="00F313CD">
      <w:pPr>
        <w:rPr>
          <w:rFonts w:ascii="Calibri" w:hAnsi="Calibri"/>
          <w:sz w:val="32"/>
          <w:szCs w:val="32"/>
        </w:rPr>
      </w:pPr>
    </w:p>
    <w:p w14:paraId="7DC8DF50" w14:textId="590078B5" w:rsidR="00F313CD" w:rsidRPr="00111892" w:rsidRDefault="00B97990">
      <w:pPr>
        <w:numPr>
          <w:ilvl w:val="0"/>
          <w:numId w:val="1"/>
        </w:numPr>
        <w:rPr>
          <w:rFonts w:ascii="Calibri" w:hAnsi="Calibri"/>
          <w:b/>
          <w:bCs/>
        </w:rPr>
      </w:pPr>
      <w:r>
        <w:rPr>
          <w:rFonts w:ascii="Calibri" w:hAnsi="Calibri"/>
          <w:b/>
          <w:bCs/>
          <w:sz w:val="32"/>
          <w:szCs w:val="32"/>
        </w:rPr>
        <w:t xml:space="preserve">Importance of Marine Biodiversity: </w:t>
      </w:r>
    </w:p>
    <w:p w14:paraId="2B5E5154" w14:textId="3A111414" w:rsidR="00111892" w:rsidRPr="00111892" w:rsidRDefault="00111892" w:rsidP="00111892">
      <w:pPr>
        <w:rPr>
          <w:rFonts w:ascii="Calibri" w:hAnsi="Calibri"/>
          <w:sz w:val="32"/>
          <w:szCs w:val="32"/>
        </w:rPr>
      </w:pPr>
      <w:r w:rsidRPr="00111892">
        <w:rPr>
          <w:rFonts w:ascii="Calibri" w:hAnsi="Calibri"/>
          <w:sz w:val="32"/>
          <w:szCs w:val="32"/>
        </w:rPr>
        <w:t xml:space="preserve">The phenomenon of overfishing has been present in the oceans for </w:t>
      </w:r>
      <w:r w:rsidRPr="00111892">
        <w:rPr>
          <w:rFonts w:ascii="Calibri" w:hAnsi="Calibri"/>
          <w:sz w:val="32"/>
          <w:szCs w:val="32"/>
        </w:rPr>
        <w:t>more than</w:t>
      </w:r>
      <w:r w:rsidRPr="00111892">
        <w:rPr>
          <w:rFonts w:ascii="Calibri" w:hAnsi="Calibri"/>
          <w:sz w:val="32"/>
          <w:szCs w:val="32"/>
        </w:rPr>
        <w:t xml:space="preserve"> a century (Rossi, 2022). The extended breakdown of ocean ecosystems in this period has fundamentally changed their function, making it necessary to formulate</w:t>
      </w:r>
      <w:r w:rsidR="00B5749B">
        <w:rPr>
          <w:rFonts w:ascii="Calibri" w:hAnsi="Calibri"/>
          <w:sz w:val="32"/>
          <w:szCs w:val="32"/>
        </w:rPr>
        <w:t xml:space="preserve"> modern,</w:t>
      </w:r>
      <w:r w:rsidRPr="00111892">
        <w:rPr>
          <w:rFonts w:ascii="Calibri" w:hAnsi="Calibri"/>
          <w:sz w:val="32"/>
          <w:szCs w:val="32"/>
        </w:rPr>
        <w:t xml:space="preserve"> adaptive solutions (Rossi, 2022).</w:t>
      </w:r>
    </w:p>
    <w:p w14:paraId="574BBAD0" w14:textId="77777777" w:rsidR="00111892" w:rsidRDefault="00111892" w:rsidP="00111892">
      <w:pPr>
        <w:rPr>
          <w:rFonts w:ascii="Calibri" w:hAnsi="Calibri"/>
          <w:b/>
          <w:bCs/>
        </w:rPr>
      </w:pPr>
    </w:p>
    <w:p w14:paraId="1E2BEEA9" w14:textId="77777777" w:rsidR="00F313CD" w:rsidRDefault="00B97990">
      <w:pPr>
        <w:rPr>
          <w:rFonts w:ascii="Calibri" w:hAnsi="Calibri"/>
        </w:rPr>
      </w:pPr>
      <w:r>
        <w:rPr>
          <w:rFonts w:ascii="Calibri" w:hAnsi="Calibri"/>
          <w:sz w:val="32"/>
          <w:szCs w:val="32"/>
        </w:rPr>
        <w:t xml:space="preserve">Free Science (2024), states that: </w:t>
      </w:r>
    </w:p>
    <w:p w14:paraId="166F80C5" w14:textId="77777777" w:rsidR="00F313CD" w:rsidRDefault="00B97990">
      <w:pPr>
        <w:rPr>
          <w:rFonts w:ascii="Calibri" w:hAnsi="Calibri"/>
          <w:sz w:val="32"/>
          <w:szCs w:val="32"/>
        </w:rPr>
      </w:pPr>
      <w:r>
        <w:rPr>
          <w:rFonts w:ascii="Calibri" w:hAnsi="Calibri"/>
          <w:sz w:val="32"/>
          <w:szCs w:val="32"/>
        </w:rPr>
        <w:t>"Healthy diversity is vital, as it fosters resilience against environmental changes and supports essential functions like nutrient cycling and habitat formation."</w:t>
      </w:r>
    </w:p>
    <w:p w14:paraId="6F4177D7" w14:textId="77777777" w:rsidR="00E93B8F" w:rsidRDefault="00E93B8F">
      <w:pPr>
        <w:rPr>
          <w:rFonts w:ascii="Calibri" w:hAnsi="Calibri"/>
          <w:sz w:val="32"/>
          <w:szCs w:val="32"/>
        </w:rPr>
      </w:pPr>
    </w:p>
    <w:p w14:paraId="26E408CC" w14:textId="6B0D0177" w:rsidR="00E93B8F" w:rsidRPr="00E93B8F" w:rsidRDefault="00E93B8F">
      <w:pPr>
        <w:rPr>
          <w:rFonts w:ascii="Calibri" w:hAnsi="Calibri"/>
          <w:sz w:val="32"/>
          <w:szCs w:val="32"/>
        </w:rPr>
      </w:pPr>
      <w:r>
        <w:rPr>
          <w:rFonts w:ascii="Calibri" w:hAnsi="Calibri"/>
          <w:sz w:val="32"/>
          <w:szCs w:val="32"/>
        </w:rPr>
        <w:t xml:space="preserve">The ability for fish stocks to absorb a degree of disturbance is of key importance for the future of fishing. </w:t>
      </w:r>
      <w:r w:rsidRPr="00E93B8F">
        <w:rPr>
          <w:rFonts w:ascii="Calibri" w:hAnsi="Calibri"/>
          <w:sz w:val="32"/>
          <w:szCs w:val="32"/>
        </w:rPr>
        <w:t>Malhotra (2025)</w:t>
      </w:r>
      <w:r w:rsidRPr="00E93B8F">
        <w:rPr>
          <w:rFonts w:ascii="Calibri" w:hAnsi="Calibri"/>
          <w:sz w:val="32"/>
          <w:szCs w:val="32"/>
        </w:rPr>
        <w:t xml:space="preserve"> describes several specific features of marine diversity which contribute to ecological resilience. </w:t>
      </w:r>
      <w:r>
        <w:rPr>
          <w:rFonts w:ascii="Calibri" w:hAnsi="Calibri"/>
          <w:sz w:val="32"/>
          <w:szCs w:val="32"/>
        </w:rPr>
        <w:t>T</w:t>
      </w:r>
      <w:r w:rsidRPr="00E93B8F">
        <w:rPr>
          <w:rFonts w:ascii="Calibri" w:hAnsi="Calibri"/>
          <w:sz w:val="32"/>
          <w:szCs w:val="32"/>
        </w:rPr>
        <w:t>hese include functional redundancy</w:t>
      </w:r>
      <w:r>
        <w:rPr>
          <w:rFonts w:ascii="Calibri" w:hAnsi="Calibri"/>
          <w:sz w:val="32"/>
          <w:szCs w:val="32"/>
        </w:rPr>
        <w:t xml:space="preserve"> (the ability for species to substitute into one another’s roles)</w:t>
      </w:r>
      <w:r w:rsidRPr="00E93B8F">
        <w:rPr>
          <w:rFonts w:ascii="Calibri" w:hAnsi="Calibri"/>
          <w:sz w:val="32"/>
          <w:szCs w:val="32"/>
        </w:rPr>
        <w:t>, modularity and connectivity.</w:t>
      </w:r>
    </w:p>
    <w:p w14:paraId="4EABC1F5" w14:textId="77777777" w:rsidR="00F313CD" w:rsidRDefault="00F313CD">
      <w:pPr>
        <w:rPr>
          <w:rFonts w:ascii="Calibri" w:hAnsi="Calibri"/>
          <w:sz w:val="32"/>
          <w:szCs w:val="32"/>
        </w:rPr>
      </w:pPr>
    </w:p>
    <w:p w14:paraId="2E3CBD48" w14:textId="2EBB499C" w:rsidR="00F313CD" w:rsidRDefault="00B97990">
      <w:pPr>
        <w:rPr>
          <w:rFonts w:ascii="Calibri" w:hAnsi="Calibri"/>
          <w:sz w:val="32"/>
          <w:szCs w:val="32"/>
        </w:rPr>
      </w:pPr>
      <w:r>
        <w:rPr>
          <w:rFonts w:ascii="Calibri" w:hAnsi="Calibri"/>
          <w:sz w:val="32"/>
          <w:szCs w:val="32"/>
        </w:rPr>
        <w:t xml:space="preserve">Due to the complex structure of marine ecosystems, effects of overfishing stretch beyond direct impacts to certain species in the food web. </w:t>
      </w:r>
      <w:r w:rsidR="001879A9">
        <w:rPr>
          <w:rFonts w:ascii="Calibri" w:hAnsi="Calibri"/>
          <w:sz w:val="32"/>
          <w:szCs w:val="32"/>
        </w:rPr>
        <w:t>Such actions</w:t>
      </w:r>
      <w:r>
        <w:rPr>
          <w:rFonts w:ascii="Calibri" w:hAnsi="Calibri"/>
          <w:sz w:val="32"/>
          <w:szCs w:val="32"/>
        </w:rPr>
        <w:t xml:space="preserve"> often induce unanticipated events which can pose more significant threats to the stability of an ecosystem. This was well documented in the </w:t>
      </w:r>
      <w:r w:rsidR="00B5749B">
        <w:rPr>
          <w:rFonts w:ascii="Calibri" w:hAnsi="Calibri"/>
          <w:sz w:val="32"/>
          <w:szCs w:val="32"/>
        </w:rPr>
        <w:t xml:space="preserve">case of the </w:t>
      </w:r>
      <w:r>
        <w:rPr>
          <w:rFonts w:ascii="Calibri" w:hAnsi="Calibri"/>
          <w:sz w:val="32"/>
          <w:szCs w:val="32"/>
        </w:rPr>
        <w:t>Scotian Shelf ecosystem between the 1980s and 1990s</w:t>
      </w:r>
      <w:r w:rsidR="00B5749B">
        <w:rPr>
          <w:rFonts w:ascii="Calibri" w:hAnsi="Calibri"/>
          <w:sz w:val="32"/>
          <w:szCs w:val="32"/>
        </w:rPr>
        <w:t>. This involved o</w:t>
      </w:r>
      <w:r>
        <w:rPr>
          <w:rFonts w:ascii="Calibri" w:hAnsi="Calibri"/>
          <w:sz w:val="32"/>
          <w:szCs w:val="32"/>
        </w:rPr>
        <w:t xml:space="preserve">verfishing of large predatory fish (particularly cod), </w:t>
      </w:r>
      <w:r w:rsidR="00B5749B">
        <w:rPr>
          <w:rFonts w:ascii="Calibri" w:hAnsi="Calibri"/>
          <w:sz w:val="32"/>
          <w:szCs w:val="32"/>
        </w:rPr>
        <w:t xml:space="preserve">which </w:t>
      </w:r>
      <w:r>
        <w:rPr>
          <w:rFonts w:ascii="Calibri" w:hAnsi="Calibri"/>
          <w:sz w:val="32"/>
          <w:szCs w:val="32"/>
        </w:rPr>
        <w:t xml:space="preserve">resulted in a chain of positive </w:t>
      </w:r>
      <w:r>
        <w:rPr>
          <w:rFonts w:ascii="Calibri" w:hAnsi="Calibri"/>
          <w:sz w:val="32"/>
          <w:szCs w:val="32"/>
        </w:rPr>
        <w:lastRenderedPageBreak/>
        <w:t>feedback loops</w:t>
      </w:r>
      <w:r w:rsidR="00B5749B">
        <w:rPr>
          <w:rFonts w:ascii="Calibri" w:hAnsi="Calibri"/>
          <w:sz w:val="32"/>
          <w:szCs w:val="32"/>
        </w:rPr>
        <w:t xml:space="preserve">, </w:t>
      </w:r>
      <w:r>
        <w:rPr>
          <w:rFonts w:ascii="Calibri" w:hAnsi="Calibri"/>
          <w:sz w:val="32"/>
          <w:szCs w:val="32"/>
        </w:rPr>
        <w:t>crea</w:t>
      </w:r>
      <w:r w:rsidR="00B5749B">
        <w:rPr>
          <w:rFonts w:ascii="Calibri" w:hAnsi="Calibri"/>
          <w:sz w:val="32"/>
          <w:szCs w:val="32"/>
        </w:rPr>
        <w:t>ting</w:t>
      </w:r>
      <w:r>
        <w:rPr>
          <w:rFonts w:ascii="Calibri" w:hAnsi="Calibri"/>
          <w:sz w:val="32"/>
          <w:szCs w:val="32"/>
        </w:rPr>
        <w:t xml:space="preserve"> instability within the entire ecosystem (Scheffer, Carpenter and Young, 2005).</w:t>
      </w:r>
    </w:p>
    <w:p w14:paraId="1F154D12" w14:textId="77777777" w:rsidR="00E755F6" w:rsidRDefault="00E755F6">
      <w:pPr>
        <w:rPr>
          <w:rFonts w:ascii="Calibri" w:hAnsi="Calibri"/>
        </w:rPr>
      </w:pPr>
    </w:p>
    <w:p w14:paraId="6B362E7F" w14:textId="77777777" w:rsidR="00F313CD" w:rsidRDefault="00B97990">
      <w:pPr>
        <w:rPr>
          <w:rFonts w:ascii="Calibri" w:hAnsi="Calibri"/>
        </w:rPr>
      </w:pPr>
      <w:r>
        <w:rPr>
          <w:rFonts w:ascii="Calibri" w:hAnsi="Calibri"/>
          <w:noProof/>
        </w:rPr>
        <w:drawing>
          <wp:inline distT="0" distB="0" distL="0" distR="0" wp14:anchorId="35D1CAD5" wp14:editId="4C5F1C5A">
            <wp:extent cx="3248025" cy="4219575"/>
            <wp:effectExtent l="0" t="0" r="0" b="0"/>
            <wp:docPr id="1" name="Picture 2" descr="A diagram of a fish life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A diagram of a fish life cycle&#10;&#10;AI-generated content may be incorrect."/>
                    <pic:cNvPicPr>
                      <a:picLocks noChangeAspect="1" noChangeArrowheads="1"/>
                    </pic:cNvPicPr>
                  </pic:nvPicPr>
                  <pic:blipFill>
                    <a:blip r:embed="rId5"/>
                    <a:stretch>
                      <a:fillRect/>
                    </a:stretch>
                  </pic:blipFill>
                  <pic:spPr bwMode="auto">
                    <a:xfrm>
                      <a:off x="0" y="0"/>
                      <a:ext cx="3248025" cy="4219575"/>
                    </a:xfrm>
                    <a:prstGeom prst="rect">
                      <a:avLst/>
                    </a:prstGeom>
                  </pic:spPr>
                </pic:pic>
              </a:graphicData>
            </a:graphic>
          </wp:inline>
        </w:drawing>
      </w:r>
    </w:p>
    <w:p w14:paraId="18A2B8F2" w14:textId="77777777" w:rsidR="00F313CD" w:rsidRDefault="00B97990">
      <w:pPr>
        <w:rPr>
          <w:rFonts w:ascii="Calibri" w:hAnsi="Calibri"/>
        </w:rPr>
      </w:pPr>
      <w:r>
        <w:rPr>
          <w:rFonts w:ascii="Calibri" w:hAnsi="Calibri"/>
          <w:i/>
          <w:iCs/>
          <w:sz w:val="24"/>
          <w:szCs w:val="24"/>
        </w:rPr>
        <w:t xml:space="preserve">Figure </w:t>
      </w:r>
      <w:r>
        <w:rPr>
          <w:rFonts w:ascii="Calibri" w:hAnsi="Calibri"/>
          <w:sz w:val="24"/>
          <w:szCs w:val="24"/>
        </w:rPr>
        <w:fldChar w:fldCharType="begin"/>
      </w:r>
      <w:r>
        <w:rPr>
          <w:rFonts w:ascii="Calibri" w:hAnsi="Calibri"/>
          <w:sz w:val="24"/>
          <w:szCs w:val="24"/>
        </w:rPr>
        <w:instrText xml:space="preserve"> SEQ Figure \* ARABIC </w:instrText>
      </w:r>
      <w:r>
        <w:rPr>
          <w:rFonts w:ascii="Calibri" w:hAnsi="Calibri"/>
          <w:sz w:val="24"/>
          <w:szCs w:val="24"/>
        </w:rPr>
        <w:fldChar w:fldCharType="separate"/>
      </w:r>
      <w:r>
        <w:rPr>
          <w:rFonts w:ascii="Calibri" w:hAnsi="Calibri"/>
          <w:sz w:val="24"/>
          <w:szCs w:val="24"/>
        </w:rPr>
        <w:t>1</w:t>
      </w:r>
      <w:r>
        <w:rPr>
          <w:rFonts w:ascii="Calibri" w:hAnsi="Calibri"/>
          <w:sz w:val="24"/>
          <w:szCs w:val="24"/>
        </w:rPr>
        <w:fldChar w:fldCharType="end"/>
      </w:r>
      <w:r>
        <w:rPr>
          <w:rFonts w:ascii="Calibri" w:hAnsi="Calibri"/>
          <w:i/>
          <w:iCs/>
          <w:sz w:val="24"/>
          <w:szCs w:val="24"/>
        </w:rPr>
        <w:t>: Top-down effects of collapse in cod and other large predatory fish species on the Scotian Shelf ecosystem between the 1980s and 1990s (sphere size represents relative abundance), (Scheffer, Carpenter and Young, 2005).</w:t>
      </w:r>
    </w:p>
    <w:p w14:paraId="359DEAAA" w14:textId="77777777" w:rsidR="00F313CD" w:rsidRDefault="00F313CD">
      <w:pPr>
        <w:rPr>
          <w:rFonts w:ascii="Calibri" w:hAnsi="Calibri"/>
          <w:sz w:val="32"/>
          <w:szCs w:val="32"/>
        </w:rPr>
      </w:pPr>
    </w:p>
    <w:p w14:paraId="064051EE" w14:textId="4E717F49" w:rsidR="00F313CD" w:rsidRDefault="00E93B8F">
      <w:pPr>
        <w:rPr>
          <w:rFonts w:ascii="Calibri" w:hAnsi="Calibri"/>
        </w:rPr>
      </w:pPr>
      <w:r>
        <w:rPr>
          <w:rFonts w:ascii="Calibri" w:hAnsi="Calibri"/>
          <w:sz w:val="32"/>
          <w:szCs w:val="32"/>
        </w:rPr>
        <w:t>Interconnectivity</w:t>
      </w:r>
      <w:r w:rsidR="00B97990">
        <w:rPr>
          <w:rFonts w:ascii="Calibri" w:hAnsi="Calibri"/>
          <w:sz w:val="32"/>
          <w:szCs w:val="32"/>
        </w:rPr>
        <w:t xml:space="preserve"> in ecosystems</w:t>
      </w:r>
      <w:r>
        <w:rPr>
          <w:rFonts w:ascii="Calibri" w:hAnsi="Calibri"/>
          <w:sz w:val="32"/>
          <w:szCs w:val="32"/>
        </w:rPr>
        <w:t xml:space="preserve"> is related to</w:t>
      </w:r>
      <w:r w:rsidR="00B97990">
        <w:rPr>
          <w:rFonts w:ascii="Calibri" w:hAnsi="Calibri"/>
          <w:sz w:val="32"/>
          <w:szCs w:val="32"/>
        </w:rPr>
        <w:t xml:space="preserve"> many examples of controversial human interference. One such case attracted global attention in the 1950s, when DDT was used in Borneo to control mosquito numbers. As a result of biomagnification and direct exposure, the spraying </w:t>
      </w:r>
      <w:r w:rsidR="001879A9">
        <w:rPr>
          <w:rFonts w:ascii="Calibri" w:hAnsi="Calibri"/>
          <w:sz w:val="32"/>
          <w:szCs w:val="32"/>
        </w:rPr>
        <w:t xml:space="preserve">of </w:t>
      </w:r>
      <w:r w:rsidR="00B97990">
        <w:rPr>
          <w:rFonts w:ascii="Calibri" w:hAnsi="Calibri"/>
          <w:sz w:val="32"/>
          <w:szCs w:val="32"/>
        </w:rPr>
        <w:t xml:space="preserve">DDT inadvertently resulted in a drop in the native cat population. This in turn led to a rise in the rat population which resulted in outbreaks of sylvatic plague, as well as damage to crops and infrastructure (O’Shaughnessy, 2008). These incidents have </w:t>
      </w:r>
      <w:r w:rsidR="00B97990">
        <w:rPr>
          <w:rFonts w:ascii="Calibri" w:hAnsi="Calibri"/>
          <w:sz w:val="32"/>
          <w:szCs w:val="32"/>
        </w:rPr>
        <w:lastRenderedPageBreak/>
        <w:t>created questions around the role of governance as well as how “effective” solutions are defined (</w:t>
      </w:r>
      <w:proofErr w:type="spellStart"/>
      <w:r w:rsidR="00B97990">
        <w:rPr>
          <w:rFonts w:ascii="Calibri" w:hAnsi="Calibri"/>
          <w:sz w:val="32"/>
          <w:szCs w:val="32"/>
        </w:rPr>
        <w:t>Escap</w:t>
      </w:r>
      <w:proofErr w:type="spellEnd"/>
      <w:r w:rsidR="00B97990">
        <w:rPr>
          <w:rFonts w:ascii="Calibri" w:hAnsi="Calibri"/>
          <w:sz w:val="32"/>
          <w:szCs w:val="32"/>
        </w:rPr>
        <w:t>, 2006).</w:t>
      </w:r>
    </w:p>
    <w:p w14:paraId="2A4EEDCA" w14:textId="39DC23C1" w:rsidR="006F359C" w:rsidRDefault="001D0A9E">
      <w:pPr>
        <w:rPr>
          <w:rFonts w:ascii="Calibri" w:hAnsi="Calibri"/>
        </w:rPr>
      </w:pPr>
      <w:r>
        <w:rPr>
          <w:noProof/>
        </w:rPr>
      </w:r>
      <w:r>
        <w:pict w14:anchorId="0E5107CD">
          <v:shapetype id="_x0000_t202" coordsize="21600,21600" o:spt="202" path="m,l,21600r21600,l21600,xe">
            <v:stroke joinstyle="miter"/>
            <v:path gradientshapeok="t" o:connecttype="rect"/>
          </v:shapetype>
          <v:shape id="Frame1" o:spid="_x0000_s1027" type="#_x0000_t202" style="width:210pt;height:171.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" stroked="f">
            <v:textbox inset="0,0,0,0">
              <w:txbxContent>
                <w:p w14:paraId="0E440B5B" w14:textId="77777777" w:rsidR="00F313CD" w:rsidRDefault="00B97990">
                  <w:pPr>
                    <w:pStyle w:val="Figure"/>
                  </w:pPr>
                  <w:r>
                    <w:rPr>
                      <w:noProof/>
                    </w:rPr>
                    <w:drawing>
                      <wp:inline distT="0" distB="0" distL="0" distR="0" wp14:anchorId="1FAFD7ED" wp14:editId="37FB678E">
                        <wp:extent cx="2667000" cy="1647825"/>
                        <wp:effectExtent l="0" t="0" r="0" b="0"/>
                        <wp:docPr id="3"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
                                <pic:cNvPicPr>
                                  <a:picLocks noChangeAspect="1" noChangeArrowheads="1"/>
                                </pic:cNvPicPr>
                              </pic:nvPicPr>
                              <pic:blipFill>
                                <a:blip r:embed="rId6"/>
                                <a:stretch>
                                  <a:fillRect/>
                                </a:stretch>
                              </pic:blipFill>
                              <pic:spPr bwMode="auto">
                                <a:xfrm>
                                  <a:off x="0" y="0"/>
                                  <a:ext cx="2667000" cy="1647825"/>
                                </a:xfrm>
                                <a:prstGeom prst="rect">
                                  <a:avLst/>
                                </a:prstGeom>
                              </pic:spPr>
                            </pic:pic>
                          </a:graphicData>
                        </a:graphic>
                      </wp:inline>
                    </w:drawing>
                  </w:r>
                  <w:r>
                    <w:t xml:space="preserve">Figure </w:t>
                  </w:r>
                  <w:fldSimple w:instr=" SEQ Figure \* ARABIC ">
                    <w:r>
                      <w:t>2</w:t>
                    </w:r>
                  </w:fldSimple>
                  <w:r>
                    <w:t>: The Eight Rules of Good Governance (Escap, 2006).</w:t>
                  </w:r>
                </w:p>
              </w:txbxContent>
            </v:textbox>
            <w10:anchorlock/>
          </v:shape>
        </w:pict>
      </w:r>
    </w:p>
    <w:p w14:paraId="2A560749" w14:textId="77777777" w:rsidR="00E93B8F" w:rsidRPr="00DA7ADC" w:rsidRDefault="00E93B8F">
      <w:pPr>
        <w:rPr>
          <w:rFonts w:ascii="Calibri" w:hAnsi="Calibri"/>
        </w:rPr>
      </w:pPr>
    </w:p>
    <w:p w14:paraId="4FCE15A7" w14:textId="68AC444A" w:rsidR="00F313CD" w:rsidRDefault="00B97990">
      <w:pPr>
        <w:numPr>
          <w:ilvl w:val="0"/>
          <w:numId w:val="1"/>
        </w:numPr>
        <w:rPr>
          <w:rFonts w:ascii="Calibri" w:hAnsi="Calibri"/>
          <w:b/>
          <w:bCs/>
        </w:rPr>
      </w:pPr>
      <w:r>
        <w:rPr>
          <w:rFonts w:ascii="Calibri" w:hAnsi="Calibri"/>
          <w:b/>
          <w:bCs/>
          <w:sz w:val="32"/>
          <w:szCs w:val="32"/>
        </w:rPr>
        <w:t xml:space="preserve">Unsustainability Within </w:t>
      </w:r>
      <w:r w:rsidR="006F359C">
        <w:rPr>
          <w:rFonts w:ascii="Calibri" w:hAnsi="Calibri"/>
          <w:b/>
          <w:bCs/>
          <w:sz w:val="32"/>
          <w:szCs w:val="32"/>
        </w:rPr>
        <w:t>the</w:t>
      </w:r>
      <w:r>
        <w:rPr>
          <w:rFonts w:ascii="Calibri" w:hAnsi="Calibri"/>
          <w:b/>
          <w:bCs/>
          <w:sz w:val="32"/>
          <w:szCs w:val="32"/>
        </w:rPr>
        <w:t xml:space="preserve"> Commercial Fishing Industry:</w:t>
      </w:r>
    </w:p>
    <w:p w14:paraId="3CBDFC7A" w14:textId="5B9C5920" w:rsidR="00DA7ADC" w:rsidRDefault="00DA7ADC">
      <w:pPr>
        <w:rPr>
          <w:rFonts w:ascii="Calibri" w:hAnsi="Calibri"/>
          <w:sz w:val="32"/>
          <w:szCs w:val="32"/>
        </w:rPr>
      </w:pPr>
      <w:r w:rsidRPr="00DA7ADC">
        <w:rPr>
          <w:rFonts w:ascii="Calibri" w:hAnsi="Calibri"/>
          <w:sz w:val="32"/>
          <w:szCs w:val="32"/>
        </w:rPr>
        <w:t xml:space="preserve">Causes for overfishing are widespread. In many cases the Malthusian approach is adopted, which directs the all the accountability for overfishing on the places with the highest population growth rates (Finkbeiner et al, 2017). </w:t>
      </w:r>
      <w:r>
        <w:rPr>
          <w:rFonts w:ascii="Calibri" w:hAnsi="Calibri"/>
          <w:sz w:val="32"/>
          <w:szCs w:val="32"/>
        </w:rPr>
        <w:t>Whilst this argument has a degree of accuracy</w:t>
      </w:r>
      <w:r w:rsidRPr="00DA7ADC">
        <w:rPr>
          <w:rFonts w:ascii="Calibri" w:hAnsi="Calibri"/>
          <w:sz w:val="32"/>
          <w:szCs w:val="32"/>
        </w:rPr>
        <w:t xml:space="preserve">, </w:t>
      </w:r>
      <w:r>
        <w:rPr>
          <w:rFonts w:ascii="Calibri" w:hAnsi="Calibri"/>
          <w:sz w:val="32"/>
          <w:szCs w:val="32"/>
        </w:rPr>
        <w:t>it lacks the broader analysis of</w:t>
      </w:r>
      <w:r w:rsidRPr="00DA7ADC">
        <w:rPr>
          <w:rFonts w:ascii="Calibri" w:hAnsi="Calibri"/>
          <w:sz w:val="32"/>
          <w:szCs w:val="32"/>
        </w:rPr>
        <w:t xml:space="preserve"> alternative drivers such as corporations and political systems. </w:t>
      </w:r>
    </w:p>
    <w:p w14:paraId="0CB38BEC" w14:textId="77777777" w:rsidR="00DA7ADC" w:rsidRDefault="00DA7ADC">
      <w:pPr>
        <w:rPr>
          <w:rFonts w:ascii="Calibri" w:hAnsi="Calibri"/>
          <w:sz w:val="32"/>
          <w:szCs w:val="32"/>
        </w:rPr>
      </w:pPr>
    </w:p>
    <w:p w14:paraId="3021869A" w14:textId="5F8BAE88" w:rsidR="00F313CD" w:rsidRDefault="00B97990">
      <w:pPr>
        <w:rPr>
          <w:rFonts w:ascii="Calibri" w:hAnsi="Calibri"/>
          <w:sz w:val="32"/>
          <w:szCs w:val="32"/>
        </w:rPr>
      </w:pPr>
      <w:r>
        <w:rPr>
          <w:rFonts w:ascii="Calibri" w:hAnsi="Calibri"/>
          <w:sz w:val="32"/>
          <w:szCs w:val="32"/>
        </w:rPr>
        <w:t xml:space="preserve">Price fluctuations </w:t>
      </w:r>
      <w:r w:rsidR="001879A9">
        <w:rPr>
          <w:rFonts w:ascii="Calibri" w:hAnsi="Calibri"/>
          <w:sz w:val="32"/>
          <w:szCs w:val="32"/>
        </w:rPr>
        <w:t>resulting from</w:t>
      </w:r>
      <w:r>
        <w:rPr>
          <w:rFonts w:ascii="Calibri" w:hAnsi="Calibri"/>
          <w:sz w:val="32"/>
          <w:szCs w:val="32"/>
        </w:rPr>
        <w:t xml:space="preserve"> instability in the commercial fishing industry has had many detrimental effects, both for the livelihoods of fishermen and the well-being of consumers (Han and Chen, 2024). Difficulties involved are often rooted in overpopulation, and poor policies regarding governance on decreasing fishery resources (Han and Chen, 2024). </w:t>
      </w:r>
    </w:p>
    <w:p w14:paraId="403C4B49" w14:textId="77777777" w:rsidR="00B5749B" w:rsidRDefault="00B5749B">
      <w:pPr>
        <w:rPr>
          <w:rFonts w:ascii="Calibri" w:hAnsi="Calibri"/>
        </w:rPr>
      </w:pPr>
    </w:p>
    <w:p w14:paraId="1135A11C" w14:textId="5788545A" w:rsidR="00F313CD" w:rsidRDefault="00B97990">
      <w:pPr>
        <w:rPr>
          <w:rFonts w:ascii="Calibri" w:hAnsi="Calibri"/>
          <w:sz w:val="32"/>
          <w:szCs w:val="32"/>
        </w:rPr>
      </w:pPr>
      <w:r>
        <w:rPr>
          <w:rFonts w:ascii="Calibri" w:hAnsi="Calibri"/>
          <w:sz w:val="32"/>
          <w:szCs w:val="32"/>
        </w:rPr>
        <w:t xml:space="preserve">Pressure from unsustainable demand is particularly prevalent in Indonesia, where marine resources are being stretched across an </w:t>
      </w:r>
      <w:r w:rsidR="001879A9">
        <w:rPr>
          <w:rFonts w:ascii="Calibri" w:hAnsi="Calibri"/>
          <w:sz w:val="32"/>
          <w:szCs w:val="32"/>
        </w:rPr>
        <w:t>ever-growing</w:t>
      </w:r>
      <w:r>
        <w:rPr>
          <w:rFonts w:ascii="Calibri" w:hAnsi="Calibri"/>
          <w:sz w:val="32"/>
          <w:szCs w:val="32"/>
        </w:rPr>
        <w:t xml:space="preserve"> population. With this increasing pressure, many areas across Indonesia are seeing a rise in illegal fishing and unsustainable </w:t>
      </w:r>
      <w:r>
        <w:rPr>
          <w:rFonts w:ascii="Calibri" w:hAnsi="Calibri"/>
          <w:sz w:val="32"/>
          <w:szCs w:val="32"/>
        </w:rPr>
        <w:lastRenderedPageBreak/>
        <w:t>fishing methods, including bombing / dynamite techniques (</w:t>
      </w:r>
      <w:proofErr w:type="spellStart"/>
      <w:r>
        <w:rPr>
          <w:rFonts w:ascii="Calibri" w:hAnsi="Calibri"/>
          <w:sz w:val="32"/>
          <w:szCs w:val="32"/>
        </w:rPr>
        <w:t>Triyanti</w:t>
      </w:r>
      <w:proofErr w:type="spellEnd"/>
      <w:r>
        <w:rPr>
          <w:rFonts w:ascii="Calibri" w:hAnsi="Calibri"/>
          <w:sz w:val="32"/>
          <w:szCs w:val="32"/>
        </w:rPr>
        <w:t xml:space="preserve"> et al, 2023). These practices have exacerbated not only the instability of the industry, but the inequalities between stakeholders.</w:t>
      </w:r>
    </w:p>
    <w:p w14:paraId="629EDE06" w14:textId="77777777" w:rsidR="00B5749B" w:rsidRDefault="00B5749B">
      <w:pPr>
        <w:rPr>
          <w:rFonts w:ascii="Calibri" w:hAnsi="Calibri"/>
        </w:rPr>
      </w:pPr>
    </w:p>
    <w:p w14:paraId="51725682" w14:textId="6C642A74" w:rsidR="00F313CD" w:rsidRDefault="00B97990">
      <w:pPr>
        <w:rPr>
          <w:rFonts w:ascii="Calibri" w:hAnsi="Calibri"/>
        </w:rPr>
      </w:pPr>
      <w:r>
        <w:rPr>
          <w:rFonts w:ascii="Calibri" w:hAnsi="Calibri"/>
          <w:sz w:val="32"/>
          <w:szCs w:val="32"/>
        </w:rPr>
        <w:t>In addition to the pressures of overpopulation</w:t>
      </w:r>
      <w:r w:rsidR="001879A9">
        <w:rPr>
          <w:rFonts w:ascii="Calibri" w:hAnsi="Calibri"/>
          <w:sz w:val="32"/>
          <w:szCs w:val="32"/>
        </w:rPr>
        <w:t xml:space="preserve"> and</w:t>
      </w:r>
      <w:r>
        <w:rPr>
          <w:rFonts w:ascii="Calibri" w:hAnsi="Calibri"/>
          <w:sz w:val="32"/>
          <w:szCs w:val="32"/>
        </w:rPr>
        <w:t xml:space="preserve"> poor policy making </w:t>
      </w:r>
      <w:r w:rsidR="001879A9">
        <w:rPr>
          <w:rFonts w:ascii="Calibri" w:hAnsi="Calibri"/>
          <w:sz w:val="32"/>
          <w:szCs w:val="32"/>
        </w:rPr>
        <w:t xml:space="preserve">(and </w:t>
      </w:r>
      <w:r>
        <w:rPr>
          <w:rFonts w:ascii="Calibri" w:hAnsi="Calibri"/>
          <w:sz w:val="32"/>
          <w:szCs w:val="32"/>
        </w:rPr>
        <w:t>enforcement thereof</w:t>
      </w:r>
      <w:r w:rsidR="001879A9">
        <w:rPr>
          <w:rFonts w:ascii="Calibri" w:hAnsi="Calibri"/>
          <w:sz w:val="32"/>
          <w:szCs w:val="32"/>
        </w:rPr>
        <w:t>)</w:t>
      </w:r>
      <w:r>
        <w:rPr>
          <w:rFonts w:ascii="Calibri" w:hAnsi="Calibri"/>
          <w:sz w:val="32"/>
          <w:szCs w:val="32"/>
        </w:rPr>
        <w:t xml:space="preserve">, climate change is an increasing danger in the fishing industry. Rising ocean temperatures have had acute </w:t>
      </w:r>
      <w:r w:rsidR="001879A9">
        <w:rPr>
          <w:rFonts w:ascii="Calibri" w:hAnsi="Calibri"/>
          <w:sz w:val="32"/>
          <w:szCs w:val="32"/>
        </w:rPr>
        <w:t>effects</w:t>
      </w:r>
      <w:r>
        <w:rPr>
          <w:rFonts w:ascii="Calibri" w:hAnsi="Calibri"/>
          <w:sz w:val="32"/>
          <w:szCs w:val="32"/>
        </w:rPr>
        <w:t xml:space="preserve"> on biodiversity in countries such as Peru, where it has cause</w:t>
      </w:r>
      <w:r w:rsidR="001879A9">
        <w:rPr>
          <w:rFonts w:ascii="Calibri" w:hAnsi="Calibri"/>
          <w:sz w:val="32"/>
          <w:szCs w:val="32"/>
        </w:rPr>
        <w:t>d</w:t>
      </w:r>
      <w:r>
        <w:rPr>
          <w:rFonts w:ascii="Calibri" w:hAnsi="Calibri"/>
          <w:sz w:val="32"/>
          <w:szCs w:val="32"/>
        </w:rPr>
        <w:t xml:space="preserve"> the mass death of Peruvian herring stocks, a former staple of the economy (Han and Chen, 2024). This has also put a strain on whale sharks which rely on these fish as a main food source (Han and Chen, 2024).</w:t>
      </w:r>
    </w:p>
    <w:p w14:paraId="2A6DA0EE" w14:textId="77777777" w:rsidR="00F313CD" w:rsidRDefault="00F313CD">
      <w:pPr>
        <w:rPr>
          <w:sz w:val="32"/>
          <w:szCs w:val="32"/>
        </w:rPr>
      </w:pPr>
    </w:p>
    <w:p w14:paraId="4AC38CEC" w14:textId="77777777" w:rsidR="00F313CD" w:rsidRDefault="00B97990">
      <w:pPr>
        <w:numPr>
          <w:ilvl w:val="0"/>
          <w:numId w:val="1"/>
        </w:numPr>
        <w:rPr>
          <w:rFonts w:ascii="Calibri" w:hAnsi="Calibri"/>
          <w:b/>
          <w:bCs/>
        </w:rPr>
      </w:pPr>
      <w:r>
        <w:rPr>
          <w:rFonts w:ascii="Calibri" w:hAnsi="Calibri"/>
          <w:b/>
          <w:bCs/>
          <w:sz w:val="32"/>
          <w:szCs w:val="32"/>
        </w:rPr>
        <w:t>Relevance to Contemporary Challenges</w:t>
      </w:r>
    </w:p>
    <w:p w14:paraId="38559CAA" w14:textId="0ECAB061" w:rsidR="001D0A9E" w:rsidRPr="001D0A9E" w:rsidRDefault="001D0A9E">
      <w:pPr>
        <w:rPr>
          <w:rFonts w:ascii="Calibri" w:hAnsi="Calibri"/>
        </w:rPr>
      </w:pPr>
      <w:r w:rsidRPr="001D0A9E">
        <w:rPr>
          <w:rFonts w:ascii="Calibri" w:hAnsi="Calibri"/>
          <w:sz w:val="32"/>
          <w:szCs w:val="32"/>
        </w:rPr>
        <w:t>Satellite monitoring along with ecological models has seen increased use in efforts towards sustainable management of marine resources (Han and Chen, 2024)</w:t>
      </w:r>
      <w:r>
        <w:rPr>
          <w:rFonts w:ascii="Calibri" w:hAnsi="Calibri"/>
          <w:sz w:val="32"/>
          <w:szCs w:val="32"/>
        </w:rPr>
        <w:t>. These techniques along with c</w:t>
      </w:r>
      <w:r w:rsidRPr="001D0A9E">
        <w:rPr>
          <w:rFonts w:ascii="Calibri" w:hAnsi="Calibri"/>
          <w:sz w:val="32"/>
          <w:szCs w:val="32"/>
        </w:rPr>
        <w:t xml:space="preserve">atch control principles have led to increased accuracy with which populations can be assessed for decline (Pham, Wang, Chen and Lee, 2023). These are supported by international organisations which aim to regulate fish stocks such as The Parties to the Nauru Agreement (PNA) which contribute to over 30% of the global tuna supply (PNA, 2019). Other organisations such as the US/Canada Pacific Salmon Treaty have introduced </w:t>
      </w:r>
      <w:r w:rsidRPr="001D0A9E">
        <w:rPr>
          <w:rFonts w:ascii="Calibri" w:hAnsi="Calibri"/>
          <w:sz w:val="32"/>
          <w:szCs w:val="32"/>
        </w:rPr>
        <w:t>precedents</w:t>
      </w:r>
      <w:r w:rsidRPr="001D0A9E">
        <w:rPr>
          <w:rFonts w:ascii="Calibri" w:hAnsi="Calibri"/>
          <w:sz w:val="32"/>
          <w:szCs w:val="32"/>
        </w:rPr>
        <w:t xml:space="preserve"> for compensatory payments which guide fishermen away from </w:t>
      </w:r>
      <w:r w:rsidRPr="001D0A9E">
        <w:rPr>
          <w:rFonts w:ascii="Calibri" w:hAnsi="Calibri"/>
          <w:sz w:val="32"/>
          <w:szCs w:val="32"/>
        </w:rPr>
        <w:t>vulnerable</w:t>
      </w:r>
      <w:r w:rsidRPr="001D0A9E">
        <w:rPr>
          <w:rFonts w:ascii="Calibri" w:hAnsi="Calibri"/>
          <w:sz w:val="32"/>
          <w:szCs w:val="32"/>
        </w:rPr>
        <w:t xml:space="preserve"> species</w:t>
      </w:r>
      <w:r>
        <w:rPr>
          <w:rFonts w:ascii="Calibri" w:hAnsi="Calibri"/>
          <w:sz w:val="32"/>
          <w:szCs w:val="32"/>
        </w:rPr>
        <w:t xml:space="preserve"> with the aim</w:t>
      </w:r>
      <w:r w:rsidRPr="001D0A9E">
        <w:rPr>
          <w:rFonts w:ascii="Calibri" w:hAnsi="Calibri"/>
          <w:sz w:val="32"/>
          <w:szCs w:val="32"/>
        </w:rPr>
        <w:t xml:space="preserve"> to reduce </w:t>
      </w:r>
      <w:r>
        <w:rPr>
          <w:rFonts w:ascii="Calibri" w:hAnsi="Calibri"/>
          <w:sz w:val="32"/>
          <w:szCs w:val="32"/>
        </w:rPr>
        <w:t>specific species</w:t>
      </w:r>
      <w:r w:rsidRPr="001D0A9E">
        <w:rPr>
          <w:rFonts w:ascii="Calibri" w:hAnsi="Calibri"/>
          <w:sz w:val="32"/>
          <w:szCs w:val="32"/>
        </w:rPr>
        <w:t xml:space="preserve"> depletion (Pham, Wang, Chen and Lee, 2023).</w:t>
      </w:r>
    </w:p>
    <w:p w14:paraId="7C101EE3" w14:textId="77777777" w:rsidR="001D0A9E" w:rsidRDefault="001D0A9E">
      <w:pPr>
        <w:rPr>
          <w:rFonts w:ascii="Calibri" w:hAnsi="Calibri"/>
          <w:sz w:val="32"/>
          <w:szCs w:val="32"/>
        </w:rPr>
      </w:pPr>
    </w:p>
    <w:p w14:paraId="2A5F5872" w14:textId="5B6C10C8" w:rsidR="00F313CD" w:rsidRPr="001D0A9E" w:rsidRDefault="00B97990">
      <w:pPr>
        <w:rPr>
          <w:rFonts w:ascii="Calibri" w:hAnsi="Calibri"/>
          <w:sz w:val="32"/>
          <w:szCs w:val="32"/>
        </w:rPr>
      </w:pPr>
      <w:r>
        <w:rPr>
          <w:rFonts w:ascii="Calibri" w:hAnsi="Calibri"/>
          <w:sz w:val="32"/>
          <w:szCs w:val="32"/>
        </w:rPr>
        <w:t xml:space="preserve">Included in the </w:t>
      </w:r>
      <w:r w:rsidR="00B61E47">
        <w:rPr>
          <w:rFonts w:ascii="Calibri" w:hAnsi="Calibri"/>
          <w:sz w:val="32"/>
          <w:szCs w:val="32"/>
        </w:rPr>
        <w:t>scope</w:t>
      </w:r>
      <w:r>
        <w:rPr>
          <w:rFonts w:ascii="Calibri" w:hAnsi="Calibri"/>
          <w:sz w:val="32"/>
          <w:szCs w:val="32"/>
        </w:rPr>
        <w:t xml:space="preserve"> of modern marine conservation, is the multitude of depths and habitats at which fishing boats operate at (figure 3)</w:t>
      </w:r>
      <w:r w:rsidR="00B61E47">
        <w:rPr>
          <w:rFonts w:ascii="Calibri" w:hAnsi="Calibri"/>
          <w:sz w:val="32"/>
          <w:szCs w:val="32"/>
        </w:rPr>
        <w:t>.</w:t>
      </w:r>
      <w:r w:rsidR="00B5749B">
        <w:rPr>
          <w:rFonts w:ascii="Calibri" w:hAnsi="Calibri"/>
          <w:sz w:val="32"/>
          <w:szCs w:val="32"/>
        </w:rPr>
        <w:t xml:space="preserve"> </w:t>
      </w:r>
      <w:r w:rsidR="00B61E47">
        <w:rPr>
          <w:rFonts w:ascii="Calibri" w:hAnsi="Calibri"/>
          <w:sz w:val="32"/>
          <w:szCs w:val="32"/>
        </w:rPr>
        <w:t>Whilst these c</w:t>
      </w:r>
      <w:r w:rsidR="00B5749B">
        <w:rPr>
          <w:rFonts w:ascii="Calibri" w:hAnsi="Calibri"/>
          <w:sz w:val="32"/>
          <w:szCs w:val="32"/>
        </w:rPr>
        <w:t>omplex</w:t>
      </w:r>
      <w:r w:rsidR="00B61E47">
        <w:rPr>
          <w:rFonts w:ascii="Calibri" w:hAnsi="Calibri"/>
          <w:sz w:val="32"/>
          <w:szCs w:val="32"/>
        </w:rPr>
        <w:t>ities</w:t>
      </w:r>
      <w:r w:rsidR="00B5749B">
        <w:rPr>
          <w:rFonts w:ascii="Calibri" w:hAnsi="Calibri"/>
          <w:sz w:val="32"/>
          <w:szCs w:val="32"/>
        </w:rPr>
        <w:t xml:space="preserve"> </w:t>
      </w:r>
      <w:r w:rsidR="00B61E47">
        <w:rPr>
          <w:rFonts w:ascii="Calibri" w:hAnsi="Calibri"/>
          <w:sz w:val="32"/>
          <w:szCs w:val="32"/>
        </w:rPr>
        <w:t xml:space="preserve">can </w:t>
      </w:r>
      <w:r w:rsidR="00B5749B">
        <w:rPr>
          <w:rFonts w:ascii="Calibri" w:hAnsi="Calibri"/>
          <w:sz w:val="32"/>
          <w:szCs w:val="32"/>
        </w:rPr>
        <w:t xml:space="preserve">increase the difficulty </w:t>
      </w:r>
      <w:r w:rsidR="00B5749B">
        <w:rPr>
          <w:rFonts w:ascii="Calibri" w:hAnsi="Calibri"/>
          <w:sz w:val="32"/>
          <w:szCs w:val="32"/>
        </w:rPr>
        <w:lastRenderedPageBreak/>
        <w:t>involved with regulati</w:t>
      </w:r>
      <w:r w:rsidR="00B61E47">
        <w:rPr>
          <w:rFonts w:ascii="Calibri" w:hAnsi="Calibri"/>
          <w:sz w:val="32"/>
          <w:szCs w:val="32"/>
        </w:rPr>
        <w:t>on (</w:t>
      </w:r>
      <w:r w:rsidR="00B5749B">
        <w:rPr>
          <w:rFonts w:ascii="Calibri" w:hAnsi="Calibri"/>
          <w:sz w:val="32"/>
          <w:szCs w:val="32"/>
        </w:rPr>
        <w:t xml:space="preserve">particularly </w:t>
      </w:r>
      <w:r w:rsidR="00B61E47">
        <w:rPr>
          <w:rFonts w:ascii="Calibri" w:hAnsi="Calibri"/>
          <w:sz w:val="32"/>
          <w:szCs w:val="32"/>
        </w:rPr>
        <w:t xml:space="preserve">when </w:t>
      </w:r>
      <w:r w:rsidR="00B5749B">
        <w:rPr>
          <w:rFonts w:ascii="Calibri" w:hAnsi="Calibri"/>
          <w:sz w:val="32"/>
          <w:szCs w:val="32"/>
        </w:rPr>
        <w:t xml:space="preserve">controlling equal access between stakeholders </w:t>
      </w:r>
      <w:r w:rsidR="00B61E47">
        <w:rPr>
          <w:rFonts w:ascii="Calibri" w:hAnsi="Calibri"/>
          <w:sz w:val="32"/>
          <w:szCs w:val="32"/>
        </w:rPr>
        <w:t>and ensuring sustainable use), they also provide a pathway to management of</w:t>
      </w:r>
      <w:r w:rsidR="00270441">
        <w:rPr>
          <w:rFonts w:ascii="Calibri" w:hAnsi="Calibri"/>
          <w:sz w:val="32"/>
          <w:szCs w:val="32"/>
        </w:rPr>
        <w:t xml:space="preserve"> specific</w:t>
      </w:r>
      <w:r w:rsidR="00B61E47">
        <w:rPr>
          <w:rFonts w:ascii="Calibri" w:hAnsi="Calibri"/>
          <w:sz w:val="32"/>
          <w:szCs w:val="32"/>
        </w:rPr>
        <w:t xml:space="preserve"> </w:t>
      </w:r>
      <w:r w:rsidR="00270441">
        <w:rPr>
          <w:rFonts w:ascii="Calibri" w:hAnsi="Calibri"/>
          <w:sz w:val="32"/>
          <w:szCs w:val="32"/>
        </w:rPr>
        <w:t>groups</w:t>
      </w:r>
      <w:r w:rsidR="00B61E47">
        <w:rPr>
          <w:rFonts w:ascii="Calibri" w:hAnsi="Calibri"/>
          <w:sz w:val="32"/>
          <w:szCs w:val="32"/>
        </w:rPr>
        <w:t xml:space="preserve">, as each vessel / fishing method has different target species </w:t>
      </w:r>
      <w:r w:rsidR="00B61E47">
        <w:rPr>
          <w:rFonts w:ascii="Calibri" w:hAnsi="Calibri"/>
          <w:sz w:val="32"/>
          <w:szCs w:val="32"/>
        </w:rPr>
        <w:t>(</w:t>
      </w:r>
      <w:proofErr w:type="spellStart"/>
      <w:r w:rsidR="00B61E47">
        <w:rPr>
          <w:rFonts w:ascii="Calibri" w:hAnsi="Calibri"/>
          <w:sz w:val="32"/>
          <w:szCs w:val="32"/>
        </w:rPr>
        <w:t>Jacquemont</w:t>
      </w:r>
      <w:proofErr w:type="spellEnd"/>
      <w:r w:rsidR="00B61E47">
        <w:rPr>
          <w:rFonts w:ascii="Calibri" w:hAnsi="Calibri"/>
          <w:sz w:val="32"/>
          <w:szCs w:val="32"/>
        </w:rPr>
        <w:t>, Loiseau, Tornabene and Claudet, 2024)</w:t>
      </w:r>
      <w:r w:rsidR="00B61E47">
        <w:rPr>
          <w:rFonts w:ascii="Calibri" w:hAnsi="Calibri"/>
          <w:sz w:val="32"/>
          <w:szCs w:val="32"/>
        </w:rPr>
        <w:t>.</w:t>
      </w:r>
    </w:p>
    <w:p w14:paraId="26D0D9D8" w14:textId="77777777" w:rsidR="00F313CD" w:rsidRDefault="00F313CD">
      <w:pPr>
        <w:rPr>
          <w:sz w:val="32"/>
          <w:szCs w:val="32"/>
        </w:rPr>
      </w:pPr>
    </w:p>
    <w:p w14:paraId="3541F16F" w14:textId="5901B25E" w:rsidR="00F313CD" w:rsidRDefault="001D0A9E">
      <w:pPr>
        <w:rPr>
          <w:sz w:val="32"/>
          <w:szCs w:val="32"/>
        </w:rPr>
      </w:pPr>
      <w:r>
        <w:rPr>
          <w:noProof/>
        </w:rPr>
        <w:pict w14:anchorId="1807A876">
          <v:shape id="Frame2" o:spid="_x0000_s1026" type="#_x0000_t202" style="position:absolute;margin-left:0;margin-top:.05pt;width:451.3pt;height:388.3pt;z-index:5;visibility:visible;mso-wrap-style:square;mso-wrap-distance-left:0;mso-wrap-distance-top:0;mso-wrap-distance-right:0;mso-wrap-distance-bottom:0;mso-position-horizontal:center;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" o:allowincell="f" stroked="f">
            <v:textbox inset="0,0,0,0">
              <w:txbxContent>
                <w:p w14:paraId="022D2CFF" w14:textId="77777777" w:rsidR="00F313CD" w:rsidRDefault="00B97990">
                  <w:pPr>
                    <w:pStyle w:val="Figure"/>
                  </w:pPr>
                  <w:r>
                    <w:rPr>
                      <w:noProof/>
                    </w:rPr>
                    <w:drawing>
                      <wp:inline distT="0" distB="0" distL="0" distR="0" wp14:anchorId="42C07EDD" wp14:editId="6DCFBAAD">
                        <wp:extent cx="5731510" cy="4400550"/>
                        <wp:effectExtent l="0" t="0" r="0" b="0"/>
                        <wp:docPr id="6"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
                                <pic:cNvPicPr>
                                  <a:picLocks noChangeAspect="1" noChangeArrowheads="1"/>
                                </pic:cNvPicPr>
                              </pic:nvPicPr>
                              <pic:blipFill>
                                <a:blip r:embed="rId7"/>
                                <a:stretch>
                                  <a:fillRect/>
                                </a:stretch>
                              </pic:blipFill>
                              <pic:spPr bwMode="auto">
                                <a:xfrm>
                                  <a:off x="0" y="0"/>
                                  <a:ext cx="5731510" cy="4400550"/>
                                </a:xfrm>
                                <a:prstGeom prst="rect">
                                  <a:avLst/>
                                </a:prstGeom>
                              </pic:spPr>
                            </pic:pic>
                          </a:graphicData>
                        </a:graphic>
                      </wp:inline>
                    </w:drawing>
                  </w:r>
                  <w:r>
                    <w:t xml:space="preserve">Figure </w:t>
                  </w:r>
                  <w:fldSimple w:instr=" SEQ Figure \* ARABIC ">
                    <w:r>
                      <w:t>3</w:t>
                    </w:r>
                  </w:fldSimple>
                  <w:r>
                    <w:t>: Different Depths Targeted By Fishing Gear (Jacquemont, Loiseau, Tornabene and Claudet, 2024).</w:t>
                  </w:r>
                </w:p>
              </w:txbxContent>
            </v:textbox>
            <w10:wrap type="square" side="largest"/>
          </v:shape>
        </w:pict>
      </w:r>
    </w:p>
    <w:p w14:paraId="3DD8117B" w14:textId="2F930051" w:rsidR="00F313CD" w:rsidRDefault="00B97990">
      <w:pPr>
        <w:rPr>
          <w:rFonts w:ascii="Calibri" w:hAnsi="Calibri"/>
        </w:rPr>
      </w:pPr>
      <w:r>
        <w:rPr>
          <w:rFonts w:ascii="Calibri" w:hAnsi="Calibri"/>
          <w:sz w:val="32"/>
          <w:szCs w:val="32"/>
        </w:rPr>
        <w:t>Various grass-roots initiatives have displayed some key features of effective governance</w:t>
      </w:r>
      <w:r w:rsidR="001879A9">
        <w:rPr>
          <w:rFonts w:ascii="Calibri" w:hAnsi="Calibri"/>
          <w:sz w:val="32"/>
          <w:szCs w:val="32"/>
        </w:rPr>
        <w:t>. These are typically</w:t>
      </w:r>
      <w:r>
        <w:rPr>
          <w:rFonts w:ascii="Calibri" w:hAnsi="Calibri"/>
          <w:sz w:val="32"/>
          <w:szCs w:val="32"/>
        </w:rPr>
        <w:t xml:space="preserve"> manifesting in co-management schemes which involve local communities (Han and Chen, 2024). This has been exhibited in Aceh, where empowerment of the local community in decision making has given their fishing industry the ability to bypass the typical constraints of generalist </w:t>
      </w:r>
      <w:r>
        <w:rPr>
          <w:rFonts w:ascii="Calibri" w:hAnsi="Calibri"/>
          <w:sz w:val="32"/>
          <w:szCs w:val="32"/>
        </w:rPr>
        <w:lastRenderedPageBreak/>
        <w:t>legislation, whilst maintaining a sustainable approach (Dixon and McGregor, 2011).</w:t>
      </w:r>
      <w:r w:rsidR="001879A9">
        <w:rPr>
          <w:rFonts w:ascii="Calibri" w:hAnsi="Calibri"/>
          <w:sz w:val="32"/>
          <w:szCs w:val="32"/>
        </w:rPr>
        <w:t xml:space="preserve"> Within this approach the advent of</w:t>
      </w:r>
      <w:r w:rsidR="00DA7ADC">
        <w:rPr>
          <w:rFonts w:ascii="Calibri" w:hAnsi="Calibri"/>
          <w:sz w:val="32"/>
          <w:szCs w:val="32"/>
        </w:rPr>
        <w:t xml:space="preserve"> merging traditional techniques with</w:t>
      </w:r>
      <w:r w:rsidR="001879A9">
        <w:rPr>
          <w:rFonts w:ascii="Calibri" w:hAnsi="Calibri"/>
          <w:sz w:val="32"/>
          <w:szCs w:val="32"/>
        </w:rPr>
        <w:t xml:space="preserve"> citizen science has played a major role in </w:t>
      </w:r>
      <w:r w:rsidR="00DA7ADC">
        <w:rPr>
          <w:rFonts w:ascii="Calibri" w:hAnsi="Calibri"/>
          <w:sz w:val="32"/>
          <w:szCs w:val="32"/>
        </w:rPr>
        <w:t xml:space="preserve">effectively </w:t>
      </w:r>
      <w:r w:rsidR="001879A9">
        <w:rPr>
          <w:rFonts w:ascii="Calibri" w:hAnsi="Calibri"/>
          <w:sz w:val="32"/>
          <w:szCs w:val="32"/>
        </w:rPr>
        <w:t>monitoring and managing fish stocks</w:t>
      </w:r>
      <w:r w:rsidR="00DA7ADC">
        <w:rPr>
          <w:rFonts w:ascii="Calibri" w:hAnsi="Calibri"/>
          <w:sz w:val="32"/>
          <w:szCs w:val="32"/>
        </w:rPr>
        <w:t xml:space="preserve"> (Malhotra, </w:t>
      </w:r>
      <w:r w:rsidR="00E93B8F">
        <w:rPr>
          <w:rFonts w:ascii="Calibri" w:hAnsi="Calibri"/>
          <w:sz w:val="32"/>
          <w:szCs w:val="32"/>
        </w:rPr>
        <w:t>2025</w:t>
      </w:r>
      <w:r w:rsidR="00DA7ADC">
        <w:rPr>
          <w:rFonts w:ascii="Calibri" w:hAnsi="Calibri"/>
          <w:sz w:val="32"/>
          <w:szCs w:val="32"/>
        </w:rPr>
        <w:t>)</w:t>
      </w:r>
      <w:r w:rsidR="001879A9">
        <w:rPr>
          <w:rFonts w:ascii="Calibri" w:hAnsi="Calibri"/>
          <w:sz w:val="32"/>
          <w:szCs w:val="32"/>
        </w:rPr>
        <w:t>.</w:t>
      </w:r>
    </w:p>
    <w:p w14:paraId="0F57022C" w14:textId="77777777" w:rsidR="001D0A9E" w:rsidRDefault="001D0A9E">
      <w:pPr>
        <w:rPr>
          <w:rFonts w:ascii="Calibri" w:hAnsi="Calibri"/>
          <w:sz w:val="32"/>
          <w:szCs w:val="32"/>
        </w:rPr>
      </w:pPr>
    </w:p>
    <w:p w14:paraId="562F5E7E" w14:textId="77777777" w:rsidR="00F313CD" w:rsidRDefault="00B97990">
      <w:r>
        <w:rPr>
          <w:rFonts w:ascii="Calibri" w:hAnsi="Calibri"/>
          <w:b/>
          <w:bCs/>
          <w:sz w:val="32"/>
          <w:szCs w:val="32"/>
        </w:rPr>
        <w:t>Reference List:</w:t>
      </w:r>
    </w:p>
    <w:p w14:paraId="7248DE50" w14:textId="12A8D9BB" w:rsidR="00F313CD" w:rsidRDefault="00B97990">
      <w:r>
        <w:rPr>
          <w:rFonts w:ascii="Calibri" w:hAnsi="Calibri"/>
        </w:rPr>
        <w:t>Dixon, R. and McGregor, A.</w:t>
      </w:r>
      <w:r w:rsidR="00D264F8">
        <w:rPr>
          <w:rFonts w:ascii="Calibri" w:hAnsi="Calibri"/>
        </w:rPr>
        <w:t xml:space="preserve"> (</w:t>
      </w:r>
      <w:r>
        <w:rPr>
          <w:rFonts w:ascii="Calibri" w:hAnsi="Calibri"/>
        </w:rPr>
        <w:t>2011</w:t>
      </w:r>
      <w:r w:rsidR="00D264F8">
        <w:rPr>
          <w:rFonts w:ascii="Calibri" w:hAnsi="Calibri"/>
        </w:rPr>
        <w:t>)</w:t>
      </w:r>
      <w:r>
        <w:rPr>
          <w:rFonts w:ascii="Calibri" w:hAnsi="Calibri"/>
        </w:rPr>
        <w:t xml:space="preserve">. </w:t>
      </w:r>
      <w:r>
        <w:rPr>
          <w:rFonts w:ascii="Calibri" w:hAnsi="Calibri"/>
          <w:i/>
          <w:iCs/>
        </w:rPr>
        <w:t>Grassroots development and upwards accountabilities: Tensions in the reconstruction of Aceh's fishing industry</w:t>
      </w:r>
      <w:r>
        <w:rPr>
          <w:rFonts w:ascii="Calibri" w:hAnsi="Calibri"/>
        </w:rPr>
        <w:t xml:space="preserve">. Development and Change, 42(6), pp.1349-1377.  </w:t>
      </w:r>
    </w:p>
    <w:p w14:paraId="70859B65" w14:textId="77777777" w:rsidR="00F313CD" w:rsidRDefault="00B97990">
      <w:pPr>
        <w:rPr>
          <w:rFonts w:ascii="Calibri" w:hAnsi="Calibri"/>
        </w:rPr>
      </w:pPr>
      <w:proofErr w:type="spellStart"/>
      <w:r>
        <w:rPr>
          <w:rFonts w:ascii="Calibri" w:hAnsi="Calibri"/>
        </w:rPr>
        <w:t>Escap</w:t>
      </w:r>
      <w:proofErr w:type="spellEnd"/>
      <w:r>
        <w:rPr>
          <w:rFonts w:ascii="Calibri" w:hAnsi="Calibri"/>
        </w:rPr>
        <w:t xml:space="preserve">, U. (2006). </w:t>
      </w:r>
      <w:hyperlink r:id="rId8">
        <w:r>
          <w:rPr>
            <w:rStyle w:val="Hyperlink"/>
            <w:rFonts w:ascii="Calibri" w:hAnsi="Calibri"/>
          </w:rPr>
          <w:t>What is Good Governance?</w:t>
        </w:r>
      </w:hyperlink>
      <w:r>
        <w:rPr>
          <w:rFonts w:ascii="Calibri" w:hAnsi="Calibri"/>
        </w:rPr>
        <w:t xml:space="preserve"> United Nations Economic and Social Commissions for Asia and the Pacific.</w:t>
      </w:r>
    </w:p>
    <w:p w14:paraId="7B70BF13" w14:textId="22DF6A18" w:rsidR="006F359C" w:rsidRDefault="006F359C">
      <w:r w:rsidRPr="006F359C">
        <w:t xml:space="preserve">Finkbeiner, E.M., Bennett, N.J., Frawley, T.H., Mason, J.G., Briscoe, D.K., Brooks, C.M., Ng, C.A., </w:t>
      </w:r>
      <w:proofErr w:type="spellStart"/>
      <w:r w:rsidRPr="006F359C">
        <w:t>Ourens</w:t>
      </w:r>
      <w:proofErr w:type="spellEnd"/>
      <w:r w:rsidRPr="006F359C">
        <w:t xml:space="preserve">, R., Seto, K., Switzer Swanson, S. and Urteaga, J. (2017). </w:t>
      </w:r>
      <w:r w:rsidRPr="006F359C">
        <w:rPr>
          <w:i/>
          <w:iCs/>
        </w:rPr>
        <w:t>Reconstructing overfishing: moving beyond Malthus for effective and equitable solutions</w:t>
      </w:r>
      <w:r w:rsidRPr="006F359C">
        <w:t>. Fish and Fisheries, 18(6), pp.1180-1191.</w:t>
      </w:r>
    </w:p>
    <w:p w14:paraId="50A7671A" w14:textId="77777777" w:rsidR="00F313CD" w:rsidRDefault="00B97990">
      <w:r>
        <w:rPr>
          <w:rFonts w:ascii="Calibri" w:hAnsi="Calibri"/>
        </w:rPr>
        <w:t xml:space="preserve">Free Science (2024). </w:t>
      </w:r>
      <w:r>
        <w:rPr>
          <w:rFonts w:ascii="Calibri" w:hAnsi="Calibri"/>
          <w:i/>
          <w:iCs/>
        </w:rPr>
        <w:t>How Overfishing Endangers Marine Biodiversity: Understanding the Impact on Our Oceans</w:t>
      </w:r>
      <w:r>
        <w:rPr>
          <w:rFonts w:ascii="Calibri" w:hAnsi="Calibri"/>
        </w:rPr>
        <w:t xml:space="preserve">. [online] Available at: </w:t>
      </w:r>
      <w:hyperlink r:id="rId9">
        <w:r>
          <w:rPr>
            <w:rStyle w:val="Hyperlink"/>
            <w:rFonts w:ascii="Calibri" w:hAnsi="Calibri"/>
          </w:rPr>
          <w:t>https://freescience.info/how-overfishing-threatens-marine-biodiversity/</w:t>
        </w:r>
      </w:hyperlink>
      <w:r>
        <w:rPr>
          <w:rFonts w:ascii="Calibri" w:hAnsi="Calibri"/>
        </w:rPr>
        <w:t>. [Accessed 24.03.25].</w:t>
      </w:r>
    </w:p>
    <w:p w14:paraId="412B4290" w14:textId="55207470" w:rsidR="00F313CD" w:rsidRDefault="00B97990">
      <w:r>
        <w:rPr>
          <w:rFonts w:ascii="Calibri" w:hAnsi="Calibri"/>
        </w:rPr>
        <w:t>Han, H. and Chen, Z.</w:t>
      </w:r>
      <w:r w:rsidR="00D264F8">
        <w:rPr>
          <w:rFonts w:ascii="Calibri" w:hAnsi="Calibri"/>
        </w:rPr>
        <w:t xml:space="preserve"> (</w:t>
      </w:r>
      <w:r>
        <w:rPr>
          <w:rFonts w:ascii="Calibri" w:hAnsi="Calibri"/>
        </w:rPr>
        <w:t>2024</w:t>
      </w:r>
      <w:r w:rsidR="00D264F8">
        <w:rPr>
          <w:rFonts w:ascii="Calibri" w:hAnsi="Calibri"/>
        </w:rPr>
        <w:t>)</w:t>
      </w:r>
      <w:r>
        <w:rPr>
          <w:rFonts w:ascii="Calibri" w:hAnsi="Calibri"/>
        </w:rPr>
        <w:t xml:space="preserve">. </w:t>
      </w:r>
      <w:r>
        <w:rPr>
          <w:rFonts w:ascii="Calibri" w:hAnsi="Calibri"/>
          <w:i/>
          <w:iCs/>
        </w:rPr>
        <w:t>The Impact of Socio-Economic Factors on the Decline of Fishery Resources</w:t>
      </w:r>
      <w:r>
        <w:rPr>
          <w:rFonts w:ascii="Calibri" w:hAnsi="Calibri"/>
        </w:rPr>
        <w:t xml:space="preserve">. International Journal of Marine Science, 14(2), p.74. </w:t>
      </w:r>
    </w:p>
    <w:p w14:paraId="33A55A4A" w14:textId="77777777" w:rsidR="00F313CD" w:rsidRDefault="00B97990">
      <w:pPr>
        <w:rPr>
          <w:rFonts w:ascii="Calibri" w:hAnsi="Calibri"/>
        </w:rPr>
      </w:pPr>
      <w:proofErr w:type="spellStart"/>
      <w:r>
        <w:rPr>
          <w:rFonts w:ascii="Calibri" w:hAnsi="Calibri"/>
        </w:rPr>
        <w:t>Jacquemont</w:t>
      </w:r>
      <w:proofErr w:type="spellEnd"/>
      <w:r>
        <w:rPr>
          <w:rFonts w:ascii="Calibri" w:hAnsi="Calibri"/>
        </w:rPr>
        <w:t xml:space="preserve">, J., Loiseau, C., Tornabene, L. and Claudet, J. (2024). </w:t>
      </w:r>
      <w:r>
        <w:rPr>
          <w:rFonts w:ascii="Calibri" w:hAnsi="Calibri"/>
          <w:i/>
          <w:iCs/>
        </w:rPr>
        <w:t>3D ocean assessments reveal that fisheries reach deep but marine protection remains shallow</w:t>
      </w:r>
      <w:r>
        <w:rPr>
          <w:rFonts w:ascii="Calibri" w:hAnsi="Calibri"/>
        </w:rPr>
        <w:t xml:space="preserve">. Nature Communications, [online] 15(1), p.4027. Doi: </w:t>
      </w:r>
      <w:hyperlink r:id="rId10">
        <w:r>
          <w:rPr>
            <w:rStyle w:val="Hyperlink"/>
            <w:rFonts w:ascii="Calibri" w:hAnsi="Calibri"/>
          </w:rPr>
          <w:t>https://doi.org/10.1038/s41467-024-47975-1</w:t>
        </w:r>
      </w:hyperlink>
      <w:r>
        <w:rPr>
          <w:rFonts w:ascii="Calibri" w:hAnsi="Calibri"/>
        </w:rPr>
        <w:t xml:space="preserve">. </w:t>
      </w:r>
    </w:p>
    <w:p w14:paraId="064A7CAD" w14:textId="7EAB3225" w:rsidR="00E93B8F" w:rsidRDefault="00E93B8F">
      <w:pPr>
        <w:rPr>
          <w:rFonts w:ascii="Calibri" w:hAnsi="Calibri"/>
        </w:rPr>
      </w:pPr>
      <w:r w:rsidRPr="00E93B8F">
        <w:rPr>
          <w:rFonts w:ascii="Calibri" w:hAnsi="Calibri"/>
        </w:rPr>
        <w:t>Malhotra, P.</w:t>
      </w:r>
      <w:r>
        <w:rPr>
          <w:rFonts w:ascii="Calibri" w:hAnsi="Calibri"/>
        </w:rPr>
        <w:t xml:space="preserve"> (</w:t>
      </w:r>
      <w:r w:rsidRPr="00E93B8F">
        <w:rPr>
          <w:rFonts w:ascii="Calibri" w:hAnsi="Calibri"/>
        </w:rPr>
        <w:t>2025</w:t>
      </w:r>
      <w:r>
        <w:rPr>
          <w:rFonts w:ascii="Calibri" w:hAnsi="Calibri"/>
        </w:rPr>
        <w:t>)</w:t>
      </w:r>
      <w:r w:rsidRPr="00E93B8F">
        <w:rPr>
          <w:rFonts w:ascii="Calibri" w:hAnsi="Calibri"/>
        </w:rPr>
        <w:t>. </w:t>
      </w:r>
      <w:r w:rsidRPr="00E93B8F">
        <w:rPr>
          <w:rFonts w:ascii="Calibri" w:hAnsi="Calibri"/>
          <w:i/>
          <w:iCs/>
        </w:rPr>
        <w:t>Global Solutions for Sustainable Fisheries</w:t>
      </w:r>
      <w:r w:rsidRPr="00E93B8F">
        <w:rPr>
          <w:rFonts w:ascii="Calibri" w:hAnsi="Calibri"/>
        </w:rPr>
        <w:t xml:space="preserve">. </w:t>
      </w:r>
      <w:proofErr w:type="spellStart"/>
      <w:r w:rsidRPr="00E93B8F">
        <w:rPr>
          <w:rFonts w:ascii="Calibri" w:hAnsi="Calibri"/>
        </w:rPr>
        <w:t>Educohack</w:t>
      </w:r>
      <w:proofErr w:type="spellEnd"/>
      <w:r w:rsidRPr="00E93B8F">
        <w:rPr>
          <w:rFonts w:ascii="Calibri" w:hAnsi="Calibri"/>
        </w:rPr>
        <w:t xml:space="preserve"> Press.</w:t>
      </w:r>
      <w:r>
        <w:rPr>
          <w:rFonts w:ascii="Calibri" w:hAnsi="Calibri"/>
        </w:rPr>
        <w:t xml:space="preserve"> </w:t>
      </w:r>
      <w:r w:rsidR="002D0545" w:rsidRPr="002D0545">
        <w:rPr>
          <w:rFonts w:ascii="Calibri" w:hAnsi="Calibri"/>
        </w:rPr>
        <w:t xml:space="preserve">ISBN </w:t>
      </w:r>
      <w:r w:rsidR="002D0545">
        <w:rPr>
          <w:rFonts w:ascii="Calibri" w:hAnsi="Calibri"/>
        </w:rPr>
        <w:t>–</w:t>
      </w:r>
      <w:r w:rsidR="002D0545" w:rsidRPr="002D0545">
        <w:rPr>
          <w:rFonts w:ascii="Calibri" w:hAnsi="Calibri"/>
        </w:rPr>
        <w:t xml:space="preserve"> 9789361523045</w:t>
      </w:r>
      <w:r w:rsidR="002D0545">
        <w:rPr>
          <w:rFonts w:ascii="Calibri" w:hAnsi="Calibri"/>
        </w:rPr>
        <w:t>.</w:t>
      </w:r>
    </w:p>
    <w:p w14:paraId="6B76641B" w14:textId="7C0EB09B" w:rsidR="001D0A9E" w:rsidRDefault="001D0A9E">
      <w:pPr>
        <w:rPr>
          <w:rFonts w:ascii="Calibri" w:hAnsi="Calibri"/>
        </w:rPr>
      </w:pPr>
      <w:r w:rsidRPr="001D0A9E">
        <w:rPr>
          <w:rFonts w:ascii="Calibri" w:hAnsi="Calibri"/>
        </w:rPr>
        <w:t>Pham, C.V., Wang, H.C., Chen, S.H. and Lee, J.M.</w:t>
      </w:r>
      <w:r>
        <w:rPr>
          <w:rFonts w:ascii="Calibri" w:hAnsi="Calibri"/>
        </w:rPr>
        <w:t xml:space="preserve"> (</w:t>
      </w:r>
      <w:r w:rsidRPr="001D0A9E">
        <w:rPr>
          <w:rFonts w:ascii="Calibri" w:hAnsi="Calibri"/>
        </w:rPr>
        <w:t>2023</w:t>
      </w:r>
      <w:r>
        <w:rPr>
          <w:rFonts w:ascii="Calibri" w:hAnsi="Calibri"/>
        </w:rPr>
        <w:t>)</w:t>
      </w:r>
      <w:r w:rsidRPr="001D0A9E">
        <w:rPr>
          <w:rFonts w:ascii="Calibri" w:hAnsi="Calibri"/>
        </w:rPr>
        <w:t xml:space="preserve">. </w:t>
      </w:r>
      <w:r w:rsidRPr="001D0A9E">
        <w:rPr>
          <w:rFonts w:ascii="Calibri" w:hAnsi="Calibri"/>
          <w:i/>
          <w:iCs/>
        </w:rPr>
        <w:t>The threshold effect of overfishing on global fishery outputs: International evidence from a sustainable fishery perspective</w:t>
      </w:r>
      <w:r w:rsidRPr="001D0A9E">
        <w:rPr>
          <w:rFonts w:ascii="Calibri" w:hAnsi="Calibri"/>
        </w:rPr>
        <w:t>. Fishes, 8(2), p.71.</w:t>
      </w:r>
    </w:p>
    <w:p w14:paraId="1B9023D0" w14:textId="6255A7F2" w:rsidR="00111892" w:rsidRPr="00111892" w:rsidRDefault="00111892">
      <w:pPr>
        <w:rPr>
          <w:rFonts w:ascii="Calibri" w:hAnsi="Calibri" w:cs="Calibri"/>
        </w:rPr>
      </w:pPr>
      <w:r w:rsidRPr="00111892">
        <w:rPr>
          <w:rFonts w:ascii="Calibri" w:hAnsi="Calibri" w:cs="Calibri"/>
        </w:rPr>
        <w:t>Rossi, S.</w:t>
      </w:r>
      <w:r w:rsidR="00D264F8">
        <w:rPr>
          <w:rFonts w:ascii="Calibri" w:hAnsi="Calibri" w:cs="Calibri"/>
        </w:rPr>
        <w:t xml:space="preserve"> (</w:t>
      </w:r>
      <w:r w:rsidRPr="00111892">
        <w:rPr>
          <w:rFonts w:ascii="Calibri" w:hAnsi="Calibri" w:cs="Calibri"/>
        </w:rPr>
        <w:t>2022</w:t>
      </w:r>
      <w:r w:rsidR="00D264F8">
        <w:rPr>
          <w:rFonts w:ascii="Calibri" w:hAnsi="Calibri" w:cs="Calibri"/>
        </w:rPr>
        <w:t>)</w:t>
      </w:r>
      <w:r w:rsidRPr="00111892">
        <w:rPr>
          <w:rFonts w:ascii="Calibri" w:hAnsi="Calibri" w:cs="Calibri"/>
        </w:rPr>
        <w:t xml:space="preserve">. </w:t>
      </w:r>
      <w:r w:rsidRPr="00111892">
        <w:rPr>
          <w:rFonts w:ascii="Calibri" w:hAnsi="Calibri" w:cs="Calibri"/>
          <w:i/>
          <w:iCs/>
        </w:rPr>
        <w:t>Fishing and overfishing-sustainable harvest of the sea</w:t>
      </w:r>
      <w:r w:rsidRPr="00111892">
        <w:rPr>
          <w:rFonts w:ascii="Calibri" w:hAnsi="Calibri" w:cs="Calibri"/>
        </w:rPr>
        <w:t>. In </w:t>
      </w:r>
      <w:r w:rsidRPr="00111892">
        <w:rPr>
          <w:rFonts w:ascii="Calibri" w:hAnsi="Calibri" w:cs="Calibri"/>
          <w:i/>
          <w:iCs/>
        </w:rPr>
        <w:t xml:space="preserve">SDG 14: </w:t>
      </w:r>
      <w:r w:rsidRPr="00111892">
        <w:rPr>
          <w:rFonts w:ascii="Calibri" w:hAnsi="Calibri" w:cs="Calibri"/>
        </w:rPr>
        <w:t>Life below water: A machine-generated overview of recent literature (pp. 207-325). Cham: Springer International Publishing.</w:t>
      </w:r>
    </w:p>
    <w:p w14:paraId="6985A9C3" w14:textId="77777777" w:rsidR="00F313CD" w:rsidRDefault="00B97990">
      <w:r>
        <w:rPr>
          <w:rFonts w:ascii="Calibri" w:hAnsi="Calibri"/>
        </w:rPr>
        <w:t xml:space="preserve">O’Shaughnessy, P.T. (2008). </w:t>
      </w:r>
      <w:r>
        <w:rPr>
          <w:rFonts w:ascii="Calibri" w:hAnsi="Calibri"/>
          <w:i/>
          <w:iCs/>
        </w:rPr>
        <w:t xml:space="preserve">Parachuting Cats </w:t>
      </w:r>
      <w:proofErr w:type="gramStart"/>
      <w:r>
        <w:rPr>
          <w:rFonts w:ascii="Calibri" w:hAnsi="Calibri"/>
          <w:i/>
          <w:iCs/>
        </w:rPr>
        <w:t>And</w:t>
      </w:r>
      <w:proofErr w:type="gramEnd"/>
      <w:r>
        <w:rPr>
          <w:rFonts w:ascii="Calibri" w:hAnsi="Calibri"/>
          <w:i/>
          <w:iCs/>
        </w:rPr>
        <w:t xml:space="preserve"> Crushed Eggs – The Controversy Over the Use of DDT to Control Malaria</w:t>
      </w:r>
      <w:r>
        <w:rPr>
          <w:rFonts w:ascii="Calibri" w:hAnsi="Calibri"/>
        </w:rPr>
        <w:t xml:space="preserve">. American Journal of Public Health, 98(11), pp.1940–1948. Doi: </w:t>
      </w:r>
      <w:hyperlink r:id="rId11">
        <w:r>
          <w:rPr>
            <w:rStyle w:val="Hyperlink"/>
            <w:rFonts w:ascii="Calibri" w:hAnsi="Calibri"/>
          </w:rPr>
          <w:t>https://doi.org/10.2105/ajph.2007.122523</w:t>
        </w:r>
      </w:hyperlink>
      <w:r>
        <w:rPr>
          <w:rFonts w:ascii="Calibri" w:hAnsi="Calibri"/>
        </w:rPr>
        <w:t xml:space="preserve">. </w:t>
      </w:r>
    </w:p>
    <w:p w14:paraId="47CE98B9" w14:textId="77777777" w:rsidR="00F313CD" w:rsidRDefault="00B97990">
      <w:pPr>
        <w:rPr>
          <w:rFonts w:ascii="Calibri" w:hAnsi="Calibri"/>
        </w:rPr>
      </w:pPr>
      <w:r>
        <w:rPr>
          <w:rFonts w:ascii="Calibri" w:hAnsi="Calibri"/>
        </w:rPr>
        <w:t xml:space="preserve">Scheffer, M., Carpenter, S. and de Young, B. (2005). Cascading effects of overfishing marine systems. </w:t>
      </w:r>
      <w:r>
        <w:rPr>
          <w:rFonts w:ascii="Calibri" w:hAnsi="Calibri"/>
          <w:i/>
          <w:iCs/>
        </w:rPr>
        <w:t>Trends in ecology &amp; evolution</w:t>
      </w:r>
      <w:r>
        <w:rPr>
          <w:rFonts w:ascii="Calibri" w:hAnsi="Calibri"/>
        </w:rPr>
        <w:t xml:space="preserve">, </w:t>
      </w:r>
      <w:r>
        <w:rPr>
          <w:rFonts w:ascii="Calibri" w:hAnsi="Calibri"/>
          <w:i/>
          <w:iCs/>
        </w:rPr>
        <w:t>20</w:t>
      </w:r>
      <w:r>
        <w:rPr>
          <w:rFonts w:ascii="Calibri" w:hAnsi="Calibri"/>
        </w:rPr>
        <w:t>(11), pp.579-581.</w:t>
      </w:r>
    </w:p>
    <w:p w14:paraId="6D1F5D95" w14:textId="0C8E3438" w:rsidR="00D264F8" w:rsidRDefault="00D264F8">
      <w:pPr>
        <w:rPr>
          <w:rFonts w:ascii="Calibri" w:hAnsi="Calibri"/>
        </w:rPr>
      </w:pPr>
      <w:r w:rsidRPr="00D264F8">
        <w:rPr>
          <w:rFonts w:ascii="Calibri" w:hAnsi="Calibri"/>
        </w:rPr>
        <w:t xml:space="preserve">The Parties to the Nauru Agreement (2019). PNA Yearbooks | www.pnatuna.com. [online] Available at: </w:t>
      </w:r>
      <w:hyperlink r:id="rId12" w:history="1">
        <w:r w:rsidRPr="00A252BF">
          <w:rPr>
            <w:rStyle w:val="Hyperlink"/>
            <w:rFonts w:ascii="Calibri" w:hAnsi="Calibri"/>
          </w:rPr>
          <w:t>https://www.pnatuna.com/content/pna-yearbooks</w:t>
        </w:r>
      </w:hyperlink>
      <w:r>
        <w:rPr>
          <w:rFonts w:ascii="Calibri" w:hAnsi="Calibri"/>
        </w:rPr>
        <w:t xml:space="preserve">. </w:t>
      </w:r>
      <w:r w:rsidRPr="00D264F8">
        <w:rPr>
          <w:rFonts w:ascii="Calibri" w:hAnsi="Calibri"/>
        </w:rPr>
        <w:t>[Accessed 1</w:t>
      </w:r>
      <w:r>
        <w:rPr>
          <w:rFonts w:ascii="Calibri" w:hAnsi="Calibri"/>
        </w:rPr>
        <w:t>5.05.</w:t>
      </w:r>
      <w:r w:rsidRPr="00D264F8">
        <w:rPr>
          <w:rFonts w:ascii="Calibri" w:hAnsi="Calibri"/>
        </w:rPr>
        <w:t>25].</w:t>
      </w:r>
    </w:p>
    <w:p w14:paraId="59DE077A" w14:textId="4675FDC4" w:rsidR="00F313CD" w:rsidRPr="00D264F8" w:rsidRDefault="00B97990">
      <w:proofErr w:type="spellStart"/>
      <w:r>
        <w:rPr>
          <w:rFonts w:ascii="Calibri" w:hAnsi="Calibri"/>
        </w:rPr>
        <w:lastRenderedPageBreak/>
        <w:t>Triyanti</w:t>
      </w:r>
      <w:proofErr w:type="spellEnd"/>
      <w:r>
        <w:rPr>
          <w:rFonts w:ascii="Calibri" w:hAnsi="Calibri"/>
        </w:rPr>
        <w:t xml:space="preserve">, A. </w:t>
      </w:r>
      <w:r>
        <w:rPr>
          <w:rFonts w:ascii="Calibri" w:hAnsi="Calibri"/>
          <w:i/>
          <w:iCs/>
        </w:rPr>
        <w:t xml:space="preserve">et al. </w:t>
      </w:r>
      <w:r>
        <w:rPr>
          <w:rFonts w:ascii="Calibri" w:hAnsi="Calibri"/>
        </w:rPr>
        <w:t xml:space="preserve">(2023) </w:t>
      </w:r>
      <w:r>
        <w:rPr>
          <w:rFonts w:ascii="Calibri" w:hAnsi="Calibri"/>
          <w:i/>
          <w:iCs/>
        </w:rPr>
        <w:t>Environmental governance in Indonesia</w:t>
      </w:r>
      <w:r>
        <w:rPr>
          <w:rFonts w:ascii="Calibri" w:hAnsi="Calibri"/>
        </w:rPr>
        <w:t xml:space="preserve">. 1st edition (2023). Cham: Springer International Publishing. Doi: </w:t>
      </w:r>
      <w:hyperlink r:id="rId13">
        <w:r>
          <w:rPr>
            <w:rStyle w:val="Hyperlink"/>
            <w:rFonts w:ascii="Calibri" w:hAnsi="Calibri"/>
          </w:rPr>
          <w:t>https://doi.org/10.1007/978-3-031-15904-6</w:t>
        </w:r>
      </w:hyperlink>
      <w:r>
        <w:rPr>
          <w:rFonts w:ascii="Calibri" w:hAnsi="Calibri"/>
        </w:rPr>
        <w:t xml:space="preserve">. </w:t>
      </w:r>
    </w:p>
    <w:sectPr w:rsidR="00F313CD" w:rsidRPr="00D264F8">
      <w:pgSz w:w="11906" w:h="16838"/>
      <w:pgMar w:top="1440" w:right="1440" w:bottom="1440" w:left="1440" w:header="0" w:footer="0" w:gutter="0"/>
      <w:cols w:space="720"/>
      <w:formProt w:val="0"/>
      <w:docGrid w:linePitch="360" w:charSpace="40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Liberation Sans">
    <w:altName w:val="Arial"/>
    <w:panose1 w:val="020B0604020202020204"/>
    <w:charset w:val="00"/>
    <w:family w:val="swiss"/>
    <w:pitch w:val="variable"/>
    <w:sig w:usb0="E0000AFF" w:usb1="500078FF" w:usb2="00000021" w:usb3="00000000" w:csb0="000001BF" w:csb1="00000000"/>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1D25EC"/>
    <w:multiLevelType w:val="multilevel"/>
    <w:tmpl w:val="26FAA768"/>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66B322F9"/>
    <w:multiLevelType w:val="multilevel"/>
    <w:tmpl w:val="D7AC8CCE"/>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num w:numId="1" w16cid:durableId="516191660">
    <w:abstractNumId w:val="1"/>
  </w:num>
  <w:num w:numId="2" w16cid:durableId="177036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F313CD"/>
    <w:rsid w:val="00111892"/>
    <w:rsid w:val="001879A9"/>
    <w:rsid w:val="001D0A9E"/>
    <w:rsid w:val="00224892"/>
    <w:rsid w:val="00270441"/>
    <w:rsid w:val="002D0545"/>
    <w:rsid w:val="006F359C"/>
    <w:rsid w:val="00A339F5"/>
    <w:rsid w:val="00B5749B"/>
    <w:rsid w:val="00B61E47"/>
    <w:rsid w:val="00B97990"/>
    <w:rsid w:val="00D264F8"/>
    <w:rsid w:val="00DA7ADC"/>
    <w:rsid w:val="00E755F6"/>
    <w:rsid w:val="00E93B8F"/>
    <w:rsid w:val="00F313CD"/>
    <w:rsid w:val="00F454FB"/>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6876D08"/>
  <w15:docId w15:val="{8C777B74-561A-4B93-A189-A8124E93A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style>
  <w:style w:type="paragraph" w:styleId="Heading1">
    <w:name w:val="heading 1"/>
    <w:basedOn w:val="Normal"/>
    <w:next w:val="Normal"/>
    <w:link w:val="Heading1Char"/>
    <w:uiPriority w:val="9"/>
    <w:qFormat/>
    <w:rsid w:val="00E306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06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06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06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06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06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06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06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06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E306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qFormat/>
    <w:rsid w:val="00E306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qFormat/>
    <w:rsid w:val="00E306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qFormat/>
    <w:rsid w:val="00E306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sid w:val="00E306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sid w:val="00E306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sid w:val="00E306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sid w:val="00E306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qFormat/>
    <w:rsid w:val="00E30651"/>
    <w:rPr>
      <w:rFonts w:eastAsiaTheme="majorEastAsia" w:cstheme="majorBidi"/>
      <w:color w:val="272727" w:themeColor="text1" w:themeTint="D8"/>
    </w:rPr>
  </w:style>
  <w:style w:type="character" w:customStyle="1" w:styleId="TitleChar">
    <w:name w:val="Title Char"/>
    <w:basedOn w:val="DefaultParagraphFont"/>
    <w:link w:val="Title"/>
    <w:uiPriority w:val="10"/>
    <w:qFormat/>
    <w:rsid w:val="00E30651"/>
    <w:rPr>
      <w:rFonts w:asciiTheme="majorHAnsi" w:eastAsiaTheme="majorEastAsia" w:hAnsiTheme="majorHAnsi" w:cstheme="majorBidi"/>
      <w:spacing w:val="-10"/>
      <w:kern w:val="2"/>
      <w:sz w:val="56"/>
      <w:szCs w:val="56"/>
    </w:rPr>
  </w:style>
  <w:style w:type="character" w:customStyle="1" w:styleId="SubtitleChar">
    <w:name w:val="Subtitle Char"/>
    <w:basedOn w:val="DefaultParagraphFont"/>
    <w:link w:val="Subtitle"/>
    <w:uiPriority w:val="11"/>
    <w:qFormat/>
    <w:rsid w:val="00E30651"/>
    <w:rPr>
      <w:rFonts w:eastAsiaTheme="majorEastAsia" w:cstheme="majorBidi"/>
      <w:color w:val="595959" w:themeColor="text1" w:themeTint="A6"/>
      <w:spacing w:val="15"/>
      <w:sz w:val="28"/>
      <w:szCs w:val="28"/>
    </w:rPr>
  </w:style>
  <w:style w:type="character" w:customStyle="1" w:styleId="QuoteChar">
    <w:name w:val="Quote Char"/>
    <w:basedOn w:val="DefaultParagraphFont"/>
    <w:link w:val="Quote"/>
    <w:uiPriority w:val="29"/>
    <w:qFormat/>
    <w:rsid w:val="00E30651"/>
    <w:rPr>
      <w:i/>
      <w:iCs/>
      <w:color w:val="404040" w:themeColor="text1" w:themeTint="BF"/>
    </w:rPr>
  </w:style>
  <w:style w:type="character" w:styleId="IntenseEmphasis">
    <w:name w:val="Intense Emphasis"/>
    <w:basedOn w:val="DefaultParagraphFont"/>
    <w:uiPriority w:val="21"/>
    <w:qFormat/>
    <w:rsid w:val="00E30651"/>
    <w:rPr>
      <w:i/>
      <w:iCs/>
      <w:color w:val="0F4761" w:themeColor="accent1" w:themeShade="BF"/>
    </w:rPr>
  </w:style>
  <w:style w:type="character" w:customStyle="1" w:styleId="IntenseQuoteChar">
    <w:name w:val="Intense Quote Char"/>
    <w:basedOn w:val="DefaultParagraphFont"/>
    <w:link w:val="IntenseQuote"/>
    <w:uiPriority w:val="30"/>
    <w:qFormat/>
    <w:rsid w:val="00E30651"/>
    <w:rPr>
      <w:i/>
      <w:iCs/>
      <w:color w:val="0F4761" w:themeColor="accent1" w:themeShade="BF"/>
    </w:rPr>
  </w:style>
  <w:style w:type="character" w:styleId="IntenseReference">
    <w:name w:val="Intense Reference"/>
    <w:basedOn w:val="DefaultParagraphFont"/>
    <w:uiPriority w:val="32"/>
    <w:qFormat/>
    <w:rsid w:val="00E30651"/>
    <w:rPr>
      <w:b/>
      <w:bCs/>
      <w:smallCaps/>
      <w:color w:val="0F4761" w:themeColor="accent1" w:themeShade="BF"/>
      <w:spacing w:val="5"/>
    </w:rPr>
  </w:style>
  <w:style w:type="character" w:styleId="Hyperlink">
    <w:name w:val="Hyperlink"/>
    <w:basedOn w:val="DefaultParagraphFont"/>
    <w:uiPriority w:val="99"/>
    <w:unhideWhenUsed/>
    <w:rsid w:val="00E30651"/>
    <w:rPr>
      <w:color w:val="467886" w:themeColor="hyperlink"/>
      <w:u w:val="single"/>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styleId="Title">
    <w:name w:val="Title"/>
    <w:basedOn w:val="Normal"/>
    <w:next w:val="Normal"/>
    <w:link w:val="TitleChar"/>
    <w:uiPriority w:val="10"/>
    <w:qFormat/>
    <w:rsid w:val="00E30651"/>
    <w:pPr>
      <w:spacing w:after="80" w:line="240" w:lineRule="auto"/>
      <w:contextualSpacing/>
    </w:pPr>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E306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0651"/>
    <w:pPr>
      <w:spacing w:before="160"/>
      <w:jc w:val="center"/>
    </w:pPr>
    <w:rPr>
      <w:i/>
      <w:iCs/>
      <w:color w:val="404040" w:themeColor="text1" w:themeTint="BF"/>
    </w:rPr>
  </w:style>
  <w:style w:type="paragraph" w:styleId="ListParagraph">
    <w:name w:val="List Paragraph"/>
    <w:basedOn w:val="Normal"/>
    <w:uiPriority w:val="34"/>
    <w:qFormat/>
    <w:rsid w:val="00E30651"/>
    <w:pPr>
      <w:ind w:left="720"/>
      <w:contextualSpacing/>
    </w:pPr>
  </w:style>
  <w:style w:type="paragraph" w:styleId="IntenseQuote">
    <w:name w:val="Intense Quote"/>
    <w:basedOn w:val="Normal"/>
    <w:next w:val="Normal"/>
    <w:link w:val="IntenseQuoteChar"/>
    <w:uiPriority w:val="30"/>
    <w:qFormat/>
    <w:rsid w:val="00E306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paragraph" w:customStyle="1" w:styleId="Figure">
    <w:name w:val="Figure"/>
    <w:basedOn w:val="Caption"/>
    <w:qFormat/>
  </w:style>
  <w:style w:type="character" w:styleId="UnresolvedMention">
    <w:name w:val="Unresolved Mention"/>
    <w:basedOn w:val="DefaultParagraphFont"/>
    <w:uiPriority w:val="99"/>
    <w:semiHidden/>
    <w:unhideWhenUsed/>
    <w:rsid w:val="00D264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unescap.org/sites/default/files/good-governance.pdf" TargetMode="External"/><Relationship Id="rId13" Type="http://schemas.openxmlformats.org/officeDocument/2006/relationships/hyperlink" Target="https://doi.org/10.1007/978-3-031-15904-6"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pnatuna.com/content/pna-yearbook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2105/ajph.2007.122523"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doi.org/10.1038/s41467-024-47975-1" TargetMode="External"/><Relationship Id="rId4" Type="http://schemas.openxmlformats.org/officeDocument/2006/relationships/webSettings" Target="webSettings.xml"/><Relationship Id="rId9" Type="http://schemas.openxmlformats.org/officeDocument/2006/relationships/hyperlink" Target="https://freescience.info/how-overfishing-threatens-marine-biodiversit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majorFont>
      <a:minorFont>
        <a:latin typeface="Aptos" panose="02110004020202020204"/>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1345</Words>
  <Characters>7670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Godden</dc:creator>
  <dc:description/>
  <cp:lastModifiedBy>Sam Godden</cp:lastModifiedBy>
  <cp:revision>10</cp:revision>
  <dcterms:created xsi:type="dcterms:W3CDTF">2025-04-25T01:25:00Z</dcterms:created>
  <dcterms:modified xsi:type="dcterms:W3CDTF">2025-05-16T01:09:00Z</dcterms:modified>
  <dc:language>en-GB</dc:language>
</cp:coreProperties>
</file>