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5F38E" w14:textId="6FD1EB9C" w:rsidR="001E5CC2" w:rsidRPr="00CD33A8" w:rsidRDefault="001E5CC2" w:rsidP="00D81DE8">
      <w:pPr>
        <w:tabs>
          <w:tab w:val="left" w:pos="6540"/>
        </w:tabs>
        <w:spacing w:line="360" w:lineRule="auto"/>
        <w:rPr>
          <w:rFonts w:ascii="Arial" w:hAnsi="Arial" w:cs="Arial"/>
          <w:sz w:val="28"/>
          <w:szCs w:val="28"/>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Pr>
          <w:rFonts w:ascii="Arial" w:hAnsi="Arial" w:cs="Arial"/>
          <w:sz w:val="28"/>
          <w:szCs w:val="28"/>
          <w:lang w:val="nl-NL"/>
        </w:rPr>
        <w:t>Introduction to</w:t>
      </w:r>
      <w:r w:rsidR="00F04603" w:rsidRPr="00F04603">
        <w:rPr>
          <w:rStyle w:val="Strong"/>
          <w:rFonts w:ascii="Segoe UI" w:eastAsia="Times New Roman" w:hAnsi="Segoe UI" w:cs="Segoe UI"/>
          <w:color w:val="1D2125"/>
          <w:sz w:val="22"/>
          <w:szCs w:val="22"/>
        </w:rPr>
        <w:t xml:space="preserve"> </w:t>
      </w:r>
      <w:r w:rsidR="00F04603">
        <w:rPr>
          <w:rStyle w:val="Strong"/>
          <w:rFonts w:ascii="Segoe UI" w:eastAsia="Times New Roman" w:hAnsi="Segoe UI" w:cs="Segoe UI"/>
          <w:color w:val="1D2125"/>
          <w:sz w:val="22"/>
          <w:szCs w:val="22"/>
        </w:rPr>
        <w:t>Psychology in Health and Social Care (LCHS4010)</w:t>
      </w:r>
      <w:r>
        <w:rPr>
          <w:rFonts w:ascii="Arial" w:hAnsi="Arial" w:cs="Arial"/>
          <w:sz w:val="28"/>
          <w:szCs w:val="28"/>
          <w:lang w:val="nl-NL"/>
        </w:rPr>
        <w:t xml:space="preserve"> </w:t>
      </w:r>
    </w:p>
    <w:p w14:paraId="0A7D7AB6" w14:textId="11C9EB76" w:rsidR="001E5CC2" w:rsidRPr="00CD33A8" w:rsidRDefault="00FA102B">
      <w:pPr>
        <w:tabs>
          <w:tab w:val="left" w:pos="6540"/>
        </w:tabs>
        <w:spacing w:line="360" w:lineRule="auto"/>
        <w:rPr>
          <w:rFonts w:ascii="Arial" w:hAnsi="Arial" w:cs="Arial"/>
          <w:b/>
          <w:bCs/>
          <w:sz w:val="28"/>
          <w:szCs w:val="28"/>
          <w:lang w:val="nl-NL"/>
        </w:rPr>
      </w:pPr>
      <w:r w:rsidRPr="00CD33A8">
        <w:rPr>
          <w:rFonts w:asciiTheme="minorBidi" w:hAnsiTheme="minorBidi"/>
          <w:noProof/>
          <w:sz w:val="22"/>
        </w:rPr>
        <w:drawing>
          <wp:anchor distT="0" distB="0" distL="114300" distR="114300" simplePos="0" relativeHeight="251658240" behindDoc="0" locked="0" layoutInCell="1" allowOverlap="1" wp14:anchorId="01D87CE8" wp14:editId="0572747D">
            <wp:simplePos x="0" y="0"/>
            <wp:positionH relativeFrom="column">
              <wp:posOffset>4022725</wp:posOffset>
            </wp:positionH>
            <wp:positionV relativeFrom="paragraph">
              <wp:posOffset>308610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AD94FB8" w14:textId="77777777" w:rsidR="001E5CC2" w:rsidRPr="000C4011" w:rsidRDefault="001E5CC2">
      <w:pPr>
        <w:tabs>
          <w:tab w:val="left" w:pos="6540"/>
        </w:tabs>
        <w:spacing w:line="360" w:lineRule="auto"/>
        <w:rPr>
          <w:rFonts w:ascii="Arial" w:hAnsi="Arial" w:cs="Arial"/>
          <w:sz w:val="22"/>
          <w:szCs w:val="22"/>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Pr="000C4011">
        <w:rPr>
          <w:rFonts w:ascii="Arial" w:hAnsi="Arial" w:cs="Arial"/>
          <w:sz w:val="22"/>
          <w:szCs w:val="22"/>
          <w:lang w:val="nl-NL"/>
        </w:rPr>
        <w:t>Andreea Rebeca Ardelean</w:t>
      </w:r>
    </w:p>
    <w:p w14:paraId="56C8DF34" w14:textId="6F20E0F1" w:rsidR="001E5CC2" w:rsidRPr="00CD33A8" w:rsidRDefault="001E5CC2">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Pr="000C4011">
        <w:rPr>
          <w:rFonts w:ascii="Arial" w:hAnsi="Arial" w:cs="Arial"/>
          <w:sz w:val="22"/>
          <w:szCs w:val="22"/>
          <w:lang w:val="nl-NL"/>
        </w:rPr>
        <w:t>2508016</w:t>
      </w:r>
    </w:p>
    <w:p w14:paraId="7327B0B8" w14:textId="77777777" w:rsidR="001E5CC2" w:rsidRPr="000C4011" w:rsidRDefault="001E5CC2">
      <w:pPr>
        <w:tabs>
          <w:tab w:val="left" w:pos="6540"/>
        </w:tabs>
        <w:spacing w:line="360" w:lineRule="auto"/>
        <w:rPr>
          <w:rFonts w:ascii="Arial" w:hAnsi="Arial" w:cs="Arial"/>
          <w:sz w:val="22"/>
          <w:szCs w:val="22"/>
        </w:rPr>
      </w:pPr>
      <w:r>
        <w:rPr>
          <w:rFonts w:ascii="Arial" w:hAnsi="Arial" w:cs="Arial"/>
          <w:b/>
          <w:bCs/>
          <w:sz w:val="28"/>
          <w:szCs w:val="28"/>
        </w:rPr>
        <w:t>Lecturer’s name</w:t>
      </w:r>
      <w:r w:rsidRPr="00CD33A8">
        <w:rPr>
          <w:rFonts w:ascii="Arial" w:hAnsi="Arial" w:cs="Arial"/>
          <w:sz w:val="28"/>
          <w:szCs w:val="28"/>
        </w:rPr>
        <w:t>:</w:t>
      </w:r>
      <w:r>
        <w:rPr>
          <w:rFonts w:ascii="Arial" w:hAnsi="Arial" w:cs="Arial"/>
          <w:sz w:val="28"/>
          <w:szCs w:val="28"/>
        </w:rPr>
        <w:t xml:space="preserve"> </w:t>
      </w:r>
      <w:proofErr w:type="spellStart"/>
      <w:r w:rsidRPr="000C4011">
        <w:rPr>
          <w:rFonts w:ascii="Arial" w:hAnsi="Arial" w:cs="Arial"/>
          <w:sz w:val="22"/>
          <w:szCs w:val="22"/>
        </w:rPr>
        <w:t>Dr</w:t>
      </w:r>
      <w:proofErr w:type="spellEnd"/>
      <w:r w:rsidRPr="000C4011">
        <w:rPr>
          <w:rFonts w:ascii="Arial" w:hAnsi="Arial" w:cs="Arial"/>
          <w:sz w:val="22"/>
          <w:szCs w:val="22"/>
        </w:rPr>
        <w:t xml:space="preserve"> Shepherd </w:t>
      </w:r>
      <w:proofErr w:type="spellStart"/>
      <w:r w:rsidRPr="000C4011">
        <w:rPr>
          <w:rFonts w:ascii="Arial" w:hAnsi="Arial" w:cs="Arial"/>
          <w:sz w:val="22"/>
          <w:szCs w:val="22"/>
        </w:rPr>
        <w:t>Ziko</w:t>
      </w:r>
      <w:proofErr w:type="spellEnd"/>
    </w:p>
    <w:p w14:paraId="3BC88F6B" w14:textId="79AFBC41" w:rsidR="00842AE1" w:rsidRPr="00842AE1" w:rsidRDefault="00144F9C" w:rsidP="00842AE1">
      <w:pPr>
        <w:spacing w:before="240" w:line="276" w:lineRule="auto"/>
        <w:rPr>
          <w:rFonts w:ascii="Arial" w:eastAsia="Times New Roman" w:hAnsi="Arial" w:cs="Arial"/>
          <w:color w:val="000000"/>
        </w:rPr>
      </w:pPr>
      <w:r>
        <w:rPr>
          <w:rFonts w:ascii="Arial" w:eastAsia="Times New Roman" w:hAnsi="Arial" w:cs="Arial"/>
          <w:color w:val="000000"/>
        </w:rPr>
        <w:t xml:space="preserve">                                                                                                                                             </w:t>
      </w:r>
      <w:r w:rsidR="00AB6886">
        <w:rPr>
          <w:rFonts w:ascii="Arial" w:eastAsia="Times New Roman" w:hAnsi="Arial" w:cs="Arial"/>
          <w:color w:val="000000"/>
        </w:rPr>
        <w:t xml:space="preserve">    </w:t>
      </w:r>
      <w:r w:rsidR="00C27F64" w:rsidRPr="00210B2D">
        <w:rPr>
          <w:rFonts w:ascii="Arial" w:eastAsia="Times New Roman" w:hAnsi="Arial" w:cs="Arial"/>
          <w:color w:val="000000"/>
          <w:sz w:val="28"/>
          <w:szCs w:val="28"/>
        </w:rPr>
        <w:t xml:space="preserve">Social Media Impact on Adolescent Mental Health </w:t>
      </w:r>
      <w:r w:rsidR="00ED62E7" w:rsidRPr="00210B2D">
        <w:rPr>
          <w:rFonts w:ascii="Arial" w:eastAsia="Times New Roman" w:hAnsi="Arial" w:cs="Arial"/>
          <w:color w:val="000000"/>
          <w:sz w:val="28"/>
          <w:szCs w:val="28"/>
        </w:rPr>
        <w:br/>
      </w:r>
      <w:r w:rsidR="0048670F" w:rsidRPr="00210B2D">
        <w:rPr>
          <w:rFonts w:ascii="Arial" w:eastAsia="Times New Roman" w:hAnsi="Arial" w:cs="Arial"/>
          <w:color w:val="000000"/>
          <w:sz w:val="28"/>
          <w:szCs w:val="28"/>
        </w:rPr>
        <w:t xml:space="preserve">                                                      </w:t>
      </w:r>
      <w:r w:rsidR="00ED62E7" w:rsidRPr="00210B2D">
        <w:rPr>
          <w:rFonts w:ascii="Arial" w:eastAsia="Times New Roman" w:hAnsi="Arial" w:cs="Arial"/>
          <w:color w:val="000000"/>
          <w:sz w:val="28"/>
          <w:szCs w:val="28"/>
        </w:rPr>
        <w:br/>
      </w:r>
      <w:r w:rsidR="00140E78" w:rsidRPr="00676703">
        <w:rPr>
          <w:rFonts w:ascii="Arial" w:eastAsia="Times New Roman" w:hAnsi="Arial" w:cs="Arial"/>
          <w:color w:val="000000"/>
          <w:sz w:val="28"/>
          <w:szCs w:val="28"/>
        </w:rPr>
        <w:t xml:space="preserve">   </w:t>
      </w:r>
      <w:r w:rsidR="00842AE1" w:rsidRPr="00676703">
        <w:rPr>
          <w:rFonts w:ascii="Arial" w:eastAsia="Times New Roman" w:hAnsi="Arial" w:cs="Arial"/>
          <w:color w:val="000000"/>
          <w:sz w:val="28"/>
          <w:szCs w:val="28"/>
        </w:rPr>
        <w:t>Introduction</w:t>
      </w:r>
    </w:p>
    <w:p w14:paraId="1832C2C2" w14:textId="77777777" w:rsidR="00842AE1" w:rsidRPr="00842AE1" w:rsidRDefault="00842AE1" w:rsidP="00842AE1">
      <w:pPr>
        <w:spacing w:before="240" w:line="276" w:lineRule="auto"/>
        <w:rPr>
          <w:rFonts w:ascii="Arial" w:eastAsia="Times New Roman" w:hAnsi="Arial" w:cs="Arial"/>
          <w:color w:val="000000"/>
        </w:rPr>
      </w:pPr>
    </w:p>
    <w:p w14:paraId="6E663982" w14:textId="317AED31" w:rsidR="00842AE1" w:rsidRPr="00676703" w:rsidRDefault="00842AE1" w:rsidP="00842AE1">
      <w:pPr>
        <w:spacing w:before="240" w:line="276" w:lineRule="auto"/>
        <w:rPr>
          <w:rFonts w:ascii="Arial" w:eastAsia="Times New Roman" w:hAnsi="Arial" w:cs="Arial"/>
          <w:color w:val="000000"/>
          <w:sz w:val="22"/>
          <w:szCs w:val="22"/>
        </w:rPr>
      </w:pPr>
      <w:r w:rsidRPr="00676703">
        <w:rPr>
          <w:rFonts w:ascii="Arial" w:eastAsia="Times New Roman" w:hAnsi="Arial" w:cs="Arial"/>
          <w:color w:val="000000"/>
          <w:sz w:val="22"/>
          <w:szCs w:val="22"/>
        </w:rPr>
        <w:t xml:space="preserve">Adolescence, spanning </w:t>
      </w:r>
      <w:r w:rsidR="0030231F" w:rsidRPr="00676703">
        <w:rPr>
          <w:rFonts w:ascii="Arial" w:eastAsia="Times New Roman" w:hAnsi="Arial" w:cs="Arial"/>
          <w:color w:val="000000"/>
          <w:sz w:val="22"/>
          <w:szCs w:val="22"/>
        </w:rPr>
        <w:t>ages</w:t>
      </w:r>
      <w:r w:rsidRPr="00676703">
        <w:rPr>
          <w:rFonts w:ascii="Arial" w:eastAsia="Times New Roman" w:hAnsi="Arial" w:cs="Arial"/>
          <w:color w:val="000000"/>
          <w:sz w:val="22"/>
          <w:szCs w:val="22"/>
        </w:rPr>
        <w:t xml:space="preserve"> 10 to 19, </w:t>
      </w:r>
      <w:r w:rsidR="00122B72" w:rsidRPr="00676703">
        <w:rPr>
          <w:rFonts w:ascii="Arial" w:eastAsia="Times New Roman" w:hAnsi="Arial" w:cs="Arial"/>
          <w:color w:val="000000"/>
          <w:sz w:val="22"/>
          <w:szCs w:val="22"/>
        </w:rPr>
        <w:t>stands for</w:t>
      </w:r>
      <w:r w:rsidRPr="00676703">
        <w:rPr>
          <w:rFonts w:ascii="Arial" w:eastAsia="Times New Roman" w:hAnsi="Arial" w:cs="Arial"/>
          <w:color w:val="000000"/>
          <w:sz w:val="22"/>
          <w:szCs w:val="22"/>
        </w:rPr>
        <w:t xml:space="preserve"> one of the most dynamic and formative periods of the human lifespan, </w:t>
      </w:r>
      <w:r w:rsidR="007D4FCD" w:rsidRPr="00676703">
        <w:rPr>
          <w:rFonts w:ascii="Arial" w:eastAsia="Times New Roman" w:hAnsi="Arial" w:cs="Arial"/>
          <w:color w:val="000000"/>
          <w:sz w:val="22"/>
          <w:szCs w:val="22"/>
        </w:rPr>
        <w:t>characterized</w:t>
      </w:r>
      <w:r w:rsidRPr="00676703">
        <w:rPr>
          <w:rFonts w:ascii="Arial" w:eastAsia="Times New Roman" w:hAnsi="Arial" w:cs="Arial"/>
          <w:color w:val="000000"/>
          <w:sz w:val="22"/>
          <w:szCs w:val="22"/>
        </w:rPr>
        <w:t xml:space="preserve"> by profound biological maturation, rapid cognitive advancement, and intense social reorientation (World Health Organization [WHO], 2023). During this transitional phase, young people naturally </w:t>
      </w:r>
      <w:r w:rsidR="00C21369" w:rsidRPr="00676703">
        <w:rPr>
          <w:rFonts w:ascii="Arial" w:eastAsia="Times New Roman" w:hAnsi="Arial" w:cs="Arial"/>
          <w:color w:val="000000"/>
          <w:sz w:val="22"/>
          <w:szCs w:val="22"/>
        </w:rPr>
        <w:t>prioritize</w:t>
      </w:r>
      <w:r w:rsidRPr="00676703">
        <w:rPr>
          <w:rFonts w:ascii="Arial" w:eastAsia="Times New Roman" w:hAnsi="Arial" w:cs="Arial"/>
          <w:color w:val="000000"/>
          <w:sz w:val="22"/>
          <w:szCs w:val="22"/>
        </w:rPr>
        <w:t xml:space="preserve"> peer acceptance, begin to explore their unique sense of identity, and seek increasing levels of independence from their primary caregivers. In the contemporary United Kingdom, this developmental journey unfolds </w:t>
      </w:r>
      <w:r w:rsidR="0038048C" w:rsidRPr="00676703">
        <w:rPr>
          <w:rFonts w:ascii="Arial" w:eastAsia="Times New Roman" w:hAnsi="Arial" w:cs="Arial"/>
          <w:color w:val="000000"/>
          <w:sz w:val="22"/>
          <w:szCs w:val="22"/>
        </w:rPr>
        <w:t>entirely</w:t>
      </w:r>
      <w:r w:rsidRPr="00676703">
        <w:rPr>
          <w:rFonts w:ascii="Arial" w:eastAsia="Times New Roman" w:hAnsi="Arial" w:cs="Arial"/>
          <w:color w:val="000000"/>
          <w:sz w:val="22"/>
          <w:szCs w:val="22"/>
        </w:rPr>
        <w:t xml:space="preserve"> within a digital landscape; data from the Office for National Statistics (ONS, 2024) </w:t>
      </w:r>
      <w:r w:rsidR="00D94BFD" w:rsidRPr="00676703">
        <w:rPr>
          <w:rFonts w:ascii="Arial" w:eastAsia="Times New Roman" w:hAnsi="Arial" w:cs="Arial"/>
          <w:color w:val="000000"/>
          <w:sz w:val="22"/>
          <w:szCs w:val="22"/>
        </w:rPr>
        <w:t>says</w:t>
      </w:r>
      <w:r w:rsidRPr="00676703">
        <w:rPr>
          <w:rFonts w:ascii="Arial" w:eastAsia="Times New Roman" w:hAnsi="Arial" w:cs="Arial"/>
          <w:color w:val="000000"/>
          <w:sz w:val="22"/>
          <w:szCs w:val="22"/>
        </w:rPr>
        <w:t xml:space="preserve"> that over 97% of UK adolescents access social media daily, with many spending several hours engaged across multiple platforms. While these digital environments offer significant opportunities for connection, learning, and self-expression, a growing body of UK-focused research highlights a concerning correlation between heavy social media engagement and rising rates of anxiety, depression, low self-esteem, and body image dissatisfaction among young people (Royal Society for Public Health [RSPH], 2021). To fully understand the mechanisms underlying these outcomes, this essay analyses the impact of social media through the lens of two foundational developmental theories: Sigmund Freud’s Psychosexual Theory and Erik Erikson’s Psychosocial Theory. By integrating these theoretical frameworks with recent national statistics and empirical evidence, this discussion explores how digital interaction intersects with core developmental tasks, influences emotional regulation, and shapes the mental wellbeing of adolescents in the UK today.</w:t>
      </w:r>
    </w:p>
    <w:p w14:paraId="62B9106F" w14:textId="77777777" w:rsidR="00842AE1" w:rsidRPr="00676703" w:rsidRDefault="00842AE1" w:rsidP="00842AE1">
      <w:pPr>
        <w:spacing w:before="240" w:line="276" w:lineRule="auto"/>
        <w:rPr>
          <w:rFonts w:ascii="Arial" w:eastAsia="Times New Roman" w:hAnsi="Arial" w:cs="Arial"/>
          <w:color w:val="000000"/>
          <w:sz w:val="22"/>
          <w:szCs w:val="22"/>
        </w:rPr>
      </w:pPr>
    </w:p>
    <w:p w14:paraId="70B854DA" w14:textId="77777777" w:rsidR="00842AE1" w:rsidRPr="00842AE1" w:rsidRDefault="00842AE1" w:rsidP="00842AE1">
      <w:pPr>
        <w:spacing w:before="240" w:line="276" w:lineRule="auto"/>
        <w:rPr>
          <w:rFonts w:ascii="Arial" w:eastAsia="Times New Roman" w:hAnsi="Arial" w:cs="Arial"/>
          <w:color w:val="000000"/>
        </w:rPr>
      </w:pPr>
      <w:r w:rsidRPr="00842AE1">
        <w:rPr>
          <w:rFonts w:ascii="Arial" w:eastAsia="Times New Roman" w:hAnsi="Arial" w:cs="Arial"/>
          <w:color w:val="000000"/>
        </w:rPr>
        <w:t>Main Body</w:t>
      </w:r>
    </w:p>
    <w:p w14:paraId="6A9C29ED" w14:textId="77777777" w:rsidR="00842AE1" w:rsidRPr="00842AE1" w:rsidRDefault="00842AE1" w:rsidP="00842AE1">
      <w:pPr>
        <w:spacing w:before="240" w:line="276" w:lineRule="auto"/>
        <w:rPr>
          <w:rFonts w:ascii="Arial" w:eastAsia="Times New Roman" w:hAnsi="Arial" w:cs="Arial"/>
          <w:color w:val="000000"/>
        </w:rPr>
      </w:pPr>
    </w:p>
    <w:p w14:paraId="0401572C" w14:textId="107324EF" w:rsidR="00842AE1" w:rsidRPr="00C47088" w:rsidRDefault="00842AE1" w:rsidP="00842AE1">
      <w:pPr>
        <w:spacing w:before="240" w:line="276" w:lineRule="auto"/>
        <w:rPr>
          <w:rFonts w:ascii="Arial" w:eastAsia="Times New Roman" w:hAnsi="Arial" w:cs="Arial"/>
          <w:color w:val="000000"/>
          <w:sz w:val="22"/>
          <w:szCs w:val="22"/>
        </w:rPr>
      </w:pPr>
      <w:r w:rsidRPr="00C47088">
        <w:rPr>
          <w:rFonts w:ascii="Arial" w:eastAsia="Times New Roman" w:hAnsi="Arial" w:cs="Arial"/>
          <w:color w:val="000000"/>
          <w:sz w:val="22"/>
          <w:szCs w:val="22"/>
        </w:rPr>
        <w:lastRenderedPageBreak/>
        <w:t xml:space="preserve">Sigmund Freud’s model of psychosexual development provides a compelling framework for understanding the inherent appeal and potential psychological risks of social media use. Adolescence corresponds to the final stage in Freud’s sequence: the Genital Stage, which </w:t>
      </w:r>
      <w:r w:rsidR="006466B9" w:rsidRPr="00C47088">
        <w:rPr>
          <w:rFonts w:ascii="Arial" w:eastAsia="Times New Roman" w:hAnsi="Arial" w:cs="Arial"/>
          <w:color w:val="000000"/>
          <w:sz w:val="22"/>
          <w:szCs w:val="22"/>
        </w:rPr>
        <w:t>starts</w:t>
      </w:r>
      <w:r w:rsidRPr="00C47088">
        <w:rPr>
          <w:rFonts w:ascii="Arial" w:eastAsia="Times New Roman" w:hAnsi="Arial" w:cs="Arial"/>
          <w:color w:val="000000"/>
          <w:sz w:val="22"/>
          <w:szCs w:val="22"/>
        </w:rPr>
        <w:t xml:space="preserve"> at puberty and extends throughout adulthood (Freud, 1905). During this phase, sexual energy, or libido, which remained dormant throughout the preceding Latency Stage, re-emerges with intensity. The central developmental task is to integrate these powerful biological drives with the constraints of social norms and reality. Freud </w:t>
      </w:r>
      <w:r w:rsidR="00AF3EEA" w:rsidRPr="00C47088">
        <w:rPr>
          <w:rFonts w:ascii="Arial" w:eastAsia="Times New Roman" w:hAnsi="Arial" w:cs="Arial"/>
          <w:color w:val="000000"/>
          <w:sz w:val="22"/>
          <w:szCs w:val="22"/>
        </w:rPr>
        <w:t>conceptualized</w:t>
      </w:r>
      <w:r w:rsidRPr="00C47088">
        <w:rPr>
          <w:rFonts w:ascii="Arial" w:eastAsia="Times New Roman" w:hAnsi="Arial" w:cs="Arial"/>
          <w:color w:val="000000"/>
          <w:sz w:val="22"/>
          <w:szCs w:val="22"/>
        </w:rPr>
        <w:t xml:space="preserve"> personality as a dynamic interplay between three key structures: the id—the impulsive, pleasure-seeking </w:t>
      </w:r>
      <w:r w:rsidR="00B23191" w:rsidRPr="00C47088">
        <w:rPr>
          <w:rFonts w:ascii="Arial" w:eastAsia="Times New Roman" w:hAnsi="Arial" w:cs="Arial"/>
          <w:color w:val="000000"/>
          <w:sz w:val="22"/>
          <w:szCs w:val="22"/>
        </w:rPr>
        <w:t>part</w:t>
      </w:r>
      <w:r w:rsidRPr="00C47088">
        <w:rPr>
          <w:rFonts w:ascii="Arial" w:eastAsia="Times New Roman" w:hAnsi="Arial" w:cs="Arial"/>
          <w:color w:val="000000"/>
          <w:sz w:val="22"/>
          <w:szCs w:val="22"/>
        </w:rPr>
        <w:t xml:space="preserve"> present from birth; the ego—the rational mediator that balances desires with practical reality; and the superego—the </w:t>
      </w:r>
      <w:r w:rsidR="00144298" w:rsidRPr="00C47088">
        <w:rPr>
          <w:rFonts w:ascii="Arial" w:eastAsia="Times New Roman" w:hAnsi="Arial" w:cs="Arial"/>
          <w:color w:val="000000"/>
          <w:sz w:val="22"/>
          <w:szCs w:val="22"/>
        </w:rPr>
        <w:t>internalized</w:t>
      </w:r>
      <w:r w:rsidRPr="00C47088">
        <w:rPr>
          <w:rFonts w:ascii="Arial" w:eastAsia="Times New Roman" w:hAnsi="Arial" w:cs="Arial"/>
          <w:color w:val="000000"/>
          <w:sz w:val="22"/>
          <w:szCs w:val="22"/>
        </w:rPr>
        <w:t xml:space="preserve"> moral conscience derived from parents and society. Social media platforms are uniquely engineered to stimulate and satisfy the demands of the id: they deliver instant gratification through likes, notifications, and an infinite stream of content, providing immediate relief from boredom, insecurity, or social pressure (Young, 2020). For UK adolescents, who are still </w:t>
      </w:r>
      <w:r w:rsidR="009574CD" w:rsidRPr="00C47088">
        <w:rPr>
          <w:rFonts w:ascii="Arial" w:eastAsia="Times New Roman" w:hAnsi="Arial" w:cs="Arial"/>
          <w:color w:val="000000"/>
          <w:sz w:val="22"/>
          <w:szCs w:val="22"/>
        </w:rPr>
        <w:t>developing</w:t>
      </w:r>
      <w:r w:rsidRPr="00C47088">
        <w:rPr>
          <w:rFonts w:ascii="Arial" w:eastAsia="Times New Roman" w:hAnsi="Arial" w:cs="Arial"/>
          <w:color w:val="000000"/>
          <w:sz w:val="22"/>
          <w:szCs w:val="22"/>
        </w:rPr>
        <w:t xml:space="preserve"> executive functioning and impulse control, the constant reinforcement of immediate rewards can significantly strain the ego’s capacity to regulate </w:t>
      </w:r>
      <w:r w:rsidR="00102E44" w:rsidRPr="00C47088">
        <w:rPr>
          <w:rFonts w:ascii="Arial" w:eastAsia="Times New Roman" w:hAnsi="Arial" w:cs="Arial"/>
          <w:color w:val="000000"/>
          <w:sz w:val="22"/>
          <w:szCs w:val="22"/>
        </w:rPr>
        <w:t>behavior</w:t>
      </w:r>
      <w:r w:rsidRPr="00C47088">
        <w:rPr>
          <w:rFonts w:ascii="Arial" w:eastAsia="Times New Roman" w:hAnsi="Arial" w:cs="Arial"/>
          <w:color w:val="000000"/>
          <w:sz w:val="22"/>
          <w:szCs w:val="22"/>
        </w:rPr>
        <w:t xml:space="preserve">. This struggle is further complicated by the nature of online presentation; users typically share only their most successful, attractive, and happy moments, creating a distorted, </w:t>
      </w:r>
      <w:r w:rsidR="00102E44" w:rsidRPr="00C47088">
        <w:rPr>
          <w:rFonts w:ascii="Arial" w:eastAsia="Times New Roman" w:hAnsi="Arial" w:cs="Arial"/>
          <w:color w:val="000000"/>
          <w:sz w:val="22"/>
          <w:szCs w:val="22"/>
        </w:rPr>
        <w:t>idealized</w:t>
      </w:r>
      <w:r w:rsidRPr="00C47088">
        <w:rPr>
          <w:rFonts w:ascii="Arial" w:eastAsia="Times New Roman" w:hAnsi="Arial" w:cs="Arial"/>
          <w:color w:val="000000"/>
          <w:sz w:val="22"/>
          <w:szCs w:val="22"/>
        </w:rPr>
        <w:t xml:space="preserve"> version of reality. When an adolescent’s ego </w:t>
      </w:r>
      <w:r w:rsidR="0041275A" w:rsidRPr="00C47088">
        <w:rPr>
          <w:rFonts w:ascii="Arial" w:eastAsia="Times New Roman" w:hAnsi="Arial" w:cs="Arial"/>
          <w:color w:val="000000"/>
          <w:sz w:val="22"/>
          <w:szCs w:val="22"/>
        </w:rPr>
        <w:t>tries</w:t>
      </w:r>
      <w:r w:rsidRPr="00C47088">
        <w:rPr>
          <w:rFonts w:ascii="Arial" w:eastAsia="Times New Roman" w:hAnsi="Arial" w:cs="Arial"/>
          <w:color w:val="000000"/>
          <w:sz w:val="22"/>
          <w:szCs w:val="22"/>
        </w:rPr>
        <w:t xml:space="preserve"> to reconcile their lived experience with these curated digital personas, it often results in internal conflict, feelings of inadequacy, and a pervasive sense that they are falling short. Furthermore, the unregulated and diverse nature of content available online can challenge the developing superego. As noted by the Children’s Commissioner for England (2023), many young people in the UK </w:t>
      </w:r>
      <w:r w:rsidR="0041275A" w:rsidRPr="00C47088">
        <w:rPr>
          <w:rFonts w:ascii="Arial" w:eastAsia="Times New Roman" w:hAnsi="Arial" w:cs="Arial"/>
          <w:color w:val="000000"/>
          <w:sz w:val="22"/>
          <w:szCs w:val="22"/>
        </w:rPr>
        <w:t>meet</w:t>
      </w:r>
      <w:r w:rsidRPr="00C47088">
        <w:rPr>
          <w:rFonts w:ascii="Arial" w:eastAsia="Times New Roman" w:hAnsi="Arial" w:cs="Arial"/>
          <w:color w:val="000000"/>
          <w:sz w:val="22"/>
          <w:szCs w:val="22"/>
        </w:rPr>
        <w:t xml:space="preserve"> conflicting values and extreme viewpoints online before they have </w:t>
      </w:r>
      <w:r w:rsidR="009508E2" w:rsidRPr="00C47088">
        <w:rPr>
          <w:rFonts w:ascii="Arial" w:eastAsia="Times New Roman" w:hAnsi="Arial" w:cs="Arial"/>
          <w:color w:val="000000"/>
          <w:sz w:val="22"/>
          <w:szCs w:val="22"/>
        </w:rPr>
        <w:t>shown</w:t>
      </w:r>
      <w:r w:rsidRPr="00C47088">
        <w:rPr>
          <w:rFonts w:ascii="Arial" w:eastAsia="Times New Roman" w:hAnsi="Arial" w:cs="Arial"/>
          <w:color w:val="000000"/>
          <w:sz w:val="22"/>
          <w:szCs w:val="22"/>
        </w:rPr>
        <w:t xml:space="preserve"> a firm moral compass, leading to confusion, guilt, and further psychological tension.</w:t>
      </w:r>
    </w:p>
    <w:p w14:paraId="4279DFF1" w14:textId="77777777" w:rsidR="00842AE1" w:rsidRPr="00C47088" w:rsidRDefault="00842AE1" w:rsidP="00842AE1">
      <w:pPr>
        <w:spacing w:before="240" w:line="276" w:lineRule="auto"/>
        <w:rPr>
          <w:rFonts w:ascii="Arial" w:eastAsia="Times New Roman" w:hAnsi="Arial" w:cs="Arial"/>
          <w:color w:val="000000"/>
          <w:sz w:val="22"/>
          <w:szCs w:val="22"/>
        </w:rPr>
      </w:pPr>
    </w:p>
    <w:p w14:paraId="5890F9CA" w14:textId="5B2D0A4A" w:rsidR="00842AE1" w:rsidRPr="00C47088" w:rsidRDefault="00842AE1" w:rsidP="00842AE1">
      <w:pPr>
        <w:spacing w:before="240" w:line="276" w:lineRule="auto"/>
        <w:rPr>
          <w:rFonts w:ascii="Arial" w:eastAsia="Times New Roman" w:hAnsi="Arial" w:cs="Arial"/>
          <w:color w:val="000000"/>
          <w:sz w:val="22"/>
          <w:szCs w:val="22"/>
        </w:rPr>
      </w:pPr>
      <w:r w:rsidRPr="00C47088">
        <w:rPr>
          <w:rFonts w:ascii="Arial" w:eastAsia="Times New Roman" w:hAnsi="Arial" w:cs="Arial"/>
          <w:color w:val="000000"/>
          <w:sz w:val="22"/>
          <w:szCs w:val="22"/>
        </w:rPr>
        <w:t xml:space="preserve">While Freud </w:t>
      </w:r>
      <w:r w:rsidR="00A47A19" w:rsidRPr="00C47088">
        <w:rPr>
          <w:rFonts w:ascii="Arial" w:eastAsia="Times New Roman" w:hAnsi="Arial" w:cs="Arial"/>
          <w:color w:val="000000"/>
          <w:sz w:val="22"/>
          <w:szCs w:val="22"/>
        </w:rPr>
        <w:t>emphasized</w:t>
      </w:r>
      <w:r w:rsidRPr="00C47088">
        <w:rPr>
          <w:rFonts w:ascii="Arial" w:eastAsia="Times New Roman" w:hAnsi="Arial" w:cs="Arial"/>
          <w:color w:val="000000"/>
          <w:sz w:val="22"/>
          <w:szCs w:val="22"/>
        </w:rPr>
        <w:t xml:space="preserve"> the role of internal biological drives and unconscious conflict, Erik Erikson’s Psychosocial Theory shifts the focus to the social environment and the lifelong process of identity formation. Erikson viewed development as a series of eight sequential stages, each defined by a specific psychosocial crisis that must be navigated for healthy growth (Erikson, 1968). Adolescence is defined by the critical crisis of Identity versus Role Confusion. During this period, young people actively explore different values, beliefs, social roles, and interpersonal relationships in an effort to answer the fundamental question: “Who am I, and where do I fit in the world?” Successful navigation of this stage results in the virtue of fidelity—a stable sense of self and an ability to accept others who hold differing views. Conversely, failure to establish a coherent identity leads to role confusion, </w:t>
      </w:r>
      <w:r w:rsidR="00A47A19" w:rsidRPr="00C47088">
        <w:rPr>
          <w:rFonts w:ascii="Arial" w:eastAsia="Times New Roman" w:hAnsi="Arial" w:cs="Arial"/>
          <w:color w:val="000000"/>
          <w:sz w:val="22"/>
          <w:szCs w:val="22"/>
        </w:rPr>
        <w:t>characterized</w:t>
      </w:r>
      <w:r w:rsidRPr="00C47088">
        <w:rPr>
          <w:rFonts w:ascii="Arial" w:eastAsia="Times New Roman" w:hAnsi="Arial" w:cs="Arial"/>
          <w:color w:val="000000"/>
          <w:sz w:val="22"/>
          <w:szCs w:val="22"/>
        </w:rPr>
        <w:t xml:space="preserve"> by uncertainty, low self-esteem, and a lack of clear direction. In the modern UK context, social media has fundamentally transformed the landscape of this exploration, functioning as a vast, accessible “social laboratory” where adolescents can experiment with self-presentation, join niche communities, and receive immediate feedback from a wide audience (</w:t>
      </w:r>
      <w:proofErr w:type="spellStart"/>
      <w:r w:rsidRPr="00C47088">
        <w:rPr>
          <w:rFonts w:ascii="Arial" w:eastAsia="Times New Roman" w:hAnsi="Arial" w:cs="Arial"/>
          <w:color w:val="000000"/>
          <w:sz w:val="22"/>
          <w:szCs w:val="22"/>
        </w:rPr>
        <w:t>Valkenburg</w:t>
      </w:r>
      <w:proofErr w:type="spellEnd"/>
      <w:r w:rsidRPr="00C47088">
        <w:rPr>
          <w:rFonts w:ascii="Arial" w:eastAsia="Times New Roman" w:hAnsi="Arial" w:cs="Arial"/>
          <w:color w:val="000000"/>
          <w:sz w:val="22"/>
          <w:szCs w:val="22"/>
        </w:rPr>
        <w:t xml:space="preserve"> and Piotrowski, 2017). In positive instances, this can foster a sense of belonging for </w:t>
      </w:r>
      <w:r w:rsidR="002A5C44" w:rsidRPr="00C47088">
        <w:rPr>
          <w:rFonts w:ascii="Arial" w:eastAsia="Times New Roman" w:hAnsi="Arial" w:cs="Arial"/>
          <w:color w:val="000000"/>
          <w:sz w:val="22"/>
          <w:szCs w:val="22"/>
        </w:rPr>
        <w:t>marginalized</w:t>
      </w:r>
      <w:r w:rsidRPr="00C47088">
        <w:rPr>
          <w:rFonts w:ascii="Arial" w:eastAsia="Times New Roman" w:hAnsi="Arial" w:cs="Arial"/>
          <w:color w:val="000000"/>
          <w:sz w:val="22"/>
          <w:szCs w:val="22"/>
        </w:rPr>
        <w:t xml:space="preserve"> youth or those with limited social opportunities offline. However, the architecture of these platforms introduces significant developmental risks. Validation is quantified through superficial metrics </w:t>
      </w:r>
      <w:proofErr w:type="spellStart"/>
      <w:r w:rsidRPr="00C47088">
        <w:rPr>
          <w:rFonts w:ascii="Arial" w:eastAsia="Times New Roman" w:hAnsi="Arial" w:cs="Arial"/>
          <w:color w:val="000000"/>
          <w:sz w:val="22"/>
          <w:szCs w:val="22"/>
        </w:rPr>
        <w:t>suc</w:t>
      </w:r>
      <w:proofErr w:type="spellEnd"/>
      <w:r w:rsidR="00A32E88">
        <w:rPr>
          <w:rFonts w:ascii="Arial" w:eastAsia="Times New Roman" w:hAnsi="Arial" w:cs="Arial"/>
          <w:color w:val="000000"/>
          <w:sz w:val="22"/>
          <w:szCs w:val="22"/>
        </w:rPr>
        <w:t xml:space="preserve">  </w:t>
      </w:r>
      <w:r w:rsidRPr="00C47088">
        <w:rPr>
          <w:rFonts w:ascii="Arial" w:eastAsia="Times New Roman" w:hAnsi="Arial" w:cs="Arial"/>
          <w:color w:val="000000"/>
          <w:sz w:val="22"/>
          <w:szCs w:val="22"/>
        </w:rPr>
        <w:t xml:space="preserve">h as </w:t>
      </w:r>
      <w:r w:rsidRPr="00C47088">
        <w:rPr>
          <w:rFonts w:ascii="Arial" w:eastAsia="Times New Roman" w:hAnsi="Arial" w:cs="Arial"/>
          <w:color w:val="000000"/>
          <w:sz w:val="22"/>
          <w:szCs w:val="22"/>
        </w:rPr>
        <w:lastRenderedPageBreak/>
        <w:t>likes, views, and follower counts, which can inadvertently shift an adolescent’s source of self-worth from internal values and personal achievements to external, often arbitrary, digital approval. Empirical data from the ONS (2024) supports this theoretical concern, revealing that UK adolescents who base their self-evaluation on online feedback are three times more likely to report symptoms of depression than those who do not. Additionally, the permanence and public nature of digital interactions amplify the consequences of social missteps; cyberbullying, which affects approximately one in five young people in the UK (NHS Digital, 2023), serves as a severe threat to the formation of a secure identity, frequently resulting in social withdrawal and deepening feelings of isolation.</w:t>
      </w:r>
    </w:p>
    <w:p w14:paraId="4CCBA109" w14:textId="77777777" w:rsidR="00842AE1" w:rsidRPr="00C47088" w:rsidRDefault="00842AE1" w:rsidP="00842AE1">
      <w:pPr>
        <w:spacing w:before="240" w:line="276" w:lineRule="auto"/>
        <w:rPr>
          <w:rFonts w:ascii="Arial" w:eastAsia="Times New Roman" w:hAnsi="Arial" w:cs="Arial"/>
          <w:color w:val="000000"/>
          <w:sz w:val="22"/>
          <w:szCs w:val="22"/>
        </w:rPr>
      </w:pPr>
    </w:p>
    <w:p w14:paraId="3AEDAA44" w14:textId="1E0D9182" w:rsidR="00842AE1" w:rsidRPr="00C47088" w:rsidRDefault="00842AE1" w:rsidP="00842AE1">
      <w:pPr>
        <w:spacing w:before="240" w:line="276" w:lineRule="auto"/>
        <w:rPr>
          <w:rFonts w:ascii="Arial" w:eastAsia="Times New Roman" w:hAnsi="Arial" w:cs="Arial"/>
          <w:color w:val="000000"/>
          <w:sz w:val="22"/>
          <w:szCs w:val="22"/>
        </w:rPr>
      </w:pPr>
      <w:r w:rsidRPr="00C47088">
        <w:rPr>
          <w:rFonts w:ascii="Arial" w:eastAsia="Times New Roman" w:hAnsi="Arial" w:cs="Arial"/>
          <w:color w:val="000000"/>
          <w:sz w:val="22"/>
          <w:szCs w:val="22"/>
        </w:rPr>
        <w:t xml:space="preserve">Empirical research conducted within the UK provides robust evidence that substantiates these theoretical interpretations. A large-scale, longitudinal study by </w:t>
      </w:r>
      <w:proofErr w:type="spellStart"/>
      <w:r w:rsidRPr="00C47088">
        <w:rPr>
          <w:rFonts w:ascii="Arial" w:eastAsia="Times New Roman" w:hAnsi="Arial" w:cs="Arial"/>
          <w:color w:val="000000"/>
          <w:sz w:val="22"/>
          <w:szCs w:val="22"/>
        </w:rPr>
        <w:t>Twenge</w:t>
      </w:r>
      <w:proofErr w:type="spellEnd"/>
      <w:r w:rsidRPr="00C47088">
        <w:rPr>
          <w:rFonts w:ascii="Arial" w:eastAsia="Times New Roman" w:hAnsi="Arial" w:cs="Arial"/>
          <w:color w:val="000000"/>
          <w:sz w:val="22"/>
          <w:szCs w:val="22"/>
        </w:rPr>
        <w:t xml:space="preserve"> et al. (2023) found that adolescents spending more than seven hours per day on social media were approximately 2.8 times more likely to experience clinical levels of anxiety or depression compared to those spending one hour or less. From an </w:t>
      </w:r>
      <w:proofErr w:type="spellStart"/>
      <w:r w:rsidRPr="00C47088">
        <w:rPr>
          <w:rFonts w:ascii="Arial" w:eastAsia="Times New Roman" w:hAnsi="Arial" w:cs="Arial"/>
          <w:color w:val="000000"/>
          <w:sz w:val="22"/>
          <w:szCs w:val="22"/>
        </w:rPr>
        <w:t>Eriksonian</w:t>
      </w:r>
      <w:proofErr w:type="spellEnd"/>
      <w:r w:rsidRPr="00C47088">
        <w:rPr>
          <w:rFonts w:ascii="Arial" w:eastAsia="Times New Roman" w:hAnsi="Arial" w:cs="Arial"/>
          <w:color w:val="000000"/>
          <w:sz w:val="22"/>
          <w:szCs w:val="22"/>
        </w:rPr>
        <w:t xml:space="preserve"> perspective, this correlation can be attributed to the displacement of activities essential to identity formation—such as face-to-face social interaction, hands-on hobbies, academic study, and family bonding—with passive scrolling that offers little in the way of meaningful developmental feedback. The dynamics observed also align closely with </w:t>
      </w:r>
      <w:proofErr w:type="spellStart"/>
      <w:r w:rsidRPr="00C47088">
        <w:rPr>
          <w:rFonts w:ascii="Arial" w:eastAsia="Times New Roman" w:hAnsi="Arial" w:cs="Arial"/>
          <w:color w:val="000000"/>
          <w:sz w:val="22"/>
          <w:szCs w:val="22"/>
        </w:rPr>
        <w:t>Festinger’s</w:t>
      </w:r>
      <w:proofErr w:type="spellEnd"/>
      <w:r w:rsidRPr="00C47088">
        <w:rPr>
          <w:rFonts w:ascii="Arial" w:eastAsia="Times New Roman" w:hAnsi="Arial" w:cs="Arial"/>
          <w:color w:val="000000"/>
          <w:sz w:val="22"/>
          <w:szCs w:val="22"/>
        </w:rPr>
        <w:t xml:space="preserve"> Social Comparison Theory, which is frequently applied alongside Erikson’s work to explain the disparity in outcomes between genders. The RSPH (2021) reports that UK adolescent girls are disproportionately affected, as they are more inclined to engage in upward social comparison, measuring their own appearance and lifestyle against the </w:t>
      </w:r>
      <w:r w:rsidR="002A0602" w:rsidRPr="00C47088">
        <w:rPr>
          <w:rFonts w:ascii="Arial" w:eastAsia="Times New Roman" w:hAnsi="Arial" w:cs="Arial"/>
          <w:color w:val="000000"/>
          <w:sz w:val="22"/>
          <w:szCs w:val="22"/>
        </w:rPr>
        <w:t>idealized</w:t>
      </w:r>
      <w:r w:rsidRPr="00C47088">
        <w:rPr>
          <w:rFonts w:ascii="Arial" w:eastAsia="Times New Roman" w:hAnsi="Arial" w:cs="Arial"/>
          <w:color w:val="000000"/>
          <w:sz w:val="22"/>
          <w:szCs w:val="22"/>
        </w:rPr>
        <w:t xml:space="preserve">, often digitally altered images they encounter online. This consistent comparison creates a gap between the real self and the ideal self, resulting in significant body dissatisfaction and diminished life satisfaction. Through the lens of Freudian theory, the compulsive nature of this engagement can be viewed as a maladaptive </w:t>
      </w:r>
      <w:r w:rsidR="00553370" w:rsidRPr="00C47088">
        <w:rPr>
          <w:rFonts w:ascii="Arial" w:eastAsia="Times New Roman" w:hAnsi="Arial" w:cs="Arial"/>
          <w:color w:val="000000"/>
          <w:sz w:val="22"/>
          <w:szCs w:val="22"/>
        </w:rPr>
        <w:t>defense</w:t>
      </w:r>
      <w:r w:rsidRPr="00C47088">
        <w:rPr>
          <w:rFonts w:ascii="Arial" w:eastAsia="Times New Roman" w:hAnsi="Arial" w:cs="Arial"/>
          <w:color w:val="000000"/>
          <w:sz w:val="22"/>
          <w:szCs w:val="22"/>
        </w:rPr>
        <w:t xml:space="preserve"> mechanism; the adolescent retreats into the digital world to avoid confronting difficult emotions, unresolved conflicts from earlier developmental stages, or stressful real-life circumstances, rather than developing healthy coping strategies and emotional resilience (Young, 2020).</w:t>
      </w:r>
    </w:p>
    <w:p w14:paraId="4AA9BDEE" w14:textId="77777777" w:rsidR="00842AE1" w:rsidRPr="00C47088" w:rsidRDefault="00842AE1" w:rsidP="00842AE1">
      <w:pPr>
        <w:spacing w:before="240" w:line="276" w:lineRule="auto"/>
        <w:rPr>
          <w:rFonts w:ascii="Arial" w:eastAsia="Times New Roman" w:hAnsi="Arial" w:cs="Arial"/>
          <w:color w:val="000000"/>
          <w:sz w:val="22"/>
          <w:szCs w:val="22"/>
        </w:rPr>
      </w:pPr>
    </w:p>
    <w:p w14:paraId="6CE83B62" w14:textId="0A7BF9EE" w:rsidR="00842AE1" w:rsidRPr="00C47088" w:rsidRDefault="00842AE1" w:rsidP="00842AE1">
      <w:pPr>
        <w:spacing w:before="240" w:line="276" w:lineRule="auto"/>
        <w:rPr>
          <w:rFonts w:ascii="Arial" w:eastAsia="Times New Roman" w:hAnsi="Arial" w:cs="Arial"/>
          <w:color w:val="000000"/>
          <w:sz w:val="22"/>
          <w:szCs w:val="22"/>
        </w:rPr>
      </w:pPr>
      <w:r w:rsidRPr="00C47088">
        <w:rPr>
          <w:rFonts w:ascii="Arial" w:eastAsia="Times New Roman" w:hAnsi="Arial" w:cs="Arial"/>
          <w:color w:val="000000"/>
          <w:sz w:val="22"/>
          <w:szCs w:val="22"/>
        </w:rPr>
        <w:t xml:space="preserve">It is vital to </w:t>
      </w:r>
      <w:r w:rsidR="00453550" w:rsidRPr="00C47088">
        <w:rPr>
          <w:rFonts w:ascii="Arial" w:eastAsia="Times New Roman" w:hAnsi="Arial" w:cs="Arial"/>
          <w:color w:val="000000"/>
          <w:sz w:val="22"/>
          <w:szCs w:val="22"/>
        </w:rPr>
        <w:t>recognize</w:t>
      </w:r>
      <w:r w:rsidRPr="00C47088">
        <w:rPr>
          <w:rFonts w:ascii="Arial" w:eastAsia="Times New Roman" w:hAnsi="Arial" w:cs="Arial"/>
          <w:color w:val="000000"/>
          <w:sz w:val="22"/>
          <w:szCs w:val="22"/>
        </w:rPr>
        <w:t xml:space="preserve">, however, that the impact of social media is not inherently negative or uniform; both theories suggest that outcomes are heavily dependent on the quality of use and the individual’s developmental history. An adolescent who has successfully navigated earlier stages—achieving a foundation of trust and autonomy according to Erikson, or resolving prior psychosexual conflicts according to Freud—typically possesses the emotional maturity to engage with platforms in a balanced and critical way. Research by </w:t>
      </w:r>
      <w:proofErr w:type="spellStart"/>
      <w:r w:rsidRPr="00C47088">
        <w:rPr>
          <w:rFonts w:ascii="Arial" w:eastAsia="Times New Roman" w:hAnsi="Arial" w:cs="Arial"/>
          <w:color w:val="000000"/>
          <w:sz w:val="22"/>
          <w:szCs w:val="22"/>
        </w:rPr>
        <w:t>Ofcom</w:t>
      </w:r>
      <w:proofErr w:type="spellEnd"/>
      <w:r w:rsidRPr="00C47088">
        <w:rPr>
          <w:rFonts w:ascii="Arial" w:eastAsia="Times New Roman" w:hAnsi="Arial" w:cs="Arial"/>
          <w:color w:val="000000"/>
          <w:sz w:val="22"/>
          <w:szCs w:val="22"/>
        </w:rPr>
        <w:t xml:space="preserve"> (2023) indicates that many young people in the UK demonstrate high levels of digital literacy and use social media as a tool for creativity, learning, and maintaining relationships. Conversely, adolescents who enter this stage with unresolved insecurities, weak family support, or poor emotional regulation are disproportionately vulnerable to the harmful effects of digital environments. They are more likely </w:t>
      </w:r>
      <w:r w:rsidRPr="00C47088">
        <w:rPr>
          <w:rFonts w:ascii="Arial" w:eastAsia="Times New Roman" w:hAnsi="Arial" w:cs="Arial"/>
          <w:color w:val="000000"/>
          <w:sz w:val="22"/>
          <w:szCs w:val="22"/>
        </w:rPr>
        <w:lastRenderedPageBreak/>
        <w:t>to seek refuge in the immediate gratification of the id and to anchor their fragile identity entirely on external validation. Thus, social media acts as a magnifier of existing developmental strengths and weaknesses rather than the sole cause of mental health difficulties.</w:t>
      </w:r>
    </w:p>
    <w:p w14:paraId="243B1C55" w14:textId="77777777" w:rsidR="00842AE1" w:rsidRPr="00C47088" w:rsidRDefault="00842AE1" w:rsidP="00842AE1">
      <w:pPr>
        <w:spacing w:before="240" w:line="276" w:lineRule="auto"/>
        <w:rPr>
          <w:rFonts w:ascii="Arial" w:eastAsia="Times New Roman" w:hAnsi="Arial" w:cs="Arial"/>
          <w:color w:val="000000"/>
          <w:sz w:val="22"/>
          <w:szCs w:val="22"/>
        </w:rPr>
      </w:pPr>
    </w:p>
    <w:p w14:paraId="0ABABAC7" w14:textId="77777777" w:rsidR="00842AE1" w:rsidRPr="00501590" w:rsidRDefault="00842AE1" w:rsidP="00842AE1">
      <w:pPr>
        <w:spacing w:before="240" w:line="276" w:lineRule="auto"/>
        <w:rPr>
          <w:rFonts w:ascii="Arial" w:eastAsia="Times New Roman" w:hAnsi="Arial" w:cs="Arial"/>
          <w:color w:val="000000"/>
          <w:sz w:val="28"/>
          <w:szCs w:val="28"/>
        </w:rPr>
      </w:pPr>
      <w:r w:rsidRPr="00501590">
        <w:rPr>
          <w:rFonts w:ascii="Arial" w:eastAsia="Times New Roman" w:hAnsi="Arial" w:cs="Arial"/>
          <w:color w:val="000000"/>
          <w:sz w:val="28"/>
          <w:szCs w:val="28"/>
        </w:rPr>
        <w:t>Conclusion</w:t>
      </w:r>
    </w:p>
    <w:p w14:paraId="389C2C3A" w14:textId="77777777" w:rsidR="00842AE1" w:rsidRPr="00842AE1" w:rsidRDefault="00842AE1" w:rsidP="00842AE1">
      <w:pPr>
        <w:spacing w:before="240" w:line="276" w:lineRule="auto"/>
        <w:rPr>
          <w:rFonts w:ascii="Arial" w:eastAsia="Times New Roman" w:hAnsi="Arial" w:cs="Arial"/>
          <w:color w:val="000000"/>
        </w:rPr>
      </w:pPr>
    </w:p>
    <w:p w14:paraId="29E3F607" w14:textId="5A596EEE" w:rsidR="00EC1FA5" w:rsidRPr="009757CD" w:rsidRDefault="00842AE1" w:rsidP="00087EDE">
      <w:pPr>
        <w:spacing w:before="240" w:line="276" w:lineRule="auto"/>
        <w:rPr>
          <w:sz w:val="22"/>
          <w:szCs w:val="22"/>
        </w:rPr>
      </w:pPr>
      <w:r w:rsidRPr="009757CD">
        <w:rPr>
          <w:rFonts w:ascii="Arial" w:eastAsia="Times New Roman" w:hAnsi="Arial" w:cs="Arial"/>
          <w:color w:val="000000"/>
          <w:sz w:val="22"/>
          <w:szCs w:val="22"/>
        </w:rPr>
        <w:t xml:space="preserve">In conclusion, social media exerts a profound and multifaceted influence on the mental health and developmental trajectory of adolescents in the United Kingdom, intersecting directly with the core processes described by Freud and Erikson. Freud’s psychosexual perspective illuminates the powerful allure of these platforms, demonstrating how their design targets the pleasure-seeking impulses of the id and challenges the adolescent ego’s still-developing ability to balance desire with reality and manage internal conflict. Erikson’s psychosocial framework offers a complementary understanding, highlighting how digital spaces have reshaped the critical task of identity formation. While they offer new avenues for exploration and community, they also introduce significant hazards by encouraging a reliance on external validation and superficial metrics that can lead to role confusion and diminished self-worth. Supported by robust national data from the ONS, NHS, and RSPH, it is evident that while social media holds genuine potential to enrich young lives, it poses substantial risks when engagement is excessive, unregulated, or lacks critical oversight. A holistic understanding of these impacts—rooted in developmental theory—is essential for educators, policymakers, and families. It provides the necessary foundation to promote safer, more mindful digital practices, </w:t>
      </w:r>
      <w:proofErr w:type="spellStart"/>
      <w:r w:rsidRPr="009757CD">
        <w:rPr>
          <w:rFonts w:ascii="Arial" w:eastAsia="Times New Roman" w:hAnsi="Arial" w:cs="Arial"/>
          <w:color w:val="000000"/>
          <w:sz w:val="22"/>
          <w:szCs w:val="22"/>
        </w:rPr>
        <w:t>prioritise</w:t>
      </w:r>
      <w:proofErr w:type="spellEnd"/>
      <w:r w:rsidRPr="009757CD">
        <w:rPr>
          <w:rFonts w:ascii="Arial" w:eastAsia="Times New Roman" w:hAnsi="Arial" w:cs="Arial"/>
          <w:color w:val="000000"/>
          <w:sz w:val="22"/>
          <w:szCs w:val="22"/>
        </w:rPr>
        <w:t xml:space="preserve"> authentic offline experiences, and cultivate the secure, internally grounded sense of self required to protect the mental wellbeing of young people across the UK.</w:t>
      </w:r>
    </w:p>
    <w:p w14:paraId="3E4C5379" w14:textId="77777777" w:rsidR="00470138" w:rsidRPr="005A5267" w:rsidRDefault="00470138" w:rsidP="00470138">
      <w:pPr>
        <w:spacing w:before="240" w:line="276" w:lineRule="auto"/>
        <w:rPr>
          <w:sz w:val="28"/>
          <w:szCs w:val="28"/>
        </w:rPr>
      </w:pPr>
      <w:r w:rsidRPr="005A5267">
        <w:rPr>
          <w:sz w:val="28"/>
          <w:szCs w:val="28"/>
        </w:rPr>
        <w:t>References</w:t>
      </w:r>
    </w:p>
    <w:p w14:paraId="112B0BDF" w14:textId="77777777" w:rsidR="00470138" w:rsidRPr="00501590" w:rsidRDefault="00470138" w:rsidP="00470138">
      <w:pPr>
        <w:spacing w:before="240" w:line="276" w:lineRule="auto"/>
        <w:rPr>
          <w:sz w:val="22"/>
          <w:szCs w:val="22"/>
        </w:rPr>
      </w:pPr>
    </w:p>
    <w:p w14:paraId="3B73255B" w14:textId="77777777" w:rsidR="00470138" w:rsidRPr="003335FC" w:rsidRDefault="00470138" w:rsidP="00470138">
      <w:pPr>
        <w:spacing w:before="240" w:line="276" w:lineRule="auto"/>
        <w:rPr>
          <w:sz w:val="22"/>
          <w:szCs w:val="22"/>
        </w:rPr>
      </w:pPr>
      <w:r w:rsidRPr="003335FC">
        <w:rPr>
          <w:sz w:val="22"/>
          <w:szCs w:val="22"/>
        </w:rPr>
        <w:t>Children’s Commissioner for England (2023) Growing Up Digital: The 2023 Report. London: Children’s Commissioner’s Office.</w:t>
      </w:r>
    </w:p>
    <w:p w14:paraId="4B6CE881" w14:textId="77777777" w:rsidR="00470138" w:rsidRPr="003335FC" w:rsidRDefault="00470138" w:rsidP="00470138">
      <w:pPr>
        <w:spacing w:before="240" w:line="276" w:lineRule="auto"/>
        <w:rPr>
          <w:sz w:val="22"/>
          <w:szCs w:val="22"/>
        </w:rPr>
      </w:pPr>
    </w:p>
    <w:p w14:paraId="2C206B8A" w14:textId="77777777" w:rsidR="00470138" w:rsidRPr="003335FC" w:rsidRDefault="00470138" w:rsidP="00470138">
      <w:pPr>
        <w:spacing w:before="240" w:line="276" w:lineRule="auto"/>
        <w:rPr>
          <w:sz w:val="22"/>
          <w:szCs w:val="22"/>
        </w:rPr>
      </w:pPr>
      <w:r w:rsidRPr="003335FC">
        <w:rPr>
          <w:sz w:val="22"/>
          <w:szCs w:val="22"/>
        </w:rPr>
        <w:t>Erikson, E.H. (1968) Identity: Youth and Crisis. New York: W.W. Norton &amp; Company.</w:t>
      </w:r>
    </w:p>
    <w:p w14:paraId="72CA5C54" w14:textId="77777777" w:rsidR="00470138" w:rsidRPr="003335FC" w:rsidRDefault="00470138" w:rsidP="00470138">
      <w:pPr>
        <w:spacing w:before="240" w:line="276" w:lineRule="auto"/>
        <w:rPr>
          <w:sz w:val="22"/>
          <w:szCs w:val="22"/>
        </w:rPr>
      </w:pPr>
    </w:p>
    <w:p w14:paraId="5845027E" w14:textId="77777777" w:rsidR="00470138" w:rsidRPr="003335FC" w:rsidRDefault="00470138" w:rsidP="00470138">
      <w:pPr>
        <w:spacing w:before="240" w:line="276" w:lineRule="auto"/>
        <w:rPr>
          <w:sz w:val="22"/>
          <w:szCs w:val="22"/>
        </w:rPr>
      </w:pPr>
      <w:proofErr w:type="spellStart"/>
      <w:r w:rsidRPr="003335FC">
        <w:rPr>
          <w:sz w:val="22"/>
          <w:szCs w:val="22"/>
        </w:rPr>
        <w:t>Fardouly</w:t>
      </w:r>
      <w:proofErr w:type="spellEnd"/>
      <w:r w:rsidRPr="003335FC">
        <w:rPr>
          <w:sz w:val="22"/>
          <w:szCs w:val="22"/>
        </w:rPr>
        <w:t>, J. and Vartanian, L.R. (2016) ‘Social media and body image concerns: Current research and future directions’. Current Opinion in Psychology, 9, pp. 1–5.</w:t>
      </w:r>
    </w:p>
    <w:p w14:paraId="6A7D7EE7" w14:textId="77777777" w:rsidR="00470138" w:rsidRPr="003335FC" w:rsidRDefault="00470138" w:rsidP="00470138">
      <w:pPr>
        <w:spacing w:before="240" w:line="276" w:lineRule="auto"/>
        <w:rPr>
          <w:sz w:val="22"/>
          <w:szCs w:val="22"/>
        </w:rPr>
      </w:pPr>
    </w:p>
    <w:p w14:paraId="6B7A49AB" w14:textId="77777777" w:rsidR="00470138" w:rsidRPr="003335FC" w:rsidRDefault="00470138" w:rsidP="00470138">
      <w:pPr>
        <w:spacing w:before="240" w:line="276" w:lineRule="auto"/>
        <w:rPr>
          <w:sz w:val="22"/>
          <w:szCs w:val="22"/>
        </w:rPr>
      </w:pPr>
      <w:r w:rsidRPr="003335FC">
        <w:rPr>
          <w:sz w:val="22"/>
          <w:szCs w:val="22"/>
        </w:rPr>
        <w:t>Freud, S. (1905) Three Essays on the Theory of Sexuality. London: Imago Publishing.</w:t>
      </w:r>
    </w:p>
    <w:p w14:paraId="4D691896" w14:textId="77777777" w:rsidR="00470138" w:rsidRPr="003335FC" w:rsidRDefault="00470138" w:rsidP="00470138">
      <w:pPr>
        <w:spacing w:before="240" w:line="276" w:lineRule="auto"/>
        <w:rPr>
          <w:sz w:val="22"/>
          <w:szCs w:val="22"/>
        </w:rPr>
      </w:pPr>
    </w:p>
    <w:p w14:paraId="53E108E2" w14:textId="77777777" w:rsidR="00470138" w:rsidRPr="003335FC" w:rsidRDefault="00470138" w:rsidP="00470138">
      <w:pPr>
        <w:spacing w:before="240" w:line="276" w:lineRule="auto"/>
        <w:rPr>
          <w:sz w:val="22"/>
          <w:szCs w:val="22"/>
        </w:rPr>
      </w:pPr>
      <w:r w:rsidRPr="003335FC">
        <w:rPr>
          <w:sz w:val="22"/>
          <w:szCs w:val="22"/>
        </w:rPr>
        <w:t>NHS Digital (2023) Mental Health of Children and Young People in England, 2023. Leeds: NHS Digital.</w:t>
      </w:r>
    </w:p>
    <w:p w14:paraId="7B1EB07F" w14:textId="77777777" w:rsidR="00470138" w:rsidRPr="003335FC" w:rsidRDefault="00470138" w:rsidP="00470138">
      <w:pPr>
        <w:spacing w:before="240" w:line="276" w:lineRule="auto"/>
        <w:rPr>
          <w:sz w:val="22"/>
          <w:szCs w:val="22"/>
        </w:rPr>
      </w:pPr>
    </w:p>
    <w:p w14:paraId="6365F5A4" w14:textId="77777777" w:rsidR="00470138" w:rsidRPr="003335FC" w:rsidRDefault="00470138" w:rsidP="00470138">
      <w:pPr>
        <w:spacing w:before="240" w:line="276" w:lineRule="auto"/>
        <w:rPr>
          <w:sz w:val="22"/>
          <w:szCs w:val="22"/>
        </w:rPr>
      </w:pPr>
      <w:r w:rsidRPr="003335FC">
        <w:rPr>
          <w:sz w:val="22"/>
          <w:szCs w:val="22"/>
        </w:rPr>
        <w:t>Office for National Statistics (ONS) (2024) Social Media Use and Mental Health Among Young People in the UK. London: HMSO.</w:t>
      </w:r>
    </w:p>
    <w:p w14:paraId="598D7802" w14:textId="77777777" w:rsidR="00470138" w:rsidRPr="003335FC" w:rsidRDefault="00470138" w:rsidP="00470138">
      <w:pPr>
        <w:spacing w:before="240" w:line="276" w:lineRule="auto"/>
        <w:rPr>
          <w:sz w:val="22"/>
          <w:szCs w:val="22"/>
        </w:rPr>
      </w:pPr>
    </w:p>
    <w:p w14:paraId="2341BFFE" w14:textId="77777777" w:rsidR="00470138" w:rsidRPr="003335FC" w:rsidRDefault="00470138" w:rsidP="00470138">
      <w:pPr>
        <w:spacing w:before="240" w:line="276" w:lineRule="auto"/>
        <w:rPr>
          <w:sz w:val="22"/>
          <w:szCs w:val="22"/>
        </w:rPr>
      </w:pPr>
      <w:proofErr w:type="spellStart"/>
      <w:r w:rsidRPr="003335FC">
        <w:rPr>
          <w:sz w:val="22"/>
          <w:szCs w:val="22"/>
        </w:rPr>
        <w:t>Ofcom</w:t>
      </w:r>
      <w:proofErr w:type="spellEnd"/>
      <w:r w:rsidRPr="003335FC">
        <w:rPr>
          <w:sz w:val="22"/>
          <w:szCs w:val="22"/>
        </w:rPr>
        <w:t xml:space="preserve"> (2023) Children and Parents: Media Use and Attitudes Report 2023. London: </w:t>
      </w:r>
      <w:proofErr w:type="spellStart"/>
      <w:r w:rsidRPr="003335FC">
        <w:rPr>
          <w:sz w:val="22"/>
          <w:szCs w:val="22"/>
        </w:rPr>
        <w:t>Ofcom</w:t>
      </w:r>
      <w:proofErr w:type="spellEnd"/>
      <w:r w:rsidRPr="003335FC">
        <w:rPr>
          <w:sz w:val="22"/>
          <w:szCs w:val="22"/>
        </w:rPr>
        <w:t>.</w:t>
      </w:r>
    </w:p>
    <w:p w14:paraId="2C6F2FE4" w14:textId="77777777" w:rsidR="00470138" w:rsidRPr="003335FC" w:rsidRDefault="00470138" w:rsidP="00470138">
      <w:pPr>
        <w:spacing w:before="240" w:line="276" w:lineRule="auto"/>
        <w:rPr>
          <w:sz w:val="22"/>
          <w:szCs w:val="22"/>
        </w:rPr>
      </w:pPr>
    </w:p>
    <w:p w14:paraId="408D15A5" w14:textId="77777777" w:rsidR="00470138" w:rsidRPr="003335FC" w:rsidRDefault="00470138" w:rsidP="00470138">
      <w:pPr>
        <w:spacing w:before="240" w:line="276" w:lineRule="auto"/>
        <w:rPr>
          <w:sz w:val="22"/>
          <w:szCs w:val="22"/>
        </w:rPr>
      </w:pPr>
      <w:r w:rsidRPr="003335FC">
        <w:rPr>
          <w:sz w:val="22"/>
          <w:szCs w:val="22"/>
        </w:rPr>
        <w:t>Royal Society for Public Health (RSPH) (2021) Status of Mind: Social Media and Young People’s Mental Health and Wellbeing. London: RSPH.</w:t>
      </w:r>
    </w:p>
    <w:p w14:paraId="7F843048" w14:textId="77777777" w:rsidR="00470138" w:rsidRPr="003335FC" w:rsidRDefault="00470138" w:rsidP="00470138">
      <w:pPr>
        <w:spacing w:before="240" w:line="276" w:lineRule="auto"/>
        <w:rPr>
          <w:sz w:val="22"/>
          <w:szCs w:val="22"/>
        </w:rPr>
      </w:pPr>
    </w:p>
    <w:p w14:paraId="0D3D3617" w14:textId="77777777" w:rsidR="00470138" w:rsidRPr="003335FC" w:rsidRDefault="00470138" w:rsidP="00470138">
      <w:pPr>
        <w:spacing w:before="240" w:line="276" w:lineRule="auto"/>
        <w:rPr>
          <w:sz w:val="22"/>
          <w:szCs w:val="22"/>
        </w:rPr>
      </w:pPr>
      <w:proofErr w:type="spellStart"/>
      <w:r w:rsidRPr="003335FC">
        <w:rPr>
          <w:sz w:val="22"/>
          <w:szCs w:val="22"/>
        </w:rPr>
        <w:t>Twenge</w:t>
      </w:r>
      <w:proofErr w:type="spellEnd"/>
      <w:r w:rsidRPr="003335FC">
        <w:rPr>
          <w:sz w:val="22"/>
          <w:szCs w:val="22"/>
        </w:rPr>
        <w:t>, J.M., Campbell, W.K. and Joiner, T.E. (2023) ‘Associations between screen time and psychological well-being among children and adolescents: UK population-based study’. Preventive Medicine Reports, 32, p. 102156.</w:t>
      </w:r>
    </w:p>
    <w:p w14:paraId="0050D478" w14:textId="77777777" w:rsidR="00470138" w:rsidRPr="003335FC" w:rsidRDefault="00470138" w:rsidP="00470138">
      <w:pPr>
        <w:spacing w:before="240" w:line="276" w:lineRule="auto"/>
        <w:rPr>
          <w:sz w:val="22"/>
          <w:szCs w:val="22"/>
        </w:rPr>
      </w:pPr>
    </w:p>
    <w:p w14:paraId="37F3B757" w14:textId="77777777" w:rsidR="00470138" w:rsidRPr="003335FC" w:rsidRDefault="00470138" w:rsidP="00470138">
      <w:pPr>
        <w:spacing w:before="240" w:line="276" w:lineRule="auto"/>
        <w:rPr>
          <w:sz w:val="22"/>
          <w:szCs w:val="22"/>
        </w:rPr>
      </w:pPr>
      <w:r w:rsidRPr="003335FC">
        <w:rPr>
          <w:sz w:val="22"/>
          <w:szCs w:val="22"/>
        </w:rPr>
        <w:t xml:space="preserve">Valkenburg, P.M. and Piotrowski, J.T. (2017) ‘Adolescents and social media: A developmental perspective’. In: Ellison, N. and </w:t>
      </w:r>
      <w:proofErr w:type="spellStart"/>
      <w:r w:rsidRPr="003335FC">
        <w:rPr>
          <w:sz w:val="22"/>
          <w:szCs w:val="22"/>
        </w:rPr>
        <w:t>Vitak</w:t>
      </w:r>
      <w:proofErr w:type="spellEnd"/>
      <w:r w:rsidRPr="003335FC">
        <w:rPr>
          <w:sz w:val="22"/>
          <w:szCs w:val="22"/>
        </w:rPr>
        <w:t>, J. (eds.) The Oxford Handbook of Social Media. Oxford: Oxford University Press.</w:t>
      </w:r>
    </w:p>
    <w:p w14:paraId="1BCD63D8" w14:textId="77777777" w:rsidR="00470138" w:rsidRPr="003335FC" w:rsidRDefault="00470138" w:rsidP="00470138">
      <w:pPr>
        <w:spacing w:before="240" w:line="276" w:lineRule="auto"/>
        <w:rPr>
          <w:sz w:val="22"/>
          <w:szCs w:val="22"/>
        </w:rPr>
      </w:pPr>
    </w:p>
    <w:p w14:paraId="317C1229" w14:textId="77777777" w:rsidR="00470138" w:rsidRPr="003335FC" w:rsidRDefault="00470138" w:rsidP="00470138">
      <w:pPr>
        <w:spacing w:before="240" w:line="276" w:lineRule="auto"/>
        <w:rPr>
          <w:sz w:val="22"/>
          <w:szCs w:val="22"/>
        </w:rPr>
      </w:pPr>
      <w:r w:rsidRPr="003335FC">
        <w:rPr>
          <w:sz w:val="22"/>
          <w:szCs w:val="22"/>
        </w:rPr>
        <w:t>World Health Organization (WHO) (2023) Adolescent Development and Wellbeing. Geneva: WHO Press.</w:t>
      </w:r>
    </w:p>
    <w:p w14:paraId="7FD18DAD" w14:textId="77777777" w:rsidR="00470138" w:rsidRPr="003335FC" w:rsidRDefault="00470138" w:rsidP="00470138">
      <w:pPr>
        <w:spacing w:before="240" w:line="276" w:lineRule="auto"/>
        <w:rPr>
          <w:sz w:val="22"/>
          <w:szCs w:val="22"/>
        </w:rPr>
      </w:pPr>
    </w:p>
    <w:p w14:paraId="3F2A150E" w14:textId="25351D6F" w:rsidR="00130478" w:rsidRPr="003335FC" w:rsidRDefault="00470138" w:rsidP="00C903C9">
      <w:pPr>
        <w:spacing w:before="240" w:line="276" w:lineRule="auto"/>
        <w:rPr>
          <w:sz w:val="22"/>
          <w:szCs w:val="22"/>
        </w:rPr>
      </w:pPr>
      <w:r w:rsidRPr="003335FC">
        <w:rPr>
          <w:sz w:val="22"/>
          <w:szCs w:val="22"/>
        </w:rPr>
        <w:t>Young, K.S. (2020) ‘The psychology of social media addiction: Gratification and self-control’. Computers in Human Behavior, 107, p. 106246.</w:t>
      </w:r>
    </w:p>
    <w:sectPr w:rsidR="00130478" w:rsidRPr="003335F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F3E36" w14:textId="77777777" w:rsidR="00B23041" w:rsidRDefault="00B23041" w:rsidP="00EF33D1">
      <w:pPr>
        <w:spacing w:after="0" w:line="240" w:lineRule="auto"/>
      </w:pPr>
      <w:r>
        <w:separator/>
      </w:r>
    </w:p>
  </w:endnote>
  <w:endnote w:type="continuationSeparator" w:id="0">
    <w:p w14:paraId="4F50FDBA" w14:textId="77777777" w:rsidR="00B23041" w:rsidRDefault="00B23041" w:rsidP="00EF3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CBA91" w14:textId="77777777" w:rsidR="00B23041" w:rsidRDefault="00B23041" w:rsidP="00EF33D1">
      <w:pPr>
        <w:spacing w:after="0" w:line="240" w:lineRule="auto"/>
      </w:pPr>
      <w:r>
        <w:separator/>
      </w:r>
    </w:p>
  </w:footnote>
  <w:footnote w:type="continuationSeparator" w:id="0">
    <w:p w14:paraId="7848CF32" w14:textId="77777777" w:rsidR="00B23041" w:rsidRDefault="00B23041" w:rsidP="00EF3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04765" w14:textId="5B9D6AD3" w:rsidR="00A632C4" w:rsidRPr="00A505FB" w:rsidRDefault="00A632C4">
    <w:pPr>
      <w:tabs>
        <w:tab w:val="left" w:pos="6540"/>
      </w:tabs>
      <w:spacing w:line="360" w:lineRule="auto"/>
      <w:rPr>
        <w:rFonts w:ascii="Arial" w:hAnsi="Arial" w:cs="Arial"/>
        <w:sz w:val="28"/>
        <w:szCs w:val="28"/>
        <w:lang w:val="nl-NL"/>
      </w:rPr>
    </w:pPr>
  </w:p>
  <w:p w14:paraId="23FC434C" w14:textId="49AC8B1A" w:rsidR="00EF33D1" w:rsidRPr="009C4EEB" w:rsidRDefault="00EF33D1">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4D"/>
    <w:rsid w:val="000003B0"/>
    <w:rsid w:val="00053BD6"/>
    <w:rsid w:val="00060B75"/>
    <w:rsid w:val="00060B8B"/>
    <w:rsid w:val="00087EDE"/>
    <w:rsid w:val="000924B2"/>
    <w:rsid w:val="000A7311"/>
    <w:rsid w:val="000C4011"/>
    <w:rsid w:val="000E1AC8"/>
    <w:rsid w:val="00102E44"/>
    <w:rsid w:val="00122B72"/>
    <w:rsid w:val="00126D68"/>
    <w:rsid w:val="001271A9"/>
    <w:rsid w:val="00130478"/>
    <w:rsid w:val="001316EE"/>
    <w:rsid w:val="00140471"/>
    <w:rsid w:val="00140E78"/>
    <w:rsid w:val="00144298"/>
    <w:rsid w:val="0014468D"/>
    <w:rsid w:val="00144F9C"/>
    <w:rsid w:val="001459C6"/>
    <w:rsid w:val="00172C3D"/>
    <w:rsid w:val="001805EC"/>
    <w:rsid w:val="0019792D"/>
    <w:rsid w:val="001B2289"/>
    <w:rsid w:val="001B3C2B"/>
    <w:rsid w:val="001B7C37"/>
    <w:rsid w:val="001D316A"/>
    <w:rsid w:val="001E5CC2"/>
    <w:rsid w:val="00210B2D"/>
    <w:rsid w:val="00211166"/>
    <w:rsid w:val="00211FFD"/>
    <w:rsid w:val="002411BC"/>
    <w:rsid w:val="00251735"/>
    <w:rsid w:val="0027447A"/>
    <w:rsid w:val="00276312"/>
    <w:rsid w:val="0028146B"/>
    <w:rsid w:val="00291DDA"/>
    <w:rsid w:val="0029225C"/>
    <w:rsid w:val="002A0602"/>
    <w:rsid w:val="002A1E7D"/>
    <w:rsid w:val="002A408D"/>
    <w:rsid w:val="002A5C44"/>
    <w:rsid w:val="002F06BF"/>
    <w:rsid w:val="0030231F"/>
    <w:rsid w:val="003335FC"/>
    <w:rsid w:val="003336E3"/>
    <w:rsid w:val="00334A5F"/>
    <w:rsid w:val="00367CE8"/>
    <w:rsid w:val="0038048C"/>
    <w:rsid w:val="00384229"/>
    <w:rsid w:val="00386D9D"/>
    <w:rsid w:val="003A494B"/>
    <w:rsid w:val="003A6A99"/>
    <w:rsid w:val="0041275A"/>
    <w:rsid w:val="00420F15"/>
    <w:rsid w:val="00426D4D"/>
    <w:rsid w:val="004369AD"/>
    <w:rsid w:val="0044237A"/>
    <w:rsid w:val="00453550"/>
    <w:rsid w:val="004656A4"/>
    <w:rsid w:val="00470138"/>
    <w:rsid w:val="004804C9"/>
    <w:rsid w:val="0048670F"/>
    <w:rsid w:val="004D0674"/>
    <w:rsid w:val="004D0F3C"/>
    <w:rsid w:val="004F434D"/>
    <w:rsid w:val="004F6C19"/>
    <w:rsid w:val="00501590"/>
    <w:rsid w:val="005173B6"/>
    <w:rsid w:val="00517C36"/>
    <w:rsid w:val="0052677F"/>
    <w:rsid w:val="00553370"/>
    <w:rsid w:val="005A0C69"/>
    <w:rsid w:val="005A34A9"/>
    <w:rsid w:val="005A5267"/>
    <w:rsid w:val="005B71F4"/>
    <w:rsid w:val="005D318A"/>
    <w:rsid w:val="005E0244"/>
    <w:rsid w:val="005F41AF"/>
    <w:rsid w:val="005F6286"/>
    <w:rsid w:val="006047D9"/>
    <w:rsid w:val="00622AB4"/>
    <w:rsid w:val="006466B9"/>
    <w:rsid w:val="00665B96"/>
    <w:rsid w:val="00676703"/>
    <w:rsid w:val="0068293D"/>
    <w:rsid w:val="00686609"/>
    <w:rsid w:val="006A1670"/>
    <w:rsid w:val="006A5E1E"/>
    <w:rsid w:val="006B3BA7"/>
    <w:rsid w:val="006C16B6"/>
    <w:rsid w:val="006C5DAF"/>
    <w:rsid w:val="006D719F"/>
    <w:rsid w:val="006E0790"/>
    <w:rsid w:val="006E3CBD"/>
    <w:rsid w:val="0070161F"/>
    <w:rsid w:val="00710B4F"/>
    <w:rsid w:val="00724B8B"/>
    <w:rsid w:val="007306DD"/>
    <w:rsid w:val="00773B7C"/>
    <w:rsid w:val="00780D91"/>
    <w:rsid w:val="00781ED2"/>
    <w:rsid w:val="007A4468"/>
    <w:rsid w:val="007B5708"/>
    <w:rsid w:val="007C13D8"/>
    <w:rsid w:val="007D4FCD"/>
    <w:rsid w:val="0080309D"/>
    <w:rsid w:val="00806C1E"/>
    <w:rsid w:val="00817F48"/>
    <w:rsid w:val="00831C2B"/>
    <w:rsid w:val="00842AE1"/>
    <w:rsid w:val="00844096"/>
    <w:rsid w:val="008719EE"/>
    <w:rsid w:val="00887DDC"/>
    <w:rsid w:val="008A6B1A"/>
    <w:rsid w:val="008E07E1"/>
    <w:rsid w:val="00904445"/>
    <w:rsid w:val="00916A9C"/>
    <w:rsid w:val="00923324"/>
    <w:rsid w:val="009508E2"/>
    <w:rsid w:val="009574CD"/>
    <w:rsid w:val="00960761"/>
    <w:rsid w:val="00962E85"/>
    <w:rsid w:val="00971F43"/>
    <w:rsid w:val="009757CD"/>
    <w:rsid w:val="00977086"/>
    <w:rsid w:val="009B2D65"/>
    <w:rsid w:val="009C4EEB"/>
    <w:rsid w:val="009F75CC"/>
    <w:rsid w:val="00A02F55"/>
    <w:rsid w:val="00A132A2"/>
    <w:rsid w:val="00A16750"/>
    <w:rsid w:val="00A32E88"/>
    <w:rsid w:val="00A352BF"/>
    <w:rsid w:val="00A47A19"/>
    <w:rsid w:val="00A505FB"/>
    <w:rsid w:val="00A632C4"/>
    <w:rsid w:val="00A70CA1"/>
    <w:rsid w:val="00AA7434"/>
    <w:rsid w:val="00AB6886"/>
    <w:rsid w:val="00AB7F2E"/>
    <w:rsid w:val="00AE22BD"/>
    <w:rsid w:val="00AE72D5"/>
    <w:rsid w:val="00AF3EEA"/>
    <w:rsid w:val="00AF6B48"/>
    <w:rsid w:val="00B23041"/>
    <w:rsid w:val="00B23191"/>
    <w:rsid w:val="00B34284"/>
    <w:rsid w:val="00B55F4F"/>
    <w:rsid w:val="00B62850"/>
    <w:rsid w:val="00B73C11"/>
    <w:rsid w:val="00B85E5E"/>
    <w:rsid w:val="00B93A82"/>
    <w:rsid w:val="00B96932"/>
    <w:rsid w:val="00BD28C7"/>
    <w:rsid w:val="00BE65DC"/>
    <w:rsid w:val="00BF646F"/>
    <w:rsid w:val="00C21369"/>
    <w:rsid w:val="00C24136"/>
    <w:rsid w:val="00C27F64"/>
    <w:rsid w:val="00C337CB"/>
    <w:rsid w:val="00C36E89"/>
    <w:rsid w:val="00C47088"/>
    <w:rsid w:val="00C50A9C"/>
    <w:rsid w:val="00C82A43"/>
    <w:rsid w:val="00C83549"/>
    <w:rsid w:val="00C903C9"/>
    <w:rsid w:val="00CA636B"/>
    <w:rsid w:val="00CB0260"/>
    <w:rsid w:val="00CC6C38"/>
    <w:rsid w:val="00CF4C17"/>
    <w:rsid w:val="00D322A2"/>
    <w:rsid w:val="00D55B68"/>
    <w:rsid w:val="00D81DE8"/>
    <w:rsid w:val="00D9392E"/>
    <w:rsid w:val="00D94BFD"/>
    <w:rsid w:val="00DC46F0"/>
    <w:rsid w:val="00DD6DA1"/>
    <w:rsid w:val="00DF154B"/>
    <w:rsid w:val="00DF22B5"/>
    <w:rsid w:val="00E173AB"/>
    <w:rsid w:val="00E318BD"/>
    <w:rsid w:val="00E42E1B"/>
    <w:rsid w:val="00E449B0"/>
    <w:rsid w:val="00E626E4"/>
    <w:rsid w:val="00E90CD9"/>
    <w:rsid w:val="00E96B97"/>
    <w:rsid w:val="00EB4A17"/>
    <w:rsid w:val="00EB7126"/>
    <w:rsid w:val="00EB7A58"/>
    <w:rsid w:val="00EC1FA5"/>
    <w:rsid w:val="00ED62E7"/>
    <w:rsid w:val="00EF33D1"/>
    <w:rsid w:val="00F01638"/>
    <w:rsid w:val="00F0322E"/>
    <w:rsid w:val="00F04603"/>
    <w:rsid w:val="00F66D5B"/>
    <w:rsid w:val="00F6787F"/>
    <w:rsid w:val="00F74978"/>
    <w:rsid w:val="00F97171"/>
    <w:rsid w:val="00FA102B"/>
    <w:rsid w:val="00FB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F75041"/>
  <w15:chartTrackingRefBased/>
  <w15:docId w15:val="{D13F1DBD-616A-7941-B1B3-8F3DF1629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3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43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43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3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3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3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3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3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3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3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43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43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43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3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3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3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3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34D"/>
    <w:rPr>
      <w:rFonts w:eastAsiaTheme="majorEastAsia" w:cstheme="majorBidi"/>
      <w:color w:val="272727" w:themeColor="text1" w:themeTint="D8"/>
    </w:rPr>
  </w:style>
  <w:style w:type="paragraph" w:styleId="Title">
    <w:name w:val="Title"/>
    <w:basedOn w:val="Normal"/>
    <w:next w:val="Normal"/>
    <w:link w:val="TitleChar"/>
    <w:uiPriority w:val="10"/>
    <w:qFormat/>
    <w:rsid w:val="004F43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3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3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3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34D"/>
    <w:pPr>
      <w:spacing w:before="160"/>
      <w:jc w:val="center"/>
    </w:pPr>
    <w:rPr>
      <w:i/>
      <w:iCs/>
      <w:color w:val="404040" w:themeColor="text1" w:themeTint="BF"/>
    </w:rPr>
  </w:style>
  <w:style w:type="character" w:customStyle="1" w:styleId="QuoteChar">
    <w:name w:val="Quote Char"/>
    <w:basedOn w:val="DefaultParagraphFont"/>
    <w:link w:val="Quote"/>
    <w:uiPriority w:val="29"/>
    <w:rsid w:val="004F434D"/>
    <w:rPr>
      <w:i/>
      <w:iCs/>
      <w:color w:val="404040" w:themeColor="text1" w:themeTint="BF"/>
    </w:rPr>
  </w:style>
  <w:style w:type="paragraph" w:styleId="ListParagraph">
    <w:name w:val="List Paragraph"/>
    <w:basedOn w:val="Normal"/>
    <w:uiPriority w:val="34"/>
    <w:qFormat/>
    <w:rsid w:val="004F434D"/>
    <w:pPr>
      <w:ind w:left="720"/>
      <w:contextualSpacing/>
    </w:pPr>
  </w:style>
  <w:style w:type="character" w:styleId="IntenseEmphasis">
    <w:name w:val="Intense Emphasis"/>
    <w:basedOn w:val="DefaultParagraphFont"/>
    <w:uiPriority w:val="21"/>
    <w:qFormat/>
    <w:rsid w:val="004F434D"/>
    <w:rPr>
      <w:i/>
      <w:iCs/>
      <w:color w:val="0F4761" w:themeColor="accent1" w:themeShade="BF"/>
    </w:rPr>
  </w:style>
  <w:style w:type="paragraph" w:styleId="IntenseQuote">
    <w:name w:val="Intense Quote"/>
    <w:basedOn w:val="Normal"/>
    <w:next w:val="Normal"/>
    <w:link w:val="IntenseQuoteChar"/>
    <w:uiPriority w:val="30"/>
    <w:qFormat/>
    <w:rsid w:val="004F4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34D"/>
    <w:rPr>
      <w:i/>
      <w:iCs/>
      <w:color w:val="0F4761" w:themeColor="accent1" w:themeShade="BF"/>
    </w:rPr>
  </w:style>
  <w:style w:type="character" w:styleId="IntenseReference">
    <w:name w:val="Intense Reference"/>
    <w:basedOn w:val="DefaultParagraphFont"/>
    <w:uiPriority w:val="32"/>
    <w:qFormat/>
    <w:rsid w:val="004F434D"/>
    <w:rPr>
      <w:b/>
      <w:bCs/>
      <w:smallCaps/>
      <w:color w:val="0F4761" w:themeColor="accent1" w:themeShade="BF"/>
      <w:spacing w:val="5"/>
    </w:rPr>
  </w:style>
  <w:style w:type="paragraph" w:styleId="Header">
    <w:name w:val="header"/>
    <w:basedOn w:val="Normal"/>
    <w:link w:val="HeaderChar"/>
    <w:uiPriority w:val="99"/>
    <w:unhideWhenUsed/>
    <w:rsid w:val="00EF33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3D1"/>
  </w:style>
  <w:style w:type="paragraph" w:styleId="Footer">
    <w:name w:val="footer"/>
    <w:basedOn w:val="Normal"/>
    <w:link w:val="FooterChar"/>
    <w:uiPriority w:val="99"/>
    <w:unhideWhenUsed/>
    <w:rsid w:val="00EF33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3D1"/>
  </w:style>
  <w:style w:type="character" w:styleId="Strong">
    <w:name w:val="Strong"/>
    <w:basedOn w:val="DefaultParagraphFont"/>
    <w:uiPriority w:val="22"/>
    <w:qFormat/>
    <w:rsid w:val="00F046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1914</Words>
  <Characters>10914</Characters>
  <Application>Microsoft Office Word</Application>
  <DocSecurity>0</DocSecurity>
  <Lines>90</Lines>
  <Paragraphs>25</Paragraphs>
  <ScaleCrop>false</ScaleCrop>
  <Company/>
  <LinksUpToDate>false</LinksUpToDate>
  <CharactersWithSpaces>12803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Andreea-Rebeca Ardelean (2508016)</dc:creator>
  <cp:keywords/>
  <dc:description/>
  <cp:lastModifiedBy>Andreea-Rebeca Ardelean (2508016)</cp:lastModifiedBy>
  <cp:revision>2</cp:revision>
  <dcterms:created xsi:type="dcterms:W3CDTF">2026-07-24T07:00:00Z</dcterms:created>
  <dcterms:modified xsi:type="dcterms:W3CDTF">2026-07-24T07:00:00Z</dcterms:modified>
</cp:coreProperties>
</file>