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181BE" w14:textId="36A223B5" w:rsidR="00907225" w:rsidRPr="00216697" w:rsidRDefault="00907225" w:rsidP="00C519AA">
      <w:pPr>
        <w:rPr>
          <w:sz w:val="32"/>
          <w:szCs w:val="32"/>
        </w:rPr>
      </w:pPr>
      <w:r w:rsidRPr="00216697">
        <w:rPr>
          <w:b/>
          <w:bCs/>
          <w:sz w:val="32"/>
          <w:szCs w:val="32"/>
          <w:u w:val="single"/>
        </w:rPr>
        <w:t xml:space="preserve">Compare and contrast the scope and approach to outdoor provision in two types of </w:t>
      </w:r>
      <w:r w:rsidR="002602EA" w:rsidRPr="00216697">
        <w:rPr>
          <w:b/>
          <w:bCs/>
          <w:sz w:val="32"/>
          <w:szCs w:val="32"/>
          <w:u w:val="single"/>
        </w:rPr>
        <w:t>settings</w:t>
      </w:r>
    </w:p>
    <w:p w14:paraId="2E4F77F0" w14:textId="6008848A" w:rsidR="00C519AA" w:rsidRPr="00C519AA" w:rsidRDefault="00C519AA" w:rsidP="00C519AA">
      <w:r w:rsidRPr="00C519AA">
        <w:t xml:space="preserve">Outdoor learning refers to structured and unstructured learning experiences beyond the classroom that support children’s cognitive, physical, emotional and social development through engagement with natural and community environments. Within Wales, outdoor learning is recognised as a key pedagogical approach that supports progression towards the four purposes of the Curriculum for Wales, particularly through promoting independence, resilience, wellbeing and engagement with learners’ </w:t>
      </w:r>
      <w:proofErr w:type="spellStart"/>
      <w:r w:rsidRPr="00C519AA">
        <w:t>cynefin</w:t>
      </w:r>
      <w:proofErr w:type="spellEnd"/>
      <w:r w:rsidRPr="00C519AA">
        <w:t>, which refers to a learner’s sense of belonging and connection to the local environment, community, culture and heritage (Welsh Government, 2022). Increasingly, outdoor learning is understood not simply as enrichment but as a central component of effective pedagogy across educational contexts (Estyn, 2023; Natural Resources Wales, 2024).</w:t>
      </w:r>
    </w:p>
    <w:p w14:paraId="39B8F686" w14:textId="77777777" w:rsidR="00C519AA" w:rsidRPr="00C519AA" w:rsidRDefault="00C519AA" w:rsidP="00C519AA">
      <w:r w:rsidRPr="00C519AA">
        <w:t>This essay critically compares the scope and approach to outdoor provision in two contrasting settings: a mainstream primary school and a Pupil Referral Unit (PRU). Although both settings use outdoor learning to support holistic development, their priorities differ significantly due to curriculum expectations and the complex emotional and behavioural needs of PRU learners.</w:t>
      </w:r>
    </w:p>
    <w:p w14:paraId="07D63F56" w14:textId="77777777" w:rsidR="00C519AA" w:rsidRPr="00C519AA" w:rsidRDefault="00C519AA" w:rsidP="00C519AA">
      <w:r w:rsidRPr="00C519AA">
        <w:t>Within a primary school context, outdoor provision supports learning across all six Areas of Learning and Experience (</w:t>
      </w:r>
      <w:proofErr w:type="spellStart"/>
      <w:r w:rsidRPr="00C519AA">
        <w:t>AoLEs</w:t>
      </w:r>
      <w:proofErr w:type="spellEnd"/>
      <w:r w:rsidRPr="00C519AA">
        <w:t xml:space="preserve">) and contributes directly to the four purposes of the Curriculum for Wales (Welsh Government, 2022). Outdoor environments provide authentic contexts for developing literacy, numeracy, scientific inquiry and creativity through experiential learning embedded within curriculum planning (Natural Resources Wales, 2024). However, the extent to which outdoor learning is fully embedded across </w:t>
      </w:r>
      <w:proofErr w:type="spellStart"/>
      <w:r w:rsidRPr="00C519AA">
        <w:t>AoLEs</w:t>
      </w:r>
      <w:proofErr w:type="spellEnd"/>
      <w:r w:rsidRPr="00C519AA">
        <w:t xml:space="preserve"> depends on staff confidence, resources and access to suitable environments, meaning provision varies between schools despite national guidance (Estyn, 2023).</w:t>
      </w:r>
    </w:p>
    <w:p w14:paraId="414872C0" w14:textId="77777777" w:rsidR="00C519AA" w:rsidRPr="00C519AA" w:rsidRDefault="00C519AA" w:rsidP="00C519AA">
      <w:r w:rsidRPr="00C519AA">
        <w:t xml:space="preserve">Outdoor learning supports the Health and Wellbeing </w:t>
      </w:r>
      <w:proofErr w:type="spellStart"/>
      <w:r w:rsidRPr="00C519AA">
        <w:t>AoLE</w:t>
      </w:r>
      <w:proofErr w:type="spellEnd"/>
      <w:r w:rsidRPr="00C519AA">
        <w:t xml:space="preserve"> through physical activity, supported risk-taking and resilience-building experiences such as den-building and cooperative games. These experiences support learners in developing confidence and managing risk effectively (Welsh Government, 2022). From a constructivist perspective, active exploration aligns with Piaget’s (1952) view that children construct knowledge through direct interaction with their environment. Similarly, biodiversity investigations support the Science and Technology </w:t>
      </w:r>
      <w:proofErr w:type="spellStart"/>
      <w:r w:rsidRPr="00C519AA">
        <w:t>AoLE</w:t>
      </w:r>
      <w:proofErr w:type="spellEnd"/>
      <w:r w:rsidRPr="00C519AA">
        <w:t xml:space="preserve"> by encouraging observation and hypothesis testing and reflect Vygotsky’s (1978) emphasis on collaborative learning and guided interaction.</w:t>
      </w:r>
    </w:p>
    <w:p w14:paraId="1367058C" w14:textId="77777777" w:rsidR="00C519AA" w:rsidRPr="00C519AA" w:rsidRDefault="00C519AA" w:rsidP="00C519AA">
      <w:r w:rsidRPr="00C519AA">
        <w:t>Research demonstrates that outdoor learning improves engagement and motivation by providing meaningful contexts for applying knowledge (</w:t>
      </w:r>
      <w:proofErr w:type="spellStart"/>
      <w:r w:rsidRPr="00C519AA">
        <w:t>Rickinson</w:t>
      </w:r>
      <w:proofErr w:type="spellEnd"/>
      <w:r w:rsidRPr="00C519AA">
        <w:t xml:space="preserve"> et al., 2004; Estyn, 2023). These experiences also develop learning dispositions such as curiosity and </w:t>
      </w:r>
      <w:r w:rsidRPr="00C519AA">
        <w:lastRenderedPageBreak/>
        <w:t>persistence, which Carr (2001) identifies as essential for lifelong learning and closely aligned with the four purposes.</w:t>
      </w:r>
    </w:p>
    <w:p w14:paraId="3E7A4AB0" w14:textId="77777777" w:rsidR="009676E9" w:rsidRDefault="009676E9" w:rsidP="00C519AA">
      <w:r w:rsidRPr="009676E9">
        <w:t xml:space="preserve">Outdoor provision also strengthens learners’ connection with their </w:t>
      </w:r>
      <w:proofErr w:type="spellStart"/>
      <w:r w:rsidRPr="009676E9">
        <w:t>cynefin</w:t>
      </w:r>
      <w:proofErr w:type="spellEnd"/>
      <w:r w:rsidRPr="009676E9">
        <w:t xml:space="preserve">. Developing </w:t>
      </w:r>
      <w:proofErr w:type="spellStart"/>
      <w:r w:rsidRPr="009676E9">
        <w:t>cynefin</w:t>
      </w:r>
      <w:proofErr w:type="spellEnd"/>
      <w:r w:rsidRPr="009676E9">
        <w:t xml:space="preserve"> through outdoor experiences helps learners understand their role within their community and environment, supporting progression towards becoming ethical, informed citizens of Wales and the wider world (Welsh Government, 2022; Natural Resources Wales, 2024). </w:t>
      </w:r>
      <w:r w:rsidRPr="009D6159">
        <w:t>Chawla (2020)</w:t>
      </w:r>
      <w:r w:rsidRPr="009676E9">
        <w:t xml:space="preserve"> argues that meaningful childhood experiences in local natural environments are strongly associated with the development of lifelong environmental responsibility and stewardship.</w:t>
      </w:r>
    </w:p>
    <w:p w14:paraId="7B9E3955" w14:textId="6617EA09" w:rsidR="00C519AA" w:rsidRPr="00C519AA" w:rsidRDefault="00C519AA" w:rsidP="00C519AA">
      <w:r w:rsidRPr="00C519AA">
        <w:t>Outdoor learning also supports inclusive practice within primary settings. Learners with Additional Learning Needs often benefit from multisensory environments that allow flexible engagement with curriculum content (Estyn, 2022). These experiences reflect Kolb’s (1984) experiential learning cycle, in which knowledge develops through reflection on experience. However, effective inclusion requires careful planning and appropriate scaffolding to ensure outdoor environments remain accessible for all learners.</w:t>
      </w:r>
    </w:p>
    <w:p w14:paraId="000A78AE" w14:textId="77777777" w:rsidR="00C519AA" w:rsidRPr="00C519AA" w:rsidRDefault="00C519AA" w:rsidP="00C519AA">
      <w:r w:rsidRPr="00C519AA">
        <w:t>Overall, the scope of outdoor provision within primary schools is broad and curriculum-focused, supporting academic progression alongside wellbeing and environmental awareness.</w:t>
      </w:r>
    </w:p>
    <w:p w14:paraId="2CC455FF" w14:textId="77777777" w:rsidR="00C519AA" w:rsidRPr="00C519AA" w:rsidRDefault="00C519AA" w:rsidP="00C519AA">
      <w:r w:rsidRPr="00C519AA">
        <w:t>In contrast, outdoor provision within PRU settings reflects the complex social, emotional and behavioural needs of learners who have often experienced exclusion or disrupted educational pathways. Consequently, outdoor learning frequently serves therapeutic as well as educational purposes. This represents a shift in emphasis compared with mainstream primary provision, where outdoor learning more commonly supports curriculum progression rather than readiness for learning.</w:t>
      </w:r>
    </w:p>
    <w:p w14:paraId="0323E69E" w14:textId="77777777" w:rsidR="00C519AA" w:rsidRPr="00C519AA" w:rsidRDefault="00C519AA" w:rsidP="00C519AA">
      <w:r w:rsidRPr="00C519AA">
        <w:t>Outdoor environments provide opportunities for learners to develop confidence, resilience and emotional regulation through structured physical activity and team-based experiences. Waite (2017) suggests nature-based learning can be particularly effective for learners disengaged from formal education because it provides alternative pathways to achievement beyond traditional classroom expectations. Outdoor provision in PRUs often includes conservation work, bushcraft activities and community engagement projects that promote collaboration and independence while supporting learners as enterprising, creative contributors within the four purposes framework (Welsh Government, 2022).</w:t>
      </w:r>
    </w:p>
    <w:p w14:paraId="1352E762" w14:textId="4AA28DC1" w:rsidR="00C519AA" w:rsidRPr="00C519AA" w:rsidRDefault="00C519AA" w:rsidP="00C519AA">
      <w:r w:rsidRPr="00C519AA">
        <w:t xml:space="preserve">Outdoor learning also supports relationship-building between learners and staff. Attachment theory highlights the importance of secure relationships in supporting engagement with education (Bowlby, 1988). Outdoor contexts can therefore provide emotionally safe environments in which trust may be rebuilt following negative </w:t>
      </w:r>
      <w:r w:rsidRPr="00C519AA">
        <w:lastRenderedPageBreak/>
        <w:t>educational experiences; however, this benefit depends heavily on consistent staff support rather than environment alone. Access to natural environments can also reduce stress and improve emotional wellbeing among learners experiencing behavioural challenges (Louv, 2008). Evidence from alternative provision programmes further suggests sustained outdoor learning improves attendance, motivation and wellbeing among learners at risk of exclusion (Estyn, 20</w:t>
      </w:r>
      <w:r w:rsidR="008B15D3">
        <w:t>21</w:t>
      </w:r>
      <w:r w:rsidRPr="00C519AA">
        <w:t>). Consequently, outdoor provision within PRUs is often prioritised as a strategy for re-engagement rather than curriculum enrichment alone.</w:t>
      </w:r>
    </w:p>
    <w:p w14:paraId="6E8365FB" w14:textId="459CAA23" w:rsidR="00C519AA" w:rsidRPr="00C519AA" w:rsidRDefault="00C519AA" w:rsidP="00C519AA">
      <w:r w:rsidRPr="00C519AA">
        <w:t xml:space="preserve">Although both settings use outdoor learning to support holistic development, their priorities differ significantly. Primary schools primarily use outdoor provision to support curriculum progression across </w:t>
      </w:r>
      <w:proofErr w:type="spellStart"/>
      <w:r w:rsidRPr="00C519AA">
        <w:t>AoLEs</w:t>
      </w:r>
      <w:proofErr w:type="spellEnd"/>
      <w:r w:rsidRPr="00C519AA">
        <w:t xml:space="preserve">, whereas PRUs use outdoor learning to address barriers to engagement with education. Similarly, while both settings promote resilience and independence, in primary schools these skills are typically developed alongside academic outcomes, whereas in PRUs they often serve as prerequisites for participation in learning itself (Waite, 2017). These differences demonstrate that outdoor learning functions differently depending on learner </w:t>
      </w:r>
      <w:r w:rsidR="00A528F0">
        <w:t>needs, institutional context, and curriculum expectations,</w:t>
      </w:r>
      <w:r w:rsidRPr="00C519AA">
        <w:t xml:space="preserve"> rather than representing a uniform pedagogical approach.</w:t>
      </w:r>
    </w:p>
    <w:p w14:paraId="41EC34B0" w14:textId="49776860" w:rsidR="00C519AA" w:rsidRPr="00C519AA" w:rsidRDefault="00C519AA" w:rsidP="00C519AA">
      <w:r w:rsidRPr="00C519AA">
        <w:t xml:space="preserve">The pedagogical approach to outdoor learning within primary schools is increasingly characterised by curriculum integration and experiential learning. The Curriculum for Wales identifies engaging experiences and effective environments as central pedagogical principles, positioning outdoor contexts as essential learning spaces (Welsh Government, 2022). Teachers therefore plan outdoor learning opportunities that explicitly support progression within </w:t>
      </w:r>
      <w:proofErr w:type="spellStart"/>
      <w:r w:rsidRPr="00C519AA">
        <w:t>AoLEs</w:t>
      </w:r>
      <w:proofErr w:type="spellEnd"/>
      <w:r w:rsidRPr="00C519AA">
        <w:t xml:space="preserve">. </w:t>
      </w:r>
      <w:r w:rsidR="000069F5" w:rsidRPr="00A528F0">
        <w:t>Justin Dillon et al. (2022)</w:t>
      </w:r>
      <w:r w:rsidR="000069F5" w:rsidRPr="000069F5">
        <w:t xml:space="preserve"> highlight that well-planned curriculum-embedded outdoor learning improves engagement, conceptual understanding and knowledge transfer across subject areas.</w:t>
      </w:r>
      <w:r w:rsidRPr="00C519AA">
        <w:t xml:space="preserve"> Primary schools also frequently adopt Forest School approaches that promote learner-led exploration and reflective practice; however, their effectiveness depends on staff training and regular access to outdoor spaces.</w:t>
      </w:r>
    </w:p>
    <w:p w14:paraId="1DAE09FF" w14:textId="77777777" w:rsidR="00C519AA" w:rsidRPr="00C519AA" w:rsidRDefault="00C519AA" w:rsidP="00C519AA">
      <w:r w:rsidRPr="00C519AA">
        <w:t>In contrast, the pedagogical approach to outdoor provision within PRUs is typically more flexible and relational. Outdoor learning is often used as part of trauma-informed practice designed to support emotional regulation and rebuild learners’ confidence in education. Smaller group sizes allow staff to personalise outdoor learning experiences according to individual needs. Activities such as team challenges and environmental projects promote cooperation while developing independence and resilience and reflect Kolb’s (1984) experiential learning cycle. Community-based outdoor learning also supports transition readiness and independence, helping learners prepare for future education or employment pathways (Education Endowment Foundation, 2021).</w:t>
      </w:r>
    </w:p>
    <w:p w14:paraId="38C24F1C" w14:textId="77777777" w:rsidR="00C519AA" w:rsidRPr="00C519AA" w:rsidRDefault="00C519AA" w:rsidP="00C519AA">
      <w:r w:rsidRPr="00C519AA">
        <w:t xml:space="preserve">Although both settings draw on experiential learning theory, the purpose of outdoor learning differs significantly. Primary schools emphasise curriculum progression across </w:t>
      </w:r>
      <w:proofErr w:type="spellStart"/>
      <w:r w:rsidRPr="00C519AA">
        <w:lastRenderedPageBreak/>
        <w:t>AoLEs</w:t>
      </w:r>
      <w:proofErr w:type="spellEnd"/>
      <w:r w:rsidRPr="00C519AA">
        <w:t xml:space="preserve"> and the four purposes, whereas PRUs prioritise emotional regulation and readiness to learn. Similarly, while both settings encourage supported risk-taking, primary schools frame risk within structured curriculum experiences, whereas PRUs use risk-based activities to rebuild confidence following disengagement (Waite, 2017).</w:t>
      </w:r>
    </w:p>
    <w:p w14:paraId="78BF4869" w14:textId="230868BC" w:rsidR="00421D5E" w:rsidRDefault="00C519AA">
      <w:r w:rsidRPr="00C519AA">
        <w:t xml:space="preserve">Outdoor learning therefore plays a significant role within both primary schools and PRUs, supporting holistic development through experiential engagement with natural environments. In primary schools, outdoor provision supports progression across </w:t>
      </w:r>
      <w:proofErr w:type="spellStart"/>
      <w:r w:rsidRPr="00C519AA">
        <w:t>AoLEs</w:t>
      </w:r>
      <w:proofErr w:type="spellEnd"/>
      <w:r w:rsidRPr="00C519AA">
        <w:t xml:space="preserve"> and contributes directly to the four purposes of the Curriculum for Wales. In contrast, outdoor provision within PRUs prioritises emotional wellbeing, resilience and re-engagement with education. Approaches therefore differ according to learner context. Primary schools typically embed outdoor learning within structured curriculum planning, whereas PRUs adopt flexible approaches designed to support readiness for learning. Despite these differences, both settings demonstrate that outdoor learning is a powerful pedagogical approach supporting independence, motivation and wellbeing across educational contexts.</w:t>
      </w:r>
      <w:r w:rsidR="00C53783">
        <w:t xml:space="preserve"> </w:t>
      </w:r>
    </w:p>
    <w:p w14:paraId="50BFE48E" w14:textId="77777777" w:rsidR="00AF1C8B" w:rsidRDefault="00AF1C8B"/>
    <w:p w14:paraId="386C657B" w14:textId="77777777" w:rsidR="00AF1C8B" w:rsidRDefault="00AF1C8B"/>
    <w:p w14:paraId="49645525" w14:textId="77777777" w:rsidR="00AF1C8B" w:rsidRDefault="00AF1C8B"/>
    <w:p w14:paraId="4854D4F3" w14:textId="77777777" w:rsidR="00AF1C8B" w:rsidRDefault="00AF1C8B"/>
    <w:p w14:paraId="647AE991" w14:textId="77777777" w:rsidR="00AF1C8B" w:rsidRDefault="00AF1C8B"/>
    <w:p w14:paraId="153C2B74" w14:textId="77777777" w:rsidR="00AF1C8B" w:rsidRDefault="00AF1C8B"/>
    <w:p w14:paraId="17D9B255" w14:textId="77777777" w:rsidR="00AF1C8B" w:rsidRDefault="00AF1C8B"/>
    <w:p w14:paraId="7E203AC2" w14:textId="77777777" w:rsidR="00AF1C8B" w:rsidRDefault="00AF1C8B"/>
    <w:p w14:paraId="4D275C64" w14:textId="77777777" w:rsidR="00AF1C8B" w:rsidRDefault="00AF1C8B"/>
    <w:p w14:paraId="603F7554" w14:textId="77777777" w:rsidR="00AF1C8B" w:rsidRDefault="00AF1C8B"/>
    <w:p w14:paraId="74C0CCF6" w14:textId="77777777" w:rsidR="00AF1C8B" w:rsidRDefault="00AF1C8B"/>
    <w:p w14:paraId="19FB9CED" w14:textId="77777777" w:rsidR="00AF1C8B" w:rsidRDefault="00AF1C8B"/>
    <w:p w14:paraId="3161E660" w14:textId="77777777" w:rsidR="00AF1C8B" w:rsidRDefault="00AF1C8B"/>
    <w:p w14:paraId="253C04AE" w14:textId="77777777" w:rsidR="00AF1C8B" w:rsidRDefault="00AF1C8B"/>
    <w:p w14:paraId="45013214" w14:textId="77777777" w:rsidR="00AF1C8B" w:rsidRDefault="00AF1C8B"/>
    <w:p w14:paraId="26FFDEB3" w14:textId="77777777" w:rsidR="00AF1C8B" w:rsidRDefault="00AF1C8B"/>
    <w:p w14:paraId="00E5A31D" w14:textId="77777777" w:rsidR="00AF1C8B" w:rsidRDefault="00AF1C8B"/>
    <w:p w14:paraId="52010364" w14:textId="77777777" w:rsidR="00AF1C8B" w:rsidRDefault="00AF1C8B"/>
    <w:p w14:paraId="788F74DF" w14:textId="6123FE4E" w:rsidR="00AF1C8B" w:rsidRDefault="00AF1C8B">
      <w:pPr>
        <w:rPr>
          <w:b/>
          <w:bCs/>
          <w:u w:val="single"/>
        </w:rPr>
      </w:pPr>
      <w:r>
        <w:rPr>
          <w:b/>
          <w:bCs/>
          <w:u w:val="single"/>
        </w:rPr>
        <w:t>Reference List</w:t>
      </w:r>
    </w:p>
    <w:p w14:paraId="71F17821" w14:textId="77777777" w:rsidR="00AF1C8B" w:rsidRDefault="00AF1C8B">
      <w:pPr>
        <w:rPr>
          <w:b/>
          <w:bCs/>
          <w:u w:val="single"/>
        </w:rPr>
      </w:pPr>
    </w:p>
    <w:p w14:paraId="0A50F4AF" w14:textId="0C5F93AE" w:rsidR="00AF1C8B" w:rsidRPr="00AF1C8B" w:rsidRDefault="00AF1C8B" w:rsidP="00AF1C8B">
      <w:r w:rsidRPr="00AF1C8B">
        <w:t xml:space="preserve">Bowlby, J. (1988) </w:t>
      </w:r>
      <w:r w:rsidRPr="00AF1C8B">
        <w:rPr>
          <w:i/>
          <w:iCs/>
        </w:rPr>
        <w:t>A secure base: Parent–child attachment and healthy human development</w:t>
      </w:r>
      <w:r w:rsidRPr="00AF1C8B">
        <w:t xml:space="preserve">. </w:t>
      </w:r>
      <w:r w:rsidR="00F34FDE">
        <w:t xml:space="preserve">Available at: </w:t>
      </w:r>
      <w:hyperlink r:id="rId10" w:history="1">
        <w:r w:rsidR="00F34FDE" w:rsidRPr="005557E3">
          <w:rPr>
            <w:rStyle w:val="Hyperlink"/>
          </w:rPr>
          <w:t>https://www.increaseproject.eu/images/DOWNLOADS/IO2/HU/CURR_M4-A13_Bowlby_(EN-only)_20170920_HU_final.pdf</w:t>
        </w:r>
      </w:hyperlink>
      <w:r w:rsidR="00F34FDE">
        <w:t xml:space="preserve"> (Accessed:</w:t>
      </w:r>
      <w:r w:rsidR="00126952">
        <w:t xml:space="preserve"> 18 March 2026)</w:t>
      </w:r>
    </w:p>
    <w:p w14:paraId="5EC78E93" w14:textId="77777777" w:rsidR="00AF1C8B" w:rsidRPr="00AF1C8B" w:rsidRDefault="00AF1C8B" w:rsidP="00AF1C8B">
      <w:r w:rsidRPr="00AF1C8B">
        <w:t xml:space="preserve">Carr, M. (2001) </w:t>
      </w:r>
      <w:r w:rsidRPr="00AF1C8B">
        <w:rPr>
          <w:i/>
          <w:iCs/>
        </w:rPr>
        <w:t>Assessment in early childhood settings: Learning stories</w:t>
      </w:r>
      <w:r w:rsidRPr="00AF1C8B">
        <w:t>. London: Paul Chapman Publishing.</w:t>
      </w:r>
    </w:p>
    <w:p w14:paraId="28B595AA" w14:textId="1E4839EB" w:rsidR="00AF1C8B" w:rsidRPr="00AF1C8B" w:rsidRDefault="00AF1C8B" w:rsidP="00AF1C8B">
      <w:r w:rsidRPr="00AF1C8B">
        <w:t xml:space="preserve">Chawla, L. (2020) ‘Childhood nature connection and constructive hope: A review of research on connecting with nature and coping with environmental loss’, </w:t>
      </w:r>
      <w:r w:rsidRPr="00AF1C8B">
        <w:rPr>
          <w:i/>
          <w:iCs/>
        </w:rPr>
        <w:t>People and Nature</w:t>
      </w:r>
      <w:r w:rsidRPr="00AF1C8B">
        <w:t>, 2(3), pp. 619–642.</w:t>
      </w:r>
      <w:r w:rsidR="00AF6809">
        <w:t xml:space="preserve"> Available at: </w:t>
      </w:r>
      <w:hyperlink r:id="rId11" w:history="1">
        <w:r w:rsidR="00AF6809" w:rsidRPr="005557E3">
          <w:rPr>
            <w:rStyle w:val="Hyperlink"/>
          </w:rPr>
          <w:t>https://www.researchgate.net/publication/343477268_Childhood_nature_connection_and_constructive_hope_A_review_of_research_on_connecting_with_nature_and_coping_with_environmental_loss</w:t>
        </w:r>
      </w:hyperlink>
      <w:r w:rsidR="00AF6809">
        <w:t xml:space="preserve"> (Accessed: </w:t>
      </w:r>
      <w:r w:rsidR="00695F93">
        <w:t xml:space="preserve">26 March 2026) </w:t>
      </w:r>
    </w:p>
    <w:p w14:paraId="593B62B0" w14:textId="77777777" w:rsidR="00AF1C8B" w:rsidRPr="00AF1C8B" w:rsidRDefault="00AF1C8B" w:rsidP="00AF1C8B">
      <w:r w:rsidRPr="00AF1C8B">
        <w:t xml:space="preserve">Dillon, J. et al. (2022) </w:t>
      </w:r>
      <w:r w:rsidRPr="00AF1C8B">
        <w:rPr>
          <w:i/>
          <w:iCs/>
        </w:rPr>
        <w:t>Engaging and learning with the outdoors</w:t>
      </w:r>
      <w:r w:rsidRPr="00AF1C8B">
        <w:t>. London: UCL Institute of Education.</w:t>
      </w:r>
    </w:p>
    <w:p w14:paraId="5645E229" w14:textId="77777777" w:rsidR="00AF1C8B" w:rsidRPr="00AF1C8B" w:rsidRDefault="00AF1C8B" w:rsidP="00AF1C8B">
      <w:r w:rsidRPr="00AF1C8B">
        <w:t xml:space="preserve">Education Endowment Foundation (2021) </w:t>
      </w:r>
      <w:r w:rsidRPr="00AF1C8B">
        <w:rPr>
          <w:i/>
          <w:iCs/>
        </w:rPr>
        <w:t>Alternative provision: Effective practice and outcomes</w:t>
      </w:r>
      <w:r w:rsidRPr="00AF1C8B">
        <w:t xml:space="preserve">. London: Education Endowment Foundation. Available at: </w:t>
      </w:r>
      <w:hyperlink r:id="rId12" w:tgtFrame="_new" w:history="1">
        <w:r w:rsidRPr="00AF1C8B">
          <w:rPr>
            <w:rStyle w:val="Hyperlink"/>
            <w:u w:val="none"/>
          </w:rPr>
          <w:t>https://educationendowmentfoundation.org.uk</w:t>
        </w:r>
      </w:hyperlink>
      <w:r w:rsidRPr="00AF1C8B">
        <w:t xml:space="preserve"> (Accessed: 29 March 2026).</w:t>
      </w:r>
    </w:p>
    <w:p w14:paraId="52023222" w14:textId="56E7EFD7" w:rsidR="00AF1C8B" w:rsidRPr="00AF1C8B" w:rsidRDefault="00AF1C8B" w:rsidP="00AF1C8B">
      <w:r w:rsidRPr="00AF1C8B">
        <w:t xml:space="preserve">Estyn (2019) </w:t>
      </w:r>
      <w:r w:rsidR="004C4F3C">
        <w:rPr>
          <w:i/>
          <w:iCs/>
        </w:rPr>
        <w:t>Engagement work:</w:t>
      </w:r>
      <w:r w:rsidR="00CC7262">
        <w:rPr>
          <w:i/>
          <w:iCs/>
        </w:rPr>
        <w:t xml:space="preserve"> Maintained special school and pupil referral unit (PRU) sector update – Spring 2021. </w:t>
      </w:r>
      <w:r w:rsidRPr="00AF1C8B">
        <w:t>Available at:</w:t>
      </w:r>
      <w:r w:rsidR="004C4F3C">
        <w:t xml:space="preserve"> </w:t>
      </w:r>
      <w:hyperlink r:id="rId13" w:history="1">
        <w:r w:rsidR="004C4F3C" w:rsidRPr="005557E3">
          <w:rPr>
            <w:rStyle w:val="Hyperlink"/>
          </w:rPr>
          <w:t>https://www.estyn.gov.wales/system/files/2021-11/Engagement%20work%20Maintained%20special%20school%20and%20pupil%20referral%20unit%20(PRU)%20sector%20update%20%E2%80%93%20spring%202021.pdf</w:t>
        </w:r>
      </w:hyperlink>
      <w:r w:rsidR="004C4F3C">
        <w:t xml:space="preserve"> </w:t>
      </w:r>
      <w:r w:rsidRPr="00AF1C8B">
        <w:t xml:space="preserve">(Accessed: </w:t>
      </w:r>
      <w:r w:rsidR="000214C5">
        <w:t>20</w:t>
      </w:r>
      <w:r w:rsidRPr="00AF1C8B">
        <w:t xml:space="preserve"> March 2026).</w:t>
      </w:r>
    </w:p>
    <w:p w14:paraId="394A2A21" w14:textId="14012335" w:rsidR="00AF1C8B" w:rsidRPr="00AF1C8B" w:rsidRDefault="00AF1C8B" w:rsidP="00AF1C8B">
      <w:r w:rsidRPr="00AF1C8B">
        <w:t>Estyn (202</w:t>
      </w:r>
      <w:r w:rsidR="00CF5D28">
        <w:t>4</w:t>
      </w:r>
      <w:r w:rsidRPr="00AF1C8B">
        <w:t xml:space="preserve">) </w:t>
      </w:r>
      <w:r w:rsidR="001146CF">
        <w:rPr>
          <w:i/>
          <w:iCs/>
        </w:rPr>
        <w:t>Supplementary guidance: additional learning needs</w:t>
      </w:r>
      <w:r w:rsidRPr="00AF1C8B">
        <w:t xml:space="preserve">. Available at: </w:t>
      </w:r>
      <w:hyperlink r:id="rId14" w:history="1">
        <w:r w:rsidR="008C719E" w:rsidRPr="005557E3">
          <w:rPr>
            <w:rStyle w:val="Hyperlink"/>
          </w:rPr>
          <w:t>https://estyn.gov.wales/app/uploads/2024/11/Supplementary-guidance-additional-learning-needs.pdf</w:t>
        </w:r>
      </w:hyperlink>
      <w:r w:rsidR="008C719E">
        <w:t xml:space="preserve"> </w:t>
      </w:r>
      <w:r w:rsidRPr="00AF1C8B">
        <w:t xml:space="preserve"> (Accessed: </w:t>
      </w:r>
      <w:r w:rsidR="000214C5">
        <w:t>14</w:t>
      </w:r>
      <w:r w:rsidRPr="00AF1C8B">
        <w:t xml:space="preserve"> March 2026).</w:t>
      </w:r>
    </w:p>
    <w:p w14:paraId="6D3EFD6A" w14:textId="49146F55" w:rsidR="00AF1C8B" w:rsidRPr="00AF1C8B" w:rsidRDefault="00AF1C8B" w:rsidP="00AF1C8B">
      <w:r w:rsidRPr="00AF1C8B">
        <w:t xml:space="preserve">Estyn (2023) </w:t>
      </w:r>
      <w:r w:rsidR="0027711E">
        <w:rPr>
          <w:i/>
          <w:iCs/>
        </w:rPr>
        <w:t>The use of the outdoor learning environment to support pupils learning and well-being.</w:t>
      </w:r>
      <w:r w:rsidRPr="00AF1C8B">
        <w:t xml:space="preserve"> Available at: </w:t>
      </w:r>
      <w:hyperlink r:id="rId15" w:history="1">
        <w:r w:rsidR="00EF2750" w:rsidRPr="005557E3">
          <w:rPr>
            <w:rStyle w:val="Hyperlink"/>
          </w:rPr>
          <w:t>https://estyn.gov.wales/improvement-resources/the-use-of-the-outdoor-learning-environment-to-support-pupils-learning-and-well-being/</w:t>
        </w:r>
      </w:hyperlink>
      <w:r w:rsidR="00EF2750">
        <w:t xml:space="preserve"> </w:t>
      </w:r>
      <w:r w:rsidRPr="00AF1C8B">
        <w:t xml:space="preserve"> (Accessed: </w:t>
      </w:r>
      <w:r w:rsidR="00F9290C">
        <w:t>14</w:t>
      </w:r>
      <w:r w:rsidRPr="00AF1C8B">
        <w:t xml:space="preserve"> March 2026).</w:t>
      </w:r>
    </w:p>
    <w:p w14:paraId="248CCC03" w14:textId="335DE2A6" w:rsidR="00AF1C8B" w:rsidRPr="00AF1C8B" w:rsidRDefault="00AF1C8B" w:rsidP="00AF1C8B">
      <w:r w:rsidRPr="00AF1C8B">
        <w:t xml:space="preserve">Kolb, D.A. (1984) </w:t>
      </w:r>
      <w:r w:rsidRPr="00AF1C8B">
        <w:rPr>
          <w:i/>
          <w:iCs/>
        </w:rPr>
        <w:t>Experiential learning: Experience as the source of learning and development</w:t>
      </w:r>
      <w:r w:rsidRPr="00AF1C8B">
        <w:t xml:space="preserve">. </w:t>
      </w:r>
      <w:r w:rsidR="00EA3E31">
        <w:t xml:space="preserve">Available at: </w:t>
      </w:r>
      <w:hyperlink r:id="rId16" w:history="1">
        <w:r w:rsidR="00EA3E31" w:rsidRPr="005557E3">
          <w:rPr>
            <w:rStyle w:val="Hyperlink"/>
          </w:rPr>
          <w:t>https://www.researchgate.net/publication/235701029_Experiential_Learning_Experience_As_The_Source_Of_Learning_And_Development</w:t>
        </w:r>
      </w:hyperlink>
      <w:r w:rsidR="00EA3E31">
        <w:t xml:space="preserve"> (Accessed 14 March 2026) </w:t>
      </w:r>
    </w:p>
    <w:p w14:paraId="487B5659" w14:textId="77777777" w:rsidR="00AF1C8B" w:rsidRPr="00AF1C8B" w:rsidRDefault="00AF1C8B" w:rsidP="00AF1C8B">
      <w:r w:rsidRPr="00AF1C8B">
        <w:t xml:space="preserve">Louv, R. (2008) </w:t>
      </w:r>
      <w:r w:rsidRPr="00AF1C8B">
        <w:rPr>
          <w:i/>
          <w:iCs/>
        </w:rPr>
        <w:t>Last child in the woods: Saving our children from nature-deficit disorder</w:t>
      </w:r>
      <w:r w:rsidRPr="00AF1C8B">
        <w:t>. Chapel Hill, NC: Algonquin Books.</w:t>
      </w:r>
    </w:p>
    <w:p w14:paraId="3EAC6435" w14:textId="38CBC17B" w:rsidR="00AF1C8B" w:rsidRPr="00AF1C8B" w:rsidRDefault="00AF1C8B" w:rsidP="00AF1C8B">
      <w:r w:rsidRPr="00AF1C8B">
        <w:t>Natural Resources Wales (2024)</w:t>
      </w:r>
      <w:r w:rsidR="00DC766A">
        <w:t>.</w:t>
      </w:r>
      <w:r w:rsidRPr="00AF1C8B">
        <w:t xml:space="preserve"> </w:t>
      </w:r>
      <w:r w:rsidR="00BB13B2">
        <w:rPr>
          <w:i/>
          <w:iCs/>
        </w:rPr>
        <w:t>Developing a whole setting approach to learning in</w:t>
      </w:r>
      <w:r w:rsidR="00DC766A">
        <w:rPr>
          <w:i/>
          <w:iCs/>
        </w:rPr>
        <w:t xml:space="preserve">, about and for the natural environment. </w:t>
      </w:r>
      <w:r w:rsidRPr="00AF1C8B">
        <w:t xml:space="preserve">Available at: </w:t>
      </w:r>
      <w:hyperlink r:id="rId17" w:history="1">
        <w:r w:rsidR="00BB13B2" w:rsidRPr="005557E3">
          <w:rPr>
            <w:rStyle w:val="Hyperlink"/>
          </w:rPr>
          <w:t>https://naturalresources.wales/about-us/news-and-blogs/blogs/developing-a-whole-setting-approach-to-learning-in-about-and-for-the-natural-environment/?lang=en</w:t>
        </w:r>
      </w:hyperlink>
      <w:r w:rsidR="00BB13B2">
        <w:t xml:space="preserve"> </w:t>
      </w:r>
      <w:r w:rsidRPr="00AF1C8B">
        <w:t>(Accessed: 29 March 2026).</w:t>
      </w:r>
    </w:p>
    <w:p w14:paraId="768D10DB" w14:textId="21C1678D" w:rsidR="00AF1C8B" w:rsidRPr="00AF1C8B" w:rsidRDefault="00AF1C8B" w:rsidP="00AF1C8B">
      <w:r w:rsidRPr="00AF1C8B">
        <w:t xml:space="preserve">Piaget, J. (1952) </w:t>
      </w:r>
      <w:r w:rsidRPr="00AF1C8B">
        <w:rPr>
          <w:i/>
          <w:iCs/>
        </w:rPr>
        <w:t>The origins of intelligence in children</w:t>
      </w:r>
      <w:r w:rsidRPr="00AF1C8B">
        <w:t xml:space="preserve">. </w:t>
      </w:r>
      <w:r w:rsidR="00FE44A7">
        <w:t xml:space="preserve">Available at: </w:t>
      </w:r>
      <w:hyperlink r:id="rId18" w:history="1">
        <w:r w:rsidR="00FE44A7" w:rsidRPr="005557E3">
          <w:rPr>
            <w:rStyle w:val="Hyperlink"/>
          </w:rPr>
          <w:t>https://psycnet.apa.org/fulltext/2007-10742-000-FRM.pdf</w:t>
        </w:r>
      </w:hyperlink>
      <w:r w:rsidR="00FE44A7">
        <w:t xml:space="preserve"> </w:t>
      </w:r>
      <w:r w:rsidR="00DA4ED3">
        <w:t>(Accessed: 18 March 2026)</w:t>
      </w:r>
    </w:p>
    <w:p w14:paraId="1CCC85F7" w14:textId="77777777" w:rsidR="00AF1C8B" w:rsidRPr="00AF1C8B" w:rsidRDefault="00AF1C8B" w:rsidP="00AF1C8B">
      <w:r w:rsidRPr="00AF1C8B">
        <w:t xml:space="preserve">Rickinson, M. et al. (2004) </w:t>
      </w:r>
      <w:r w:rsidRPr="00AF1C8B">
        <w:rPr>
          <w:i/>
          <w:iCs/>
        </w:rPr>
        <w:t>A review of research on outdoor learning</w:t>
      </w:r>
      <w:r w:rsidRPr="00AF1C8B">
        <w:t>. Shrewsbury: Field Studies Council.</w:t>
      </w:r>
    </w:p>
    <w:p w14:paraId="6D3C177D" w14:textId="1FBA208A" w:rsidR="00AF1C8B" w:rsidRPr="00AF1C8B" w:rsidRDefault="00AF1C8B" w:rsidP="00AF1C8B">
      <w:r w:rsidRPr="00AF1C8B">
        <w:t xml:space="preserve">Vygotsky, L.S. (1978) </w:t>
      </w:r>
      <w:r w:rsidRPr="00AF1C8B">
        <w:rPr>
          <w:i/>
          <w:iCs/>
        </w:rPr>
        <w:t>Mind in society: The development of higher psychological processes</w:t>
      </w:r>
      <w:r w:rsidRPr="00AF1C8B">
        <w:t xml:space="preserve">. </w:t>
      </w:r>
      <w:r w:rsidR="00D17AC1">
        <w:t xml:space="preserve">Available at: </w:t>
      </w:r>
      <w:hyperlink r:id="rId19" w:history="1">
        <w:r w:rsidR="00D17AC1" w:rsidRPr="005557E3">
          <w:rPr>
            <w:rStyle w:val="Hyperlink"/>
          </w:rPr>
          <w:t>https://home.fau.edu/musgrove/web/vygotsky1978.pdf</w:t>
        </w:r>
      </w:hyperlink>
      <w:r w:rsidR="00D17AC1">
        <w:t xml:space="preserve"> (Accessed: </w:t>
      </w:r>
      <w:r w:rsidR="00027329">
        <w:t xml:space="preserve">18 March 2026) </w:t>
      </w:r>
    </w:p>
    <w:p w14:paraId="355E108B" w14:textId="77777777" w:rsidR="00AF1C8B" w:rsidRPr="00AF1C8B" w:rsidRDefault="00AF1C8B" w:rsidP="00AF1C8B">
      <w:r w:rsidRPr="00AF1C8B">
        <w:t xml:space="preserve">Waite, S. (2017) </w:t>
      </w:r>
      <w:r w:rsidRPr="00AF1C8B">
        <w:rPr>
          <w:i/>
          <w:iCs/>
        </w:rPr>
        <w:t>Children learning outside the classroom: From birth to eleven</w:t>
      </w:r>
      <w:r w:rsidRPr="00AF1C8B">
        <w:t xml:space="preserve">. 2nd </w:t>
      </w:r>
      <w:proofErr w:type="spellStart"/>
      <w:r w:rsidRPr="00AF1C8B">
        <w:t>edn</w:t>
      </w:r>
      <w:proofErr w:type="spellEnd"/>
      <w:r w:rsidRPr="00AF1C8B">
        <w:t>. London: Sage.</w:t>
      </w:r>
    </w:p>
    <w:p w14:paraId="74AD8154" w14:textId="4C254B76" w:rsidR="00AF1C8B" w:rsidRPr="00AF1C8B" w:rsidRDefault="00AF1C8B" w:rsidP="00AF1C8B">
      <w:r w:rsidRPr="00AF1C8B">
        <w:t xml:space="preserve">Welsh Government (2022) </w:t>
      </w:r>
      <w:r w:rsidRPr="00AF1C8B">
        <w:rPr>
          <w:i/>
          <w:iCs/>
        </w:rPr>
        <w:t>Curriculum for Wales: Framework guidance</w:t>
      </w:r>
      <w:r w:rsidRPr="00AF1C8B">
        <w:t xml:space="preserve">. Cardiff: Welsh Government. Available at: </w:t>
      </w:r>
      <w:hyperlink r:id="rId20" w:history="1">
        <w:r w:rsidR="00DB1EE9" w:rsidRPr="005557E3">
          <w:rPr>
            <w:rStyle w:val="Hyperlink"/>
          </w:rPr>
          <w:t>https://hwb.gov.wales/curriculum-for-wales/introduction-to-curriculum-for-wales-guidance/</w:t>
        </w:r>
      </w:hyperlink>
      <w:r w:rsidR="00DB1EE9">
        <w:t xml:space="preserve"> </w:t>
      </w:r>
      <w:r w:rsidRPr="00AF1C8B">
        <w:t xml:space="preserve">(Accessed: </w:t>
      </w:r>
      <w:r w:rsidR="00F9290C">
        <w:t>10</w:t>
      </w:r>
      <w:r w:rsidRPr="00AF1C8B">
        <w:t xml:space="preserve"> March 2026).</w:t>
      </w:r>
    </w:p>
    <w:p w14:paraId="5B7590FF" w14:textId="77777777" w:rsidR="00AF1C8B" w:rsidRDefault="00AF1C8B">
      <w:pPr>
        <w:rPr>
          <w:b/>
          <w:bCs/>
          <w:u w:val="single"/>
        </w:rPr>
      </w:pPr>
    </w:p>
    <w:p w14:paraId="21923FA0" w14:textId="77777777" w:rsidR="00027329" w:rsidRDefault="00027329">
      <w:pPr>
        <w:rPr>
          <w:b/>
          <w:bCs/>
          <w:u w:val="single"/>
        </w:rPr>
      </w:pPr>
    </w:p>
    <w:p w14:paraId="407DBE78" w14:textId="77777777" w:rsidR="00027329" w:rsidRDefault="00027329">
      <w:pPr>
        <w:rPr>
          <w:b/>
          <w:bCs/>
          <w:u w:val="single"/>
        </w:rPr>
      </w:pPr>
    </w:p>
    <w:p w14:paraId="418D89E8" w14:textId="77777777" w:rsidR="00027329" w:rsidRDefault="00027329">
      <w:pPr>
        <w:rPr>
          <w:b/>
          <w:bCs/>
          <w:u w:val="single"/>
        </w:rPr>
      </w:pPr>
    </w:p>
    <w:p w14:paraId="39E3B043" w14:textId="77777777" w:rsidR="00027329" w:rsidRDefault="00027329">
      <w:pPr>
        <w:rPr>
          <w:b/>
          <w:bCs/>
          <w:u w:val="single"/>
        </w:rPr>
      </w:pPr>
    </w:p>
    <w:p w14:paraId="347EBF8F" w14:textId="77777777" w:rsidR="00027329" w:rsidRDefault="00027329">
      <w:pPr>
        <w:rPr>
          <w:b/>
          <w:bCs/>
          <w:u w:val="single"/>
        </w:rPr>
      </w:pPr>
    </w:p>
    <w:p w14:paraId="54998821" w14:textId="77777777" w:rsidR="00027329" w:rsidRDefault="00027329">
      <w:pPr>
        <w:rPr>
          <w:b/>
          <w:bCs/>
          <w:u w:val="single"/>
        </w:rPr>
      </w:pPr>
    </w:p>
    <w:p w14:paraId="5343177B" w14:textId="77777777" w:rsidR="00027329" w:rsidRDefault="00027329">
      <w:pPr>
        <w:rPr>
          <w:b/>
          <w:bCs/>
          <w:u w:val="single"/>
        </w:rPr>
      </w:pPr>
    </w:p>
    <w:p w14:paraId="29DEE87A" w14:textId="77777777" w:rsidR="00027329" w:rsidRDefault="00027329">
      <w:pPr>
        <w:rPr>
          <w:b/>
          <w:bCs/>
          <w:u w:val="single"/>
        </w:rPr>
      </w:pPr>
    </w:p>
    <w:p w14:paraId="19482BC8" w14:textId="77777777" w:rsidR="00027329" w:rsidRDefault="00027329">
      <w:pPr>
        <w:rPr>
          <w:b/>
          <w:bCs/>
          <w:u w:val="single"/>
        </w:rPr>
      </w:pPr>
    </w:p>
    <w:p w14:paraId="7BE4C576" w14:textId="77777777" w:rsidR="006A7E8D" w:rsidRDefault="006A7E8D">
      <w:pPr>
        <w:rPr>
          <w:b/>
          <w:bCs/>
          <w:u w:val="single"/>
        </w:rPr>
      </w:pPr>
    </w:p>
    <w:p w14:paraId="68701A80" w14:textId="4FD98F03" w:rsidR="00027329" w:rsidRDefault="007B3C73">
      <w:pPr>
        <w:rPr>
          <w:b/>
          <w:bCs/>
          <w:u w:val="single"/>
        </w:rPr>
      </w:pPr>
      <w:r>
        <w:rPr>
          <w:b/>
          <w:bCs/>
          <w:u w:val="single"/>
        </w:rPr>
        <w:lastRenderedPageBreak/>
        <w:t>Flyer</w:t>
      </w:r>
    </w:p>
    <w:p w14:paraId="591FE446" w14:textId="15C71B69" w:rsidR="00550177" w:rsidRDefault="006A7E8D">
      <w:pPr>
        <w:rPr>
          <w:b/>
          <w:bCs/>
          <w:u w:val="single"/>
        </w:rPr>
      </w:pPr>
      <w:r>
        <w:rPr>
          <w:b/>
          <w:bCs/>
          <w:noProof/>
          <w:u w:val="single"/>
        </w:rPr>
        <w:drawing>
          <wp:inline distT="0" distB="0" distL="0" distR="0" wp14:anchorId="422C5E1A" wp14:editId="12783C2D">
            <wp:extent cx="5722620" cy="8100060"/>
            <wp:effectExtent l="0" t="0" r="0" b="0"/>
            <wp:docPr id="1832669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2620" cy="8100060"/>
                    </a:xfrm>
                    <a:prstGeom prst="rect">
                      <a:avLst/>
                    </a:prstGeom>
                    <a:noFill/>
                    <a:ln>
                      <a:noFill/>
                    </a:ln>
                  </pic:spPr>
                </pic:pic>
              </a:graphicData>
            </a:graphic>
          </wp:inline>
        </w:drawing>
      </w:r>
    </w:p>
    <w:p w14:paraId="696CF47C" w14:textId="77777777" w:rsidR="00550177" w:rsidRDefault="00550177">
      <w:pPr>
        <w:rPr>
          <w:b/>
          <w:bCs/>
          <w:u w:val="single"/>
        </w:rPr>
      </w:pPr>
    </w:p>
    <w:p w14:paraId="6A52E8B0" w14:textId="77777777" w:rsidR="00B503D6" w:rsidRDefault="00B503D6">
      <w:pPr>
        <w:rPr>
          <w:b/>
          <w:bCs/>
          <w:u w:val="single"/>
        </w:rPr>
        <w:sectPr w:rsidR="00B503D6" w:rsidSect="00B503D6">
          <w:footerReference w:type="default" r:id="rId22"/>
          <w:pgSz w:w="11906" w:h="16838" w:code="9"/>
          <w:pgMar w:top="1440" w:right="1440" w:bottom="1440" w:left="1440" w:header="709" w:footer="709" w:gutter="0"/>
          <w:cols w:space="708"/>
          <w:docGrid w:linePitch="360"/>
        </w:sectPr>
      </w:pPr>
    </w:p>
    <w:p w14:paraId="037C1005" w14:textId="77777777" w:rsidR="003727B2" w:rsidRPr="00117C97" w:rsidRDefault="003727B2" w:rsidP="003727B2">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497F2FCF" w14:textId="77777777" w:rsidR="003727B2" w:rsidRPr="00117C97" w:rsidRDefault="003727B2" w:rsidP="003727B2">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5"/>
        <w:gridCol w:w="7255"/>
        <w:gridCol w:w="1651"/>
        <w:gridCol w:w="2739"/>
      </w:tblGrid>
      <w:tr w:rsidR="003727B2" w:rsidRPr="00117C97" w14:paraId="1DB661C4" w14:textId="77777777" w:rsidTr="008B26C0">
        <w:tc>
          <w:tcPr>
            <w:tcW w:w="2268" w:type="dxa"/>
            <w:shd w:val="clear" w:color="auto" w:fill="D9D9D9"/>
          </w:tcPr>
          <w:p w14:paraId="2F5A078B" w14:textId="77777777" w:rsidR="003727B2" w:rsidRPr="00117C97" w:rsidRDefault="003727B2" w:rsidP="008B26C0">
            <w:pPr>
              <w:rPr>
                <w:rFonts w:ascii="Calibri" w:hAnsi="Calibri"/>
                <w:sz w:val="24"/>
                <w:szCs w:val="24"/>
              </w:rPr>
            </w:pPr>
            <w:r w:rsidRPr="00117C97">
              <w:rPr>
                <w:rFonts w:ascii="Calibri" w:hAnsi="Calibri"/>
                <w:b/>
                <w:sz w:val="24"/>
                <w:szCs w:val="24"/>
              </w:rPr>
              <w:t>Location / Activity:</w:t>
            </w:r>
          </w:p>
        </w:tc>
        <w:tc>
          <w:tcPr>
            <w:tcW w:w="7655" w:type="dxa"/>
          </w:tcPr>
          <w:p w14:paraId="2BE03631" w14:textId="77777777" w:rsidR="003727B2" w:rsidRPr="00117C97" w:rsidRDefault="003727B2" w:rsidP="008B26C0">
            <w:pPr>
              <w:rPr>
                <w:rFonts w:ascii="Calibri" w:hAnsi="Calibri"/>
                <w:sz w:val="24"/>
                <w:szCs w:val="24"/>
              </w:rPr>
            </w:pPr>
            <w:r>
              <w:rPr>
                <w:rFonts w:ascii="Calibri" w:hAnsi="Calibri"/>
                <w:sz w:val="24"/>
                <w:szCs w:val="24"/>
              </w:rPr>
              <w:t>Outdoor learning on the estuary foreshore</w:t>
            </w:r>
          </w:p>
        </w:tc>
        <w:tc>
          <w:tcPr>
            <w:tcW w:w="1701" w:type="dxa"/>
            <w:shd w:val="clear" w:color="auto" w:fill="D9D9D9"/>
          </w:tcPr>
          <w:p w14:paraId="538BAF58" w14:textId="77777777" w:rsidR="003727B2" w:rsidRPr="00117C97" w:rsidRDefault="003727B2" w:rsidP="008B26C0">
            <w:pPr>
              <w:rPr>
                <w:rFonts w:ascii="Calibri" w:hAnsi="Calibri"/>
                <w:sz w:val="24"/>
                <w:szCs w:val="24"/>
              </w:rPr>
            </w:pPr>
            <w:r w:rsidRPr="00117C97">
              <w:rPr>
                <w:rFonts w:ascii="Calibri" w:hAnsi="Calibri"/>
                <w:b/>
                <w:sz w:val="24"/>
                <w:szCs w:val="24"/>
              </w:rPr>
              <w:t>Date:</w:t>
            </w:r>
          </w:p>
        </w:tc>
        <w:tc>
          <w:tcPr>
            <w:tcW w:w="2835" w:type="dxa"/>
          </w:tcPr>
          <w:p w14:paraId="30D2AFFE" w14:textId="77777777" w:rsidR="003727B2" w:rsidRPr="00117C97" w:rsidRDefault="003727B2" w:rsidP="008B26C0">
            <w:pPr>
              <w:rPr>
                <w:rFonts w:ascii="Calibri" w:hAnsi="Calibri"/>
                <w:sz w:val="24"/>
                <w:szCs w:val="24"/>
              </w:rPr>
            </w:pPr>
            <w:r>
              <w:rPr>
                <w:rFonts w:ascii="Calibri" w:hAnsi="Calibri"/>
                <w:sz w:val="24"/>
                <w:szCs w:val="24"/>
              </w:rPr>
              <w:t>07/04/2026</w:t>
            </w:r>
          </w:p>
        </w:tc>
      </w:tr>
      <w:tr w:rsidR="003727B2" w:rsidRPr="00117C97" w14:paraId="1017B001" w14:textId="77777777" w:rsidTr="008B26C0">
        <w:tc>
          <w:tcPr>
            <w:tcW w:w="2268" w:type="dxa"/>
            <w:shd w:val="clear" w:color="auto" w:fill="D9D9D9"/>
          </w:tcPr>
          <w:p w14:paraId="78D16268" w14:textId="77777777" w:rsidR="003727B2" w:rsidRPr="00117C97" w:rsidRDefault="003727B2" w:rsidP="008B26C0">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13B9378E" w14:textId="77777777" w:rsidR="003727B2" w:rsidRPr="00CA4B91" w:rsidRDefault="003727B2" w:rsidP="003727B2">
            <w:pPr>
              <w:pStyle w:val="ListParagraph"/>
              <w:numPr>
                <w:ilvl w:val="0"/>
                <w:numId w:val="1"/>
              </w:numPr>
              <w:rPr>
                <w:rFonts w:ascii="Calibri" w:hAnsi="Calibri"/>
                <w:sz w:val="24"/>
                <w:szCs w:val="24"/>
              </w:rPr>
            </w:pPr>
            <w:r>
              <w:rPr>
                <w:rFonts w:ascii="Calibri" w:hAnsi="Calibri"/>
                <w:sz w:val="24"/>
                <w:szCs w:val="24"/>
              </w:rPr>
              <w:t xml:space="preserve">Davies </w:t>
            </w:r>
          </w:p>
        </w:tc>
        <w:tc>
          <w:tcPr>
            <w:tcW w:w="1701" w:type="dxa"/>
            <w:shd w:val="clear" w:color="auto" w:fill="D9D9D9"/>
          </w:tcPr>
          <w:p w14:paraId="4394FB28" w14:textId="77777777" w:rsidR="003727B2" w:rsidRPr="00117C97" w:rsidRDefault="003727B2" w:rsidP="008B26C0">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45740CB1" w14:textId="77777777" w:rsidR="003727B2" w:rsidRPr="00117C97" w:rsidRDefault="003727B2" w:rsidP="008B26C0">
            <w:pPr>
              <w:rPr>
                <w:rFonts w:ascii="Calibri" w:hAnsi="Calibri"/>
                <w:sz w:val="24"/>
                <w:szCs w:val="24"/>
              </w:rPr>
            </w:pPr>
            <w:r>
              <w:rPr>
                <w:rFonts w:ascii="Calibri" w:hAnsi="Calibri"/>
                <w:sz w:val="24"/>
                <w:szCs w:val="24"/>
              </w:rPr>
              <w:t>01/09/2026</w:t>
            </w:r>
          </w:p>
        </w:tc>
      </w:tr>
    </w:tbl>
    <w:p w14:paraId="77C7D7B3" w14:textId="77777777" w:rsidR="003727B2" w:rsidRPr="00117C97" w:rsidRDefault="003727B2" w:rsidP="003727B2">
      <w:pPr>
        <w:spacing w:after="0" w:line="240" w:lineRule="auto"/>
        <w:rPr>
          <w:rFonts w:ascii="Calibri" w:eastAsia="MS Mincho" w:hAnsi="Calibri" w:cs="Times New Roman"/>
          <w:sz w:val="16"/>
          <w:szCs w:val="16"/>
        </w:rPr>
      </w:pPr>
    </w:p>
    <w:p w14:paraId="48AAD6DA" w14:textId="77777777" w:rsidR="003727B2" w:rsidRPr="00117C97" w:rsidRDefault="003727B2" w:rsidP="003727B2">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D014787" w14:textId="77777777" w:rsidR="003727B2" w:rsidRPr="00117C97" w:rsidRDefault="003727B2" w:rsidP="003727B2">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1521FA2F" w14:textId="77777777" w:rsidR="003727B2" w:rsidRPr="00117C97" w:rsidRDefault="003727B2" w:rsidP="003727B2">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51"/>
        <w:gridCol w:w="2962"/>
        <w:gridCol w:w="2350"/>
        <w:gridCol w:w="1002"/>
        <w:gridCol w:w="5604"/>
        <w:gridCol w:w="1132"/>
      </w:tblGrid>
      <w:tr w:rsidR="003727B2" w:rsidRPr="00117C97" w14:paraId="174C60F5" w14:textId="77777777" w:rsidTr="008B26C0">
        <w:trPr>
          <w:cantSplit/>
          <w:tblHeader/>
        </w:trPr>
        <w:tc>
          <w:tcPr>
            <w:tcW w:w="1560" w:type="dxa"/>
            <w:shd w:val="clear" w:color="auto" w:fill="D9D9D9"/>
            <w:vAlign w:val="center"/>
          </w:tcPr>
          <w:p w14:paraId="5387A561" w14:textId="77777777" w:rsidR="003727B2" w:rsidRPr="00136CEA" w:rsidRDefault="003727B2" w:rsidP="008B26C0">
            <w:pPr>
              <w:autoSpaceDE w:val="0"/>
              <w:autoSpaceDN w:val="0"/>
              <w:adjustRightInd w:val="0"/>
              <w:rPr>
                <w:rFonts w:ascii="Calibri" w:hAnsi="Calibri" w:cs="Helvetica"/>
                <w:b/>
                <w:sz w:val="24"/>
                <w:szCs w:val="24"/>
              </w:rPr>
            </w:pPr>
            <w:r w:rsidRPr="00136CEA">
              <w:rPr>
                <w:rFonts w:ascii="Calibri" w:hAnsi="Calibri" w:cs="Helvetica"/>
                <w:b/>
                <w:sz w:val="24"/>
                <w:szCs w:val="24"/>
              </w:rPr>
              <w:t>ACTIVITY</w:t>
            </w:r>
          </w:p>
        </w:tc>
        <w:tc>
          <w:tcPr>
            <w:tcW w:w="2976" w:type="dxa"/>
            <w:shd w:val="clear" w:color="auto" w:fill="D9D9D9"/>
            <w:vAlign w:val="center"/>
          </w:tcPr>
          <w:p w14:paraId="15E05EF2" w14:textId="77777777" w:rsidR="003727B2" w:rsidRPr="00117C97" w:rsidRDefault="003727B2" w:rsidP="008B26C0">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5BA7222F" w14:textId="77777777" w:rsidR="003727B2" w:rsidRPr="00117C97" w:rsidRDefault="003727B2" w:rsidP="008B26C0">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35D74EB9" w14:textId="77777777" w:rsidR="003727B2" w:rsidRPr="00117C97" w:rsidRDefault="003727B2" w:rsidP="008B26C0">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1FF3ED65" w14:textId="77777777" w:rsidR="003727B2" w:rsidRPr="00117C97" w:rsidRDefault="003727B2" w:rsidP="008B26C0">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6BE6FB87" w14:textId="77777777" w:rsidR="003727B2" w:rsidRPr="00117C97" w:rsidRDefault="003727B2" w:rsidP="008B26C0">
            <w:pPr>
              <w:autoSpaceDE w:val="0"/>
              <w:autoSpaceDN w:val="0"/>
              <w:adjustRightInd w:val="0"/>
              <w:jc w:val="center"/>
              <w:rPr>
                <w:rFonts w:ascii="Calibri" w:hAnsi="Calibri" w:cs="Helvetica"/>
                <w:b/>
                <w:sz w:val="24"/>
                <w:szCs w:val="24"/>
              </w:rPr>
            </w:pPr>
            <w:r w:rsidRPr="00117C97">
              <w:rPr>
                <w:rFonts w:ascii="Calibri" w:hAnsi="Calibri" w:cs="Helvetica"/>
                <w:b/>
                <w:sz w:val="24"/>
                <w:szCs w:val="24"/>
              </w:rPr>
              <w:t>Overall risk RATING: L/M/H</w:t>
            </w:r>
          </w:p>
        </w:tc>
      </w:tr>
      <w:tr w:rsidR="003727B2" w:rsidRPr="00117C97" w14:paraId="1F6DE841" w14:textId="77777777" w:rsidTr="008B26C0">
        <w:trPr>
          <w:cantSplit/>
          <w:trHeight w:val="1361"/>
        </w:trPr>
        <w:tc>
          <w:tcPr>
            <w:tcW w:w="1560" w:type="dxa"/>
            <w:vAlign w:val="center"/>
          </w:tcPr>
          <w:p w14:paraId="683054AB" w14:textId="530FABC9" w:rsidR="003727B2" w:rsidRPr="00136CEA" w:rsidRDefault="00136CEA" w:rsidP="008B26C0">
            <w:pPr>
              <w:autoSpaceDE w:val="0"/>
              <w:autoSpaceDN w:val="0"/>
              <w:adjustRightInd w:val="0"/>
              <w:rPr>
                <w:rFonts w:ascii="Calibri" w:hAnsi="Calibri" w:cs="Helvetica"/>
                <w:sz w:val="24"/>
                <w:szCs w:val="24"/>
              </w:rPr>
            </w:pPr>
            <w:r w:rsidRPr="00136CEA">
              <w:rPr>
                <w:rFonts w:ascii="Calibri" w:hAnsi="Calibri" w:cs="Helvetica"/>
                <w:sz w:val="24"/>
                <w:szCs w:val="24"/>
              </w:rPr>
              <w:t>Natural treasure hunt</w:t>
            </w:r>
          </w:p>
        </w:tc>
        <w:tc>
          <w:tcPr>
            <w:tcW w:w="2976" w:type="dxa"/>
            <w:vAlign w:val="center"/>
          </w:tcPr>
          <w:p w14:paraId="2F12F6E8" w14:textId="77777777" w:rsidR="003727B2" w:rsidRPr="00F756B9" w:rsidRDefault="005C2074" w:rsidP="00F756B9">
            <w:pPr>
              <w:pStyle w:val="ListParagraph"/>
              <w:numPr>
                <w:ilvl w:val="0"/>
                <w:numId w:val="3"/>
              </w:numPr>
              <w:autoSpaceDE w:val="0"/>
              <w:autoSpaceDN w:val="0"/>
              <w:adjustRightInd w:val="0"/>
              <w:rPr>
                <w:rFonts w:ascii="Calibri" w:hAnsi="Calibri" w:cs="Helvetica"/>
              </w:rPr>
            </w:pPr>
            <w:r w:rsidRPr="00F756B9">
              <w:rPr>
                <w:rFonts w:ascii="Calibri" w:hAnsi="Calibri" w:cs="Helvetica"/>
              </w:rPr>
              <w:t>Develop curiosity and enquiry skills through exploration of natural materials</w:t>
            </w:r>
            <w:r w:rsidR="00B45A67" w:rsidRPr="00F756B9">
              <w:rPr>
                <w:rFonts w:ascii="Calibri" w:hAnsi="Calibri" w:cs="Helvetica"/>
              </w:rPr>
              <w:t xml:space="preserve">. </w:t>
            </w:r>
          </w:p>
          <w:p w14:paraId="22BA605B" w14:textId="77777777" w:rsidR="00B45A67" w:rsidRPr="00F756B9" w:rsidRDefault="00B45A67" w:rsidP="00F756B9">
            <w:pPr>
              <w:pStyle w:val="ListParagraph"/>
              <w:numPr>
                <w:ilvl w:val="0"/>
                <w:numId w:val="3"/>
              </w:numPr>
              <w:autoSpaceDE w:val="0"/>
              <w:autoSpaceDN w:val="0"/>
              <w:adjustRightInd w:val="0"/>
              <w:rPr>
                <w:rFonts w:ascii="Calibri" w:hAnsi="Calibri" w:cs="Helvetica"/>
              </w:rPr>
            </w:pPr>
            <w:r w:rsidRPr="00F756B9">
              <w:rPr>
                <w:rFonts w:ascii="Calibri" w:hAnsi="Calibri" w:cs="Helvetica"/>
              </w:rPr>
              <w:t xml:space="preserve">Encourages observation, questioning and early scientific thinking. </w:t>
            </w:r>
          </w:p>
          <w:p w14:paraId="212D10C5" w14:textId="5EEFEAB1" w:rsidR="00B45A67" w:rsidRPr="00F756B9" w:rsidRDefault="000B05E4" w:rsidP="00F756B9">
            <w:pPr>
              <w:pStyle w:val="ListParagraph"/>
              <w:numPr>
                <w:ilvl w:val="0"/>
                <w:numId w:val="3"/>
              </w:numPr>
              <w:autoSpaceDE w:val="0"/>
              <w:autoSpaceDN w:val="0"/>
              <w:adjustRightInd w:val="0"/>
              <w:rPr>
                <w:rFonts w:ascii="Calibri" w:hAnsi="Calibri" w:cs="Helvetica"/>
              </w:rPr>
            </w:pPr>
            <w:r w:rsidRPr="00F756B9">
              <w:rPr>
                <w:rFonts w:ascii="Calibri" w:hAnsi="Calibri" w:cs="Helvetica"/>
              </w:rPr>
              <w:t xml:space="preserve">Promotes physical activity and engagement with the outdoor environment. </w:t>
            </w:r>
          </w:p>
        </w:tc>
        <w:tc>
          <w:tcPr>
            <w:tcW w:w="2268" w:type="dxa"/>
            <w:vAlign w:val="center"/>
          </w:tcPr>
          <w:p w14:paraId="58E91794" w14:textId="77777777" w:rsidR="003727B2" w:rsidRPr="00117C97" w:rsidRDefault="003727B2" w:rsidP="008B26C0">
            <w:pPr>
              <w:rPr>
                <w:rFonts w:ascii="Calibri" w:hAnsi="Calibri"/>
                <w:sz w:val="18"/>
                <w:szCs w:val="18"/>
              </w:rPr>
            </w:pPr>
            <w:r>
              <w:rPr>
                <w:rFonts w:ascii="Calibri" w:hAnsi="Calibri" w:cs="Helvetica"/>
                <w:sz w:val="24"/>
                <w:szCs w:val="24"/>
              </w:rPr>
              <w:t>Uneven, slippery ground</w:t>
            </w:r>
          </w:p>
        </w:tc>
        <w:tc>
          <w:tcPr>
            <w:tcW w:w="993" w:type="dxa"/>
            <w:vAlign w:val="center"/>
          </w:tcPr>
          <w:p w14:paraId="013A6395" w14:textId="77777777" w:rsidR="003727B2" w:rsidRDefault="003727B2" w:rsidP="008B26C0">
            <w:pPr>
              <w:autoSpaceDE w:val="0"/>
              <w:autoSpaceDN w:val="0"/>
              <w:adjustRightInd w:val="0"/>
              <w:rPr>
                <w:rFonts w:ascii="Calibri" w:hAnsi="Calibri" w:cs="Helvetica"/>
                <w:sz w:val="24"/>
                <w:szCs w:val="24"/>
              </w:rPr>
            </w:pPr>
            <w:r>
              <w:rPr>
                <w:rFonts w:ascii="Calibri" w:hAnsi="Calibri" w:cs="Helvetica"/>
                <w:sz w:val="24"/>
                <w:szCs w:val="24"/>
              </w:rPr>
              <w:t xml:space="preserve">Young people, </w:t>
            </w:r>
          </w:p>
          <w:p w14:paraId="380B044D" w14:textId="77777777" w:rsidR="003727B2" w:rsidRPr="00117C97" w:rsidRDefault="003727B2" w:rsidP="008B26C0">
            <w:pPr>
              <w:rPr>
                <w:rFonts w:ascii="Calibri" w:hAnsi="Calibri"/>
                <w:sz w:val="18"/>
                <w:szCs w:val="18"/>
              </w:rPr>
            </w:pPr>
            <w:r>
              <w:rPr>
                <w:rFonts w:ascii="Calibri" w:hAnsi="Calibri" w:cs="Helvetica"/>
                <w:sz w:val="24"/>
                <w:szCs w:val="24"/>
              </w:rPr>
              <w:t xml:space="preserve">Adults. </w:t>
            </w:r>
          </w:p>
        </w:tc>
        <w:tc>
          <w:tcPr>
            <w:tcW w:w="5670" w:type="dxa"/>
            <w:vAlign w:val="center"/>
          </w:tcPr>
          <w:p w14:paraId="7C3735DF" w14:textId="77777777" w:rsidR="003727B2" w:rsidRPr="001D18DD" w:rsidRDefault="001216A6" w:rsidP="001D18DD">
            <w:pPr>
              <w:pStyle w:val="ListParagraph"/>
              <w:numPr>
                <w:ilvl w:val="0"/>
                <w:numId w:val="2"/>
              </w:numPr>
              <w:rPr>
                <w:rFonts w:cstheme="minorHAnsi"/>
                <w:sz w:val="18"/>
                <w:szCs w:val="18"/>
              </w:rPr>
            </w:pPr>
            <w:r w:rsidRPr="001D18DD">
              <w:rPr>
                <w:rFonts w:cstheme="minorHAnsi"/>
                <w:sz w:val="18"/>
                <w:szCs w:val="18"/>
              </w:rPr>
              <w:t>Pre-visit site check</w:t>
            </w:r>
          </w:p>
          <w:p w14:paraId="25BD2F04" w14:textId="77777777" w:rsidR="001216A6" w:rsidRPr="001D18DD" w:rsidRDefault="00C86C83" w:rsidP="001D18DD">
            <w:pPr>
              <w:pStyle w:val="ListParagraph"/>
              <w:numPr>
                <w:ilvl w:val="0"/>
                <w:numId w:val="2"/>
              </w:numPr>
              <w:rPr>
                <w:rFonts w:cstheme="minorHAnsi"/>
                <w:sz w:val="18"/>
                <w:szCs w:val="18"/>
              </w:rPr>
            </w:pPr>
            <w:r w:rsidRPr="001D18DD">
              <w:rPr>
                <w:rFonts w:cstheme="minorHAnsi"/>
                <w:sz w:val="18"/>
                <w:szCs w:val="18"/>
              </w:rPr>
              <w:t xml:space="preserve">Appropriate footwear (wellies or trainers with a sturdy grip) </w:t>
            </w:r>
          </w:p>
          <w:p w14:paraId="7D48D520" w14:textId="23581136" w:rsidR="00C86C83" w:rsidRDefault="00C86C83" w:rsidP="001D18DD">
            <w:pPr>
              <w:pStyle w:val="ListParagraph"/>
              <w:numPr>
                <w:ilvl w:val="0"/>
                <w:numId w:val="2"/>
              </w:numPr>
              <w:rPr>
                <w:rFonts w:cstheme="minorHAnsi"/>
                <w:sz w:val="18"/>
                <w:szCs w:val="18"/>
              </w:rPr>
            </w:pPr>
            <w:r w:rsidRPr="001D18DD">
              <w:rPr>
                <w:rFonts w:cstheme="minorHAnsi"/>
                <w:sz w:val="18"/>
                <w:szCs w:val="18"/>
              </w:rPr>
              <w:t xml:space="preserve">Clear physical boundaries </w:t>
            </w:r>
            <w:r w:rsidR="001D18DD" w:rsidRPr="001D18DD">
              <w:rPr>
                <w:rFonts w:cstheme="minorHAnsi"/>
                <w:sz w:val="18"/>
                <w:szCs w:val="18"/>
              </w:rPr>
              <w:t xml:space="preserve">are explained before the task begins. </w:t>
            </w:r>
          </w:p>
          <w:p w14:paraId="7510A18D" w14:textId="65590A79" w:rsidR="001D18DD" w:rsidRDefault="00482D27" w:rsidP="001D18DD">
            <w:pPr>
              <w:pStyle w:val="ListParagraph"/>
              <w:numPr>
                <w:ilvl w:val="0"/>
                <w:numId w:val="2"/>
              </w:numPr>
              <w:rPr>
                <w:rFonts w:cstheme="minorHAnsi"/>
                <w:sz w:val="18"/>
                <w:szCs w:val="18"/>
              </w:rPr>
            </w:pPr>
            <w:r>
              <w:rPr>
                <w:rFonts w:cstheme="minorHAnsi"/>
                <w:sz w:val="18"/>
                <w:szCs w:val="18"/>
              </w:rPr>
              <w:t xml:space="preserve">Adult supervision </w:t>
            </w:r>
            <w:proofErr w:type="gramStart"/>
            <w:r>
              <w:rPr>
                <w:rFonts w:cstheme="minorHAnsi"/>
                <w:sz w:val="18"/>
                <w:szCs w:val="18"/>
              </w:rPr>
              <w:t>at all times</w:t>
            </w:r>
            <w:proofErr w:type="gramEnd"/>
            <w:r>
              <w:rPr>
                <w:rFonts w:cstheme="minorHAnsi"/>
                <w:sz w:val="18"/>
                <w:szCs w:val="18"/>
              </w:rPr>
              <w:t xml:space="preserve">. </w:t>
            </w:r>
          </w:p>
          <w:p w14:paraId="57A5627E" w14:textId="32F7B2DD" w:rsidR="00482D27" w:rsidRDefault="00482D27" w:rsidP="001D18DD">
            <w:pPr>
              <w:pStyle w:val="ListParagraph"/>
              <w:numPr>
                <w:ilvl w:val="0"/>
                <w:numId w:val="2"/>
              </w:numPr>
              <w:rPr>
                <w:rFonts w:cstheme="minorHAnsi"/>
                <w:sz w:val="18"/>
                <w:szCs w:val="18"/>
              </w:rPr>
            </w:pPr>
            <w:r>
              <w:rPr>
                <w:rFonts w:cstheme="minorHAnsi"/>
                <w:sz w:val="18"/>
                <w:szCs w:val="18"/>
              </w:rPr>
              <w:t xml:space="preserve">Safely briefing before the activity. </w:t>
            </w:r>
          </w:p>
          <w:p w14:paraId="7ED29349" w14:textId="7D6CBA3A" w:rsidR="00482D27" w:rsidRDefault="00482D27" w:rsidP="001D18DD">
            <w:pPr>
              <w:pStyle w:val="ListParagraph"/>
              <w:numPr>
                <w:ilvl w:val="0"/>
                <w:numId w:val="2"/>
              </w:numPr>
              <w:rPr>
                <w:rFonts w:cstheme="minorHAnsi"/>
                <w:sz w:val="18"/>
                <w:szCs w:val="18"/>
              </w:rPr>
            </w:pPr>
            <w:r>
              <w:rPr>
                <w:rFonts w:cstheme="minorHAnsi"/>
                <w:sz w:val="18"/>
                <w:szCs w:val="18"/>
              </w:rPr>
              <w:t xml:space="preserve">Encourage walking instead of running. </w:t>
            </w:r>
          </w:p>
          <w:p w14:paraId="30D49BD5" w14:textId="1E87709B" w:rsidR="00482D27" w:rsidRPr="001D18DD" w:rsidRDefault="00482D27" w:rsidP="001D18DD">
            <w:pPr>
              <w:pStyle w:val="ListParagraph"/>
              <w:numPr>
                <w:ilvl w:val="0"/>
                <w:numId w:val="2"/>
              </w:numPr>
              <w:rPr>
                <w:rFonts w:cstheme="minorHAnsi"/>
                <w:sz w:val="18"/>
                <w:szCs w:val="18"/>
              </w:rPr>
            </w:pPr>
            <w:r>
              <w:rPr>
                <w:rFonts w:cstheme="minorHAnsi"/>
                <w:sz w:val="18"/>
                <w:szCs w:val="18"/>
              </w:rPr>
              <w:t xml:space="preserve">Staff to be positioned at various points across the area. </w:t>
            </w:r>
          </w:p>
          <w:p w14:paraId="19B0C828" w14:textId="1F1D5ADB" w:rsidR="001D18DD" w:rsidRPr="000623AC" w:rsidRDefault="001D18DD" w:rsidP="008B26C0">
            <w:pPr>
              <w:ind w:left="360"/>
              <w:contextualSpacing/>
              <w:rPr>
                <w:rFonts w:cstheme="minorHAnsi"/>
                <w:sz w:val="18"/>
                <w:szCs w:val="18"/>
              </w:rPr>
            </w:pPr>
          </w:p>
        </w:tc>
        <w:tc>
          <w:tcPr>
            <w:tcW w:w="1134" w:type="dxa"/>
            <w:vAlign w:val="center"/>
          </w:tcPr>
          <w:p w14:paraId="2DFB5EBB" w14:textId="77777777" w:rsidR="003727B2" w:rsidRPr="00117C97" w:rsidRDefault="003727B2" w:rsidP="008B26C0">
            <w:pPr>
              <w:jc w:val="center"/>
              <w:rPr>
                <w:rFonts w:ascii="Calibri" w:hAnsi="Calibri"/>
                <w:sz w:val="20"/>
                <w:szCs w:val="20"/>
              </w:rPr>
            </w:pPr>
            <w:r>
              <w:rPr>
                <w:rFonts w:ascii="Calibri" w:hAnsi="Calibri"/>
                <w:sz w:val="20"/>
                <w:szCs w:val="20"/>
              </w:rPr>
              <w:t>M</w:t>
            </w:r>
          </w:p>
        </w:tc>
      </w:tr>
      <w:tr w:rsidR="003727B2" w:rsidRPr="00117C97" w14:paraId="749E9CF1" w14:textId="77777777" w:rsidTr="008B26C0">
        <w:trPr>
          <w:cantSplit/>
          <w:trHeight w:val="1284"/>
        </w:trPr>
        <w:tc>
          <w:tcPr>
            <w:tcW w:w="1560" w:type="dxa"/>
            <w:vAlign w:val="center"/>
          </w:tcPr>
          <w:p w14:paraId="5673C18E" w14:textId="2225654D" w:rsidR="003727B2" w:rsidRPr="00117C97" w:rsidRDefault="00136CEA" w:rsidP="008B26C0">
            <w:pPr>
              <w:autoSpaceDE w:val="0"/>
              <w:autoSpaceDN w:val="0"/>
              <w:adjustRightInd w:val="0"/>
              <w:rPr>
                <w:rFonts w:ascii="Calibri" w:hAnsi="Calibri" w:cs="Helvetica"/>
                <w:sz w:val="24"/>
                <w:szCs w:val="24"/>
              </w:rPr>
            </w:pPr>
            <w:r>
              <w:rPr>
                <w:rFonts w:ascii="Calibri" w:hAnsi="Calibri" w:cs="Helvetica"/>
                <w:sz w:val="24"/>
                <w:szCs w:val="24"/>
              </w:rPr>
              <w:lastRenderedPageBreak/>
              <w:t>Group problem-solving tasks (den building</w:t>
            </w:r>
            <w:r w:rsidR="00973FC4">
              <w:rPr>
                <w:rFonts w:ascii="Calibri" w:hAnsi="Calibri" w:cs="Helvetica"/>
                <w:sz w:val="24"/>
                <w:szCs w:val="24"/>
              </w:rPr>
              <w:t>)</w:t>
            </w:r>
          </w:p>
        </w:tc>
        <w:tc>
          <w:tcPr>
            <w:tcW w:w="2976" w:type="dxa"/>
            <w:vAlign w:val="center"/>
          </w:tcPr>
          <w:p w14:paraId="0118A275" w14:textId="77777777" w:rsidR="003727B2" w:rsidRDefault="00AD7365" w:rsidP="00AD7365">
            <w:pPr>
              <w:pStyle w:val="ListParagraph"/>
              <w:numPr>
                <w:ilvl w:val="0"/>
                <w:numId w:val="4"/>
              </w:numPr>
              <w:autoSpaceDE w:val="0"/>
              <w:autoSpaceDN w:val="0"/>
              <w:adjustRightInd w:val="0"/>
              <w:rPr>
                <w:rFonts w:ascii="Calibri" w:hAnsi="Calibri" w:cs="Helvetica"/>
              </w:rPr>
            </w:pPr>
            <w:r>
              <w:rPr>
                <w:rFonts w:ascii="Calibri" w:hAnsi="Calibri" w:cs="Helvetica"/>
              </w:rPr>
              <w:t xml:space="preserve">Develop social interaction, communication and teamwork. </w:t>
            </w:r>
          </w:p>
          <w:p w14:paraId="185BE549" w14:textId="1A53D7E2" w:rsidR="00AD7365" w:rsidRDefault="00AD7365" w:rsidP="00AD7365">
            <w:pPr>
              <w:pStyle w:val="ListParagraph"/>
              <w:numPr>
                <w:ilvl w:val="0"/>
                <w:numId w:val="4"/>
              </w:numPr>
              <w:autoSpaceDE w:val="0"/>
              <w:autoSpaceDN w:val="0"/>
              <w:adjustRightInd w:val="0"/>
              <w:rPr>
                <w:rFonts w:ascii="Calibri" w:hAnsi="Calibri" w:cs="Helvetica"/>
              </w:rPr>
            </w:pPr>
            <w:r>
              <w:rPr>
                <w:rFonts w:ascii="Calibri" w:hAnsi="Calibri" w:cs="Helvetica"/>
              </w:rPr>
              <w:t xml:space="preserve">Encourages problem-solving, creativity and shared </w:t>
            </w:r>
            <w:r w:rsidR="00C045AE">
              <w:rPr>
                <w:rFonts w:ascii="Calibri" w:hAnsi="Calibri" w:cs="Helvetica"/>
              </w:rPr>
              <w:t>decision-making</w:t>
            </w:r>
            <w:r>
              <w:rPr>
                <w:rFonts w:ascii="Calibri" w:hAnsi="Calibri" w:cs="Helvetica"/>
              </w:rPr>
              <w:t xml:space="preserve">. </w:t>
            </w:r>
          </w:p>
          <w:p w14:paraId="31D54A6A" w14:textId="2E8459A2" w:rsidR="00AD7365" w:rsidRPr="00AD7365" w:rsidRDefault="00AD7365" w:rsidP="00AD7365">
            <w:pPr>
              <w:pStyle w:val="ListParagraph"/>
              <w:numPr>
                <w:ilvl w:val="0"/>
                <w:numId w:val="4"/>
              </w:numPr>
              <w:autoSpaceDE w:val="0"/>
              <w:autoSpaceDN w:val="0"/>
              <w:adjustRightInd w:val="0"/>
              <w:rPr>
                <w:rFonts w:ascii="Calibri" w:hAnsi="Calibri" w:cs="Helvetica"/>
              </w:rPr>
            </w:pPr>
            <w:r>
              <w:rPr>
                <w:rFonts w:ascii="Calibri" w:hAnsi="Calibri" w:cs="Helvetica"/>
              </w:rPr>
              <w:t>Builds resilience</w:t>
            </w:r>
            <w:r w:rsidR="00C045AE">
              <w:rPr>
                <w:rFonts w:ascii="Calibri" w:hAnsi="Calibri" w:cs="Helvetica"/>
              </w:rPr>
              <w:t xml:space="preserve"> and cooperation</w:t>
            </w:r>
          </w:p>
        </w:tc>
        <w:tc>
          <w:tcPr>
            <w:tcW w:w="2268" w:type="dxa"/>
            <w:vAlign w:val="center"/>
          </w:tcPr>
          <w:p w14:paraId="4483EE44" w14:textId="77777777" w:rsidR="003727B2" w:rsidRDefault="00B43FA8" w:rsidP="00B43FA8">
            <w:pPr>
              <w:pStyle w:val="ListParagraph"/>
              <w:numPr>
                <w:ilvl w:val="0"/>
                <w:numId w:val="4"/>
              </w:numPr>
              <w:rPr>
                <w:rFonts w:ascii="Calibri" w:hAnsi="Calibri" w:cs="Helvetica"/>
              </w:rPr>
            </w:pPr>
            <w:r>
              <w:rPr>
                <w:rFonts w:ascii="Calibri" w:hAnsi="Calibri" w:cs="Helvetica"/>
              </w:rPr>
              <w:t>Dogs off leads</w:t>
            </w:r>
          </w:p>
          <w:p w14:paraId="7A5DE58C" w14:textId="77777777" w:rsidR="00B43FA8" w:rsidRDefault="00B43FA8" w:rsidP="00B43FA8">
            <w:pPr>
              <w:pStyle w:val="ListParagraph"/>
              <w:numPr>
                <w:ilvl w:val="0"/>
                <w:numId w:val="4"/>
              </w:numPr>
              <w:rPr>
                <w:rFonts w:ascii="Calibri" w:hAnsi="Calibri" w:cs="Helvetica"/>
              </w:rPr>
            </w:pPr>
            <w:r>
              <w:rPr>
                <w:rFonts w:ascii="Calibri" w:hAnsi="Calibri" w:cs="Helvetica"/>
              </w:rPr>
              <w:t>Members of the public</w:t>
            </w:r>
          </w:p>
          <w:p w14:paraId="57076085" w14:textId="77777777" w:rsidR="00B43FA8" w:rsidRDefault="00B43FA8" w:rsidP="00B43FA8">
            <w:pPr>
              <w:pStyle w:val="ListParagraph"/>
              <w:numPr>
                <w:ilvl w:val="0"/>
                <w:numId w:val="4"/>
              </w:numPr>
              <w:rPr>
                <w:rFonts w:ascii="Calibri" w:hAnsi="Calibri" w:cs="Helvetica"/>
              </w:rPr>
            </w:pPr>
            <w:r>
              <w:rPr>
                <w:rFonts w:ascii="Calibri" w:hAnsi="Calibri" w:cs="Helvetica"/>
              </w:rPr>
              <w:t>Lifting/carrying sticks</w:t>
            </w:r>
          </w:p>
          <w:p w14:paraId="5E949893" w14:textId="51335F3D" w:rsidR="00B43FA8" w:rsidRPr="00B43FA8" w:rsidRDefault="00814821" w:rsidP="00B43FA8">
            <w:pPr>
              <w:pStyle w:val="ListParagraph"/>
              <w:numPr>
                <w:ilvl w:val="0"/>
                <w:numId w:val="4"/>
              </w:numPr>
              <w:rPr>
                <w:rFonts w:ascii="Calibri" w:hAnsi="Calibri" w:cs="Helvetica"/>
              </w:rPr>
            </w:pPr>
            <w:r>
              <w:rPr>
                <w:rFonts w:ascii="Calibri" w:hAnsi="Calibri" w:cs="Helvetica"/>
              </w:rPr>
              <w:t xml:space="preserve">Tripping over materials </w:t>
            </w:r>
          </w:p>
        </w:tc>
        <w:tc>
          <w:tcPr>
            <w:tcW w:w="993" w:type="dxa"/>
            <w:vAlign w:val="center"/>
          </w:tcPr>
          <w:p w14:paraId="05AE37F7" w14:textId="77777777" w:rsidR="003727B2" w:rsidRPr="00117C97" w:rsidRDefault="003727B2" w:rsidP="008B26C0">
            <w:pPr>
              <w:autoSpaceDE w:val="0"/>
              <w:autoSpaceDN w:val="0"/>
              <w:adjustRightInd w:val="0"/>
              <w:rPr>
                <w:rFonts w:ascii="Calibri" w:hAnsi="Calibri" w:cs="Helvetica"/>
                <w:sz w:val="24"/>
                <w:szCs w:val="24"/>
              </w:rPr>
            </w:pPr>
            <w:r>
              <w:rPr>
                <w:rFonts w:ascii="Calibri" w:hAnsi="Calibri" w:cs="Helvetica"/>
                <w:sz w:val="24"/>
                <w:szCs w:val="24"/>
              </w:rPr>
              <w:t>Young people, Adults.</w:t>
            </w:r>
          </w:p>
        </w:tc>
        <w:tc>
          <w:tcPr>
            <w:tcW w:w="5670" w:type="dxa"/>
            <w:vAlign w:val="center"/>
          </w:tcPr>
          <w:p w14:paraId="38C96BD5" w14:textId="77777777" w:rsidR="003727B2" w:rsidRDefault="00814821" w:rsidP="00814821">
            <w:pPr>
              <w:pStyle w:val="ListParagraph"/>
              <w:numPr>
                <w:ilvl w:val="0"/>
                <w:numId w:val="5"/>
              </w:numPr>
              <w:autoSpaceDE w:val="0"/>
              <w:autoSpaceDN w:val="0"/>
              <w:adjustRightInd w:val="0"/>
              <w:rPr>
                <w:rFonts w:ascii="Calibri" w:hAnsi="Calibri" w:cs="Helvetica"/>
              </w:rPr>
            </w:pPr>
            <w:r>
              <w:rPr>
                <w:rFonts w:ascii="Calibri" w:hAnsi="Calibri" w:cs="Helvetica"/>
              </w:rPr>
              <w:t>Staff remain vigilant</w:t>
            </w:r>
          </w:p>
          <w:p w14:paraId="02EDC2BD" w14:textId="76F8CC89" w:rsidR="005734B6"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 xml:space="preserve">Group kept within </w:t>
            </w:r>
            <w:r w:rsidR="006C499B">
              <w:rPr>
                <w:rFonts w:ascii="Calibri" w:hAnsi="Calibri" w:cs="Helvetica"/>
              </w:rPr>
              <w:t xml:space="preserve">a </w:t>
            </w:r>
            <w:r>
              <w:rPr>
                <w:rFonts w:ascii="Calibri" w:hAnsi="Calibri" w:cs="Helvetica"/>
              </w:rPr>
              <w:t xml:space="preserve">defined area </w:t>
            </w:r>
          </w:p>
          <w:p w14:paraId="4B7F752B" w14:textId="77777777" w:rsidR="005734B6"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 xml:space="preserve">Children briefed on safe behaviour around public and dogs </w:t>
            </w:r>
          </w:p>
          <w:p w14:paraId="2EC71B1E" w14:textId="77777777" w:rsidR="005734B6"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No lifting of large/heavy branches</w:t>
            </w:r>
          </w:p>
          <w:p w14:paraId="4DD8E0BF" w14:textId="77777777" w:rsidR="005734B6"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Safe handling of materials demonstrated</w:t>
            </w:r>
          </w:p>
          <w:p w14:paraId="2696CF1E" w14:textId="77777777" w:rsidR="005734B6"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 xml:space="preserve">Constant supervision </w:t>
            </w:r>
          </w:p>
          <w:p w14:paraId="2E67E4D8" w14:textId="77777777" w:rsidR="005734B6"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 xml:space="preserve">Clear stop signal established </w:t>
            </w:r>
          </w:p>
          <w:p w14:paraId="07A5BC2D" w14:textId="0C87E7B3" w:rsidR="005734B6" w:rsidRPr="00814821" w:rsidRDefault="005734B6" w:rsidP="00814821">
            <w:pPr>
              <w:pStyle w:val="ListParagraph"/>
              <w:numPr>
                <w:ilvl w:val="0"/>
                <w:numId w:val="5"/>
              </w:numPr>
              <w:autoSpaceDE w:val="0"/>
              <w:autoSpaceDN w:val="0"/>
              <w:adjustRightInd w:val="0"/>
              <w:rPr>
                <w:rFonts w:ascii="Calibri" w:hAnsi="Calibri" w:cs="Helvetica"/>
              </w:rPr>
            </w:pPr>
            <w:r>
              <w:rPr>
                <w:rFonts w:ascii="Calibri" w:hAnsi="Calibri" w:cs="Helvetica"/>
              </w:rPr>
              <w:t xml:space="preserve">First aid kit accessible </w:t>
            </w:r>
          </w:p>
        </w:tc>
        <w:tc>
          <w:tcPr>
            <w:tcW w:w="1134" w:type="dxa"/>
            <w:vAlign w:val="center"/>
          </w:tcPr>
          <w:p w14:paraId="7C30BBB9" w14:textId="77777777" w:rsidR="003727B2" w:rsidRPr="00117C97" w:rsidRDefault="003727B2" w:rsidP="008B26C0">
            <w:pPr>
              <w:jc w:val="center"/>
              <w:rPr>
                <w:rFonts w:ascii="Calibri" w:hAnsi="Calibri"/>
                <w:sz w:val="24"/>
                <w:szCs w:val="24"/>
              </w:rPr>
            </w:pPr>
            <w:r>
              <w:rPr>
                <w:rFonts w:ascii="Calibri" w:hAnsi="Calibri"/>
                <w:sz w:val="24"/>
                <w:szCs w:val="24"/>
              </w:rPr>
              <w:t>L</w:t>
            </w:r>
          </w:p>
        </w:tc>
      </w:tr>
      <w:tr w:rsidR="003727B2" w:rsidRPr="00117C97" w14:paraId="489DCF00" w14:textId="77777777" w:rsidTr="008B26C0">
        <w:trPr>
          <w:cantSplit/>
          <w:trHeight w:val="1274"/>
        </w:trPr>
        <w:tc>
          <w:tcPr>
            <w:tcW w:w="1560" w:type="dxa"/>
            <w:vAlign w:val="center"/>
          </w:tcPr>
          <w:p w14:paraId="03F7C9C2" w14:textId="2C72EBD4" w:rsidR="003727B2" w:rsidRPr="00117C97" w:rsidRDefault="00973FC4" w:rsidP="008B26C0">
            <w:pPr>
              <w:rPr>
                <w:rFonts w:ascii="Cambria" w:hAnsi="Cambria" w:cs="Helvetica"/>
                <w:sz w:val="24"/>
                <w:szCs w:val="24"/>
              </w:rPr>
            </w:pPr>
            <w:r>
              <w:rPr>
                <w:rFonts w:ascii="Calibri" w:hAnsi="Calibri" w:cs="Helvetica"/>
                <w:sz w:val="24"/>
                <w:szCs w:val="24"/>
              </w:rPr>
              <w:t xml:space="preserve">Natural </w:t>
            </w:r>
            <w:r w:rsidR="004D33CE">
              <w:rPr>
                <w:rFonts w:ascii="Calibri" w:hAnsi="Calibri" w:cs="Helvetica"/>
                <w:sz w:val="24"/>
                <w:szCs w:val="24"/>
              </w:rPr>
              <w:t>art</w:t>
            </w:r>
          </w:p>
        </w:tc>
        <w:tc>
          <w:tcPr>
            <w:tcW w:w="2976" w:type="dxa"/>
            <w:vAlign w:val="center"/>
          </w:tcPr>
          <w:p w14:paraId="3D97EFD6" w14:textId="77777777" w:rsidR="003727B2" w:rsidRDefault="009126E8" w:rsidP="009126E8">
            <w:pPr>
              <w:pStyle w:val="ListParagraph"/>
              <w:numPr>
                <w:ilvl w:val="0"/>
                <w:numId w:val="6"/>
              </w:numPr>
              <w:autoSpaceDE w:val="0"/>
              <w:autoSpaceDN w:val="0"/>
              <w:adjustRightInd w:val="0"/>
              <w:rPr>
                <w:rFonts w:cstheme="minorHAnsi"/>
              </w:rPr>
            </w:pPr>
            <w:r>
              <w:rPr>
                <w:rFonts w:cstheme="minorHAnsi"/>
              </w:rPr>
              <w:t>Supports mental well-being and connection to nature</w:t>
            </w:r>
          </w:p>
          <w:p w14:paraId="621CE99A" w14:textId="77777777" w:rsidR="00240266" w:rsidRDefault="00240266" w:rsidP="009126E8">
            <w:pPr>
              <w:pStyle w:val="ListParagraph"/>
              <w:numPr>
                <w:ilvl w:val="0"/>
                <w:numId w:val="6"/>
              </w:numPr>
              <w:autoSpaceDE w:val="0"/>
              <w:autoSpaceDN w:val="0"/>
              <w:adjustRightInd w:val="0"/>
              <w:rPr>
                <w:rFonts w:cstheme="minorHAnsi"/>
              </w:rPr>
            </w:pPr>
            <w:r>
              <w:rPr>
                <w:rFonts w:cstheme="minorHAnsi"/>
              </w:rPr>
              <w:t>Encourages creativity, self-expression and mindfulness</w:t>
            </w:r>
          </w:p>
          <w:p w14:paraId="5403C2DC" w14:textId="19CA1DE0" w:rsidR="00240266" w:rsidRPr="009126E8" w:rsidRDefault="00240266" w:rsidP="009126E8">
            <w:pPr>
              <w:pStyle w:val="ListParagraph"/>
              <w:numPr>
                <w:ilvl w:val="0"/>
                <w:numId w:val="6"/>
              </w:numPr>
              <w:autoSpaceDE w:val="0"/>
              <w:autoSpaceDN w:val="0"/>
              <w:adjustRightInd w:val="0"/>
              <w:rPr>
                <w:rFonts w:cstheme="minorHAnsi"/>
              </w:rPr>
            </w:pPr>
            <w:r>
              <w:rPr>
                <w:rFonts w:cstheme="minorHAnsi"/>
              </w:rPr>
              <w:t>Provides calming sensory experience</w:t>
            </w:r>
            <w:r w:rsidR="00E81FA1">
              <w:rPr>
                <w:rFonts w:cstheme="minorHAnsi"/>
              </w:rPr>
              <w:t>s</w:t>
            </w:r>
          </w:p>
        </w:tc>
        <w:tc>
          <w:tcPr>
            <w:tcW w:w="2268" w:type="dxa"/>
            <w:vAlign w:val="center"/>
          </w:tcPr>
          <w:p w14:paraId="4666639E" w14:textId="77777777" w:rsidR="003727B2" w:rsidRPr="0078622F" w:rsidRDefault="003727B2" w:rsidP="0078622F">
            <w:pPr>
              <w:pStyle w:val="ListParagraph"/>
              <w:numPr>
                <w:ilvl w:val="0"/>
                <w:numId w:val="6"/>
              </w:numPr>
              <w:rPr>
                <w:rFonts w:cstheme="minorHAnsi"/>
              </w:rPr>
            </w:pPr>
            <w:r w:rsidRPr="0078622F">
              <w:rPr>
                <w:rFonts w:cstheme="minorHAnsi"/>
              </w:rPr>
              <w:t>Weather conditions (sun, rain, wind)</w:t>
            </w:r>
          </w:p>
          <w:p w14:paraId="7A0418D2" w14:textId="77777777" w:rsidR="0078622F" w:rsidRPr="0078622F" w:rsidRDefault="0078622F" w:rsidP="0078622F">
            <w:pPr>
              <w:pStyle w:val="ListParagraph"/>
              <w:numPr>
                <w:ilvl w:val="0"/>
                <w:numId w:val="6"/>
              </w:numPr>
              <w:rPr>
                <w:rFonts w:cstheme="minorHAnsi"/>
              </w:rPr>
            </w:pPr>
            <w:r w:rsidRPr="0078622F">
              <w:rPr>
                <w:rFonts w:cstheme="minorHAnsi"/>
              </w:rPr>
              <w:t xml:space="preserve">Exposure (cold/sunburn) </w:t>
            </w:r>
          </w:p>
          <w:p w14:paraId="2F575248" w14:textId="73484035" w:rsidR="0078622F" w:rsidRPr="0078622F" w:rsidRDefault="0078622F" w:rsidP="0078622F">
            <w:pPr>
              <w:pStyle w:val="ListParagraph"/>
              <w:numPr>
                <w:ilvl w:val="0"/>
                <w:numId w:val="6"/>
              </w:numPr>
              <w:rPr>
                <w:rFonts w:cstheme="minorHAnsi"/>
              </w:rPr>
            </w:pPr>
            <w:r w:rsidRPr="0078622F">
              <w:rPr>
                <w:rFonts w:cstheme="minorHAnsi"/>
              </w:rPr>
              <w:t xml:space="preserve">Minor cuts from natural materials </w:t>
            </w:r>
          </w:p>
        </w:tc>
        <w:tc>
          <w:tcPr>
            <w:tcW w:w="993" w:type="dxa"/>
            <w:vAlign w:val="center"/>
          </w:tcPr>
          <w:p w14:paraId="43FC5E43" w14:textId="77777777" w:rsidR="003727B2" w:rsidRPr="000623AC" w:rsidRDefault="003727B2" w:rsidP="008B26C0">
            <w:pPr>
              <w:autoSpaceDE w:val="0"/>
              <w:autoSpaceDN w:val="0"/>
              <w:adjustRightInd w:val="0"/>
              <w:rPr>
                <w:rFonts w:cstheme="minorHAnsi"/>
                <w:sz w:val="24"/>
                <w:szCs w:val="24"/>
              </w:rPr>
            </w:pPr>
            <w:r w:rsidRPr="000623AC">
              <w:rPr>
                <w:rFonts w:cstheme="minorHAnsi"/>
                <w:sz w:val="24"/>
                <w:szCs w:val="24"/>
              </w:rPr>
              <w:t>Young people, Adults.</w:t>
            </w:r>
          </w:p>
        </w:tc>
        <w:tc>
          <w:tcPr>
            <w:tcW w:w="5670" w:type="dxa"/>
            <w:vAlign w:val="center"/>
          </w:tcPr>
          <w:p w14:paraId="2531C702" w14:textId="77777777" w:rsidR="003727B2" w:rsidRDefault="0078622F" w:rsidP="0078622F">
            <w:pPr>
              <w:pStyle w:val="ListParagraph"/>
              <w:numPr>
                <w:ilvl w:val="0"/>
                <w:numId w:val="7"/>
              </w:numPr>
              <w:autoSpaceDE w:val="0"/>
              <w:autoSpaceDN w:val="0"/>
              <w:adjustRightInd w:val="0"/>
              <w:rPr>
                <w:rFonts w:cstheme="minorHAnsi"/>
              </w:rPr>
            </w:pPr>
            <w:r>
              <w:rPr>
                <w:rFonts w:cstheme="minorHAnsi"/>
              </w:rPr>
              <w:t xml:space="preserve">Check the weather forecast </w:t>
            </w:r>
            <w:r w:rsidR="00F90A55">
              <w:rPr>
                <w:rFonts w:cstheme="minorHAnsi"/>
              </w:rPr>
              <w:t>prior to visit</w:t>
            </w:r>
          </w:p>
          <w:p w14:paraId="5506DF38" w14:textId="77777777" w:rsidR="00F90A55" w:rsidRDefault="00F90A55" w:rsidP="0078622F">
            <w:pPr>
              <w:pStyle w:val="ListParagraph"/>
              <w:numPr>
                <w:ilvl w:val="0"/>
                <w:numId w:val="7"/>
              </w:numPr>
              <w:autoSpaceDE w:val="0"/>
              <w:autoSpaceDN w:val="0"/>
              <w:adjustRightInd w:val="0"/>
              <w:rPr>
                <w:rFonts w:cstheme="minorHAnsi"/>
              </w:rPr>
            </w:pPr>
            <w:r>
              <w:rPr>
                <w:rFonts w:cstheme="minorHAnsi"/>
              </w:rPr>
              <w:t xml:space="preserve">Ensure suitable clothing (coats, waterproofs, hats) </w:t>
            </w:r>
          </w:p>
          <w:p w14:paraId="01EF8A48" w14:textId="77777777" w:rsidR="00F90A55" w:rsidRDefault="00F90A55" w:rsidP="0078622F">
            <w:pPr>
              <w:pStyle w:val="ListParagraph"/>
              <w:numPr>
                <w:ilvl w:val="0"/>
                <w:numId w:val="7"/>
              </w:numPr>
              <w:autoSpaceDE w:val="0"/>
              <w:autoSpaceDN w:val="0"/>
              <w:adjustRightInd w:val="0"/>
              <w:rPr>
                <w:rFonts w:cstheme="minorHAnsi"/>
              </w:rPr>
            </w:pPr>
            <w:r>
              <w:rPr>
                <w:rFonts w:cstheme="minorHAnsi"/>
              </w:rPr>
              <w:t xml:space="preserve">Sunscreen </w:t>
            </w:r>
            <w:r w:rsidR="00142ED8">
              <w:rPr>
                <w:rFonts w:cstheme="minorHAnsi"/>
              </w:rPr>
              <w:t xml:space="preserve">applied where appropriate </w:t>
            </w:r>
          </w:p>
          <w:p w14:paraId="497D9F0A" w14:textId="77777777" w:rsidR="00142ED8" w:rsidRDefault="00142ED8" w:rsidP="0078622F">
            <w:pPr>
              <w:pStyle w:val="ListParagraph"/>
              <w:numPr>
                <w:ilvl w:val="0"/>
                <w:numId w:val="7"/>
              </w:numPr>
              <w:autoSpaceDE w:val="0"/>
              <w:autoSpaceDN w:val="0"/>
              <w:adjustRightInd w:val="0"/>
              <w:rPr>
                <w:rFonts w:cstheme="minorHAnsi"/>
              </w:rPr>
            </w:pPr>
            <w:r>
              <w:rPr>
                <w:rFonts w:cstheme="minorHAnsi"/>
              </w:rPr>
              <w:t xml:space="preserve">Limit duration if conditions change </w:t>
            </w:r>
          </w:p>
          <w:p w14:paraId="556C6346" w14:textId="3B834E5B" w:rsidR="00142ED8" w:rsidRDefault="00142ED8" w:rsidP="0078622F">
            <w:pPr>
              <w:pStyle w:val="ListParagraph"/>
              <w:numPr>
                <w:ilvl w:val="0"/>
                <w:numId w:val="7"/>
              </w:numPr>
              <w:autoSpaceDE w:val="0"/>
              <w:autoSpaceDN w:val="0"/>
              <w:adjustRightInd w:val="0"/>
              <w:rPr>
                <w:rFonts w:cstheme="minorHAnsi"/>
              </w:rPr>
            </w:pPr>
            <w:r>
              <w:rPr>
                <w:rFonts w:cstheme="minorHAnsi"/>
              </w:rPr>
              <w:t>Choose sheltered areas where possible</w:t>
            </w:r>
          </w:p>
          <w:p w14:paraId="518F1300" w14:textId="77777777" w:rsidR="00142ED8" w:rsidRDefault="00142ED8" w:rsidP="0078622F">
            <w:pPr>
              <w:pStyle w:val="ListParagraph"/>
              <w:numPr>
                <w:ilvl w:val="0"/>
                <w:numId w:val="7"/>
              </w:numPr>
              <w:autoSpaceDE w:val="0"/>
              <w:autoSpaceDN w:val="0"/>
              <w:adjustRightInd w:val="0"/>
              <w:rPr>
                <w:rFonts w:cstheme="minorHAnsi"/>
              </w:rPr>
            </w:pPr>
            <w:r>
              <w:rPr>
                <w:rFonts w:cstheme="minorHAnsi"/>
              </w:rPr>
              <w:t xml:space="preserve">Remind children not to use sharp objects </w:t>
            </w:r>
          </w:p>
          <w:p w14:paraId="43B8FC78" w14:textId="53CEB1AE" w:rsidR="00142ED8" w:rsidRPr="0078622F" w:rsidRDefault="00142ED8" w:rsidP="0078622F">
            <w:pPr>
              <w:pStyle w:val="ListParagraph"/>
              <w:numPr>
                <w:ilvl w:val="0"/>
                <w:numId w:val="7"/>
              </w:numPr>
              <w:autoSpaceDE w:val="0"/>
              <w:autoSpaceDN w:val="0"/>
              <w:adjustRightInd w:val="0"/>
              <w:rPr>
                <w:rFonts w:cstheme="minorHAnsi"/>
              </w:rPr>
            </w:pPr>
            <w:r>
              <w:rPr>
                <w:rFonts w:cstheme="minorHAnsi"/>
              </w:rPr>
              <w:t xml:space="preserve">Basic first aid available </w:t>
            </w:r>
          </w:p>
        </w:tc>
        <w:tc>
          <w:tcPr>
            <w:tcW w:w="1134" w:type="dxa"/>
            <w:vAlign w:val="center"/>
          </w:tcPr>
          <w:p w14:paraId="2ABA500D" w14:textId="77777777" w:rsidR="003727B2" w:rsidRPr="00117C97" w:rsidRDefault="003727B2" w:rsidP="008B26C0">
            <w:pPr>
              <w:jc w:val="center"/>
              <w:rPr>
                <w:rFonts w:ascii="Cambria" w:hAnsi="Cambria"/>
                <w:sz w:val="24"/>
                <w:szCs w:val="24"/>
              </w:rPr>
            </w:pPr>
            <w:r>
              <w:rPr>
                <w:rFonts w:ascii="Cambria" w:hAnsi="Cambria"/>
                <w:sz w:val="24"/>
                <w:szCs w:val="24"/>
              </w:rPr>
              <w:t>M</w:t>
            </w:r>
          </w:p>
        </w:tc>
      </w:tr>
      <w:tr w:rsidR="003727B2" w:rsidRPr="00117C97" w14:paraId="4BDE7223" w14:textId="77777777" w:rsidTr="008B26C0">
        <w:trPr>
          <w:cantSplit/>
          <w:trHeight w:val="1277"/>
        </w:trPr>
        <w:tc>
          <w:tcPr>
            <w:tcW w:w="1560" w:type="dxa"/>
            <w:vAlign w:val="center"/>
          </w:tcPr>
          <w:p w14:paraId="691B0964" w14:textId="1A9E60F7" w:rsidR="003727B2" w:rsidRPr="00117C97" w:rsidRDefault="004D33CE" w:rsidP="008B26C0">
            <w:pPr>
              <w:rPr>
                <w:rFonts w:ascii="Calibri" w:hAnsi="Calibri" w:cs="Helvetica"/>
                <w:sz w:val="24"/>
                <w:szCs w:val="24"/>
              </w:rPr>
            </w:pPr>
            <w:r>
              <w:rPr>
                <w:rFonts w:ascii="Calibri" w:hAnsi="Calibri" w:cs="Helvetica"/>
                <w:sz w:val="24"/>
                <w:szCs w:val="24"/>
              </w:rPr>
              <w:t>Map reading</w:t>
            </w:r>
          </w:p>
        </w:tc>
        <w:tc>
          <w:tcPr>
            <w:tcW w:w="2976" w:type="dxa"/>
            <w:vAlign w:val="center"/>
          </w:tcPr>
          <w:p w14:paraId="2430A89D" w14:textId="77777777" w:rsidR="003727B2" w:rsidRDefault="00142ED8" w:rsidP="00142ED8">
            <w:pPr>
              <w:pStyle w:val="ListParagraph"/>
              <w:numPr>
                <w:ilvl w:val="0"/>
                <w:numId w:val="8"/>
              </w:numPr>
              <w:autoSpaceDE w:val="0"/>
              <w:autoSpaceDN w:val="0"/>
              <w:adjustRightInd w:val="0"/>
              <w:rPr>
                <w:rFonts w:ascii="Calibri" w:hAnsi="Calibri" w:cs="Helvetica"/>
              </w:rPr>
            </w:pPr>
            <w:r>
              <w:rPr>
                <w:rFonts w:ascii="Calibri" w:hAnsi="Calibri" w:cs="Helvetica"/>
              </w:rPr>
              <w:t>Develop independence and navigation skills</w:t>
            </w:r>
          </w:p>
          <w:p w14:paraId="354F3035" w14:textId="77777777" w:rsidR="00142ED8" w:rsidRDefault="00142ED8" w:rsidP="00142ED8">
            <w:pPr>
              <w:pStyle w:val="ListParagraph"/>
              <w:numPr>
                <w:ilvl w:val="0"/>
                <w:numId w:val="8"/>
              </w:numPr>
              <w:autoSpaceDE w:val="0"/>
              <w:autoSpaceDN w:val="0"/>
              <w:adjustRightInd w:val="0"/>
              <w:rPr>
                <w:rFonts w:ascii="Calibri" w:hAnsi="Calibri" w:cs="Helvetica"/>
              </w:rPr>
            </w:pPr>
            <w:r>
              <w:rPr>
                <w:rFonts w:ascii="Calibri" w:hAnsi="Calibri" w:cs="Helvetica"/>
              </w:rPr>
              <w:t>Builds confidence, spatial awareness and decision-making</w:t>
            </w:r>
          </w:p>
          <w:p w14:paraId="4D442BBA" w14:textId="48798D5A" w:rsidR="00142ED8" w:rsidRPr="00142ED8" w:rsidRDefault="00142ED8" w:rsidP="00142ED8">
            <w:pPr>
              <w:pStyle w:val="ListParagraph"/>
              <w:numPr>
                <w:ilvl w:val="0"/>
                <w:numId w:val="8"/>
              </w:numPr>
              <w:autoSpaceDE w:val="0"/>
              <w:autoSpaceDN w:val="0"/>
              <w:adjustRightInd w:val="0"/>
              <w:rPr>
                <w:rFonts w:ascii="Calibri" w:hAnsi="Calibri" w:cs="Helvetica"/>
              </w:rPr>
            </w:pPr>
            <w:r>
              <w:rPr>
                <w:rFonts w:ascii="Calibri" w:hAnsi="Calibri" w:cs="Helvetica"/>
              </w:rPr>
              <w:t xml:space="preserve">Encourages responsibility and </w:t>
            </w:r>
            <w:r w:rsidR="00B109F4">
              <w:rPr>
                <w:rFonts w:ascii="Calibri" w:hAnsi="Calibri" w:cs="Helvetica"/>
              </w:rPr>
              <w:t>problem-solving</w:t>
            </w:r>
          </w:p>
        </w:tc>
        <w:tc>
          <w:tcPr>
            <w:tcW w:w="2268" w:type="dxa"/>
            <w:vAlign w:val="center"/>
          </w:tcPr>
          <w:p w14:paraId="7FD56947" w14:textId="77777777" w:rsidR="003727B2" w:rsidRDefault="00B109F4" w:rsidP="00B109F4">
            <w:pPr>
              <w:pStyle w:val="ListParagraph"/>
              <w:numPr>
                <w:ilvl w:val="0"/>
                <w:numId w:val="8"/>
              </w:numPr>
              <w:rPr>
                <w:rFonts w:ascii="Calibri" w:hAnsi="Calibri" w:cs="Helvetica"/>
              </w:rPr>
            </w:pPr>
            <w:r>
              <w:rPr>
                <w:rFonts w:ascii="Calibri" w:hAnsi="Calibri" w:cs="Helvetica"/>
              </w:rPr>
              <w:t xml:space="preserve">Getting lost or separated from the group </w:t>
            </w:r>
          </w:p>
          <w:p w14:paraId="4B4E55B6" w14:textId="36C7DA48" w:rsidR="00B109F4" w:rsidRPr="00B109F4" w:rsidRDefault="00B109F4" w:rsidP="00B109F4">
            <w:pPr>
              <w:pStyle w:val="ListParagraph"/>
              <w:numPr>
                <w:ilvl w:val="0"/>
                <w:numId w:val="8"/>
              </w:numPr>
              <w:rPr>
                <w:rFonts w:ascii="Calibri" w:hAnsi="Calibri" w:cs="Helvetica"/>
              </w:rPr>
            </w:pPr>
            <w:r>
              <w:rPr>
                <w:rFonts w:ascii="Calibri" w:hAnsi="Calibri" w:cs="Helvetica"/>
              </w:rPr>
              <w:t xml:space="preserve">Uneven terrain </w:t>
            </w:r>
          </w:p>
        </w:tc>
        <w:tc>
          <w:tcPr>
            <w:tcW w:w="993" w:type="dxa"/>
            <w:vAlign w:val="center"/>
          </w:tcPr>
          <w:p w14:paraId="173B0A7A" w14:textId="77777777" w:rsidR="003727B2" w:rsidRPr="00117C97" w:rsidRDefault="003727B2" w:rsidP="008B26C0">
            <w:pPr>
              <w:autoSpaceDE w:val="0"/>
              <w:autoSpaceDN w:val="0"/>
              <w:adjustRightInd w:val="0"/>
              <w:rPr>
                <w:rFonts w:ascii="Calibri" w:hAnsi="Calibri" w:cs="Helvetica"/>
                <w:sz w:val="24"/>
                <w:szCs w:val="24"/>
              </w:rPr>
            </w:pPr>
            <w:r>
              <w:rPr>
                <w:rFonts w:ascii="Calibri" w:hAnsi="Calibri" w:cs="Helvetica"/>
                <w:sz w:val="24"/>
                <w:szCs w:val="24"/>
              </w:rPr>
              <w:t>Young People</w:t>
            </w:r>
          </w:p>
        </w:tc>
        <w:tc>
          <w:tcPr>
            <w:tcW w:w="5670" w:type="dxa"/>
            <w:vAlign w:val="center"/>
          </w:tcPr>
          <w:p w14:paraId="7D0D3DEF" w14:textId="77777777" w:rsidR="003727B2" w:rsidRDefault="00B109F4" w:rsidP="00B109F4">
            <w:pPr>
              <w:pStyle w:val="ListParagraph"/>
              <w:numPr>
                <w:ilvl w:val="0"/>
                <w:numId w:val="9"/>
              </w:numPr>
              <w:autoSpaceDE w:val="0"/>
              <w:autoSpaceDN w:val="0"/>
              <w:adjustRightInd w:val="0"/>
              <w:rPr>
                <w:rFonts w:ascii="Calibri" w:hAnsi="Calibri" w:cs="Helvetica"/>
              </w:rPr>
            </w:pPr>
            <w:r>
              <w:rPr>
                <w:rFonts w:ascii="Calibri" w:hAnsi="Calibri" w:cs="Helvetica"/>
              </w:rPr>
              <w:t>Clearly defined boundaries explained and visually reinforced</w:t>
            </w:r>
          </w:p>
          <w:p w14:paraId="30E513FD" w14:textId="77777777" w:rsidR="00A72EE5" w:rsidRDefault="00A72EE5" w:rsidP="00B109F4">
            <w:pPr>
              <w:pStyle w:val="ListParagraph"/>
              <w:numPr>
                <w:ilvl w:val="0"/>
                <w:numId w:val="9"/>
              </w:numPr>
              <w:autoSpaceDE w:val="0"/>
              <w:autoSpaceDN w:val="0"/>
              <w:adjustRightInd w:val="0"/>
              <w:rPr>
                <w:rFonts w:ascii="Calibri" w:hAnsi="Calibri" w:cs="Helvetica"/>
              </w:rPr>
            </w:pPr>
            <w:r>
              <w:rPr>
                <w:rFonts w:ascii="Calibri" w:hAnsi="Calibri" w:cs="Helvetica"/>
              </w:rPr>
              <w:t xml:space="preserve">Frequent headcounts </w:t>
            </w:r>
          </w:p>
          <w:p w14:paraId="3B6A9AF8" w14:textId="77777777" w:rsidR="00A72EE5" w:rsidRDefault="00A72EE5" w:rsidP="00B109F4">
            <w:pPr>
              <w:pStyle w:val="ListParagraph"/>
              <w:numPr>
                <w:ilvl w:val="0"/>
                <w:numId w:val="9"/>
              </w:numPr>
              <w:autoSpaceDE w:val="0"/>
              <w:autoSpaceDN w:val="0"/>
              <w:adjustRightInd w:val="0"/>
              <w:rPr>
                <w:rFonts w:ascii="Calibri" w:hAnsi="Calibri" w:cs="Helvetica"/>
              </w:rPr>
            </w:pPr>
            <w:r>
              <w:rPr>
                <w:rFonts w:ascii="Calibri" w:hAnsi="Calibri" w:cs="Helvetica"/>
              </w:rPr>
              <w:t xml:space="preserve">High-visibility jackets to be worn </w:t>
            </w:r>
          </w:p>
          <w:p w14:paraId="35EBCE8D" w14:textId="77777777" w:rsidR="00A72EE5" w:rsidRDefault="00A72EE5" w:rsidP="00B109F4">
            <w:pPr>
              <w:pStyle w:val="ListParagraph"/>
              <w:numPr>
                <w:ilvl w:val="0"/>
                <w:numId w:val="9"/>
              </w:numPr>
              <w:autoSpaceDE w:val="0"/>
              <w:autoSpaceDN w:val="0"/>
              <w:adjustRightInd w:val="0"/>
              <w:rPr>
                <w:rFonts w:ascii="Calibri" w:hAnsi="Calibri" w:cs="Helvetica"/>
              </w:rPr>
            </w:pPr>
            <w:r>
              <w:rPr>
                <w:rFonts w:ascii="Calibri" w:hAnsi="Calibri" w:cs="Helvetica"/>
              </w:rPr>
              <w:t xml:space="preserve">Staff positioned at key boundary points </w:t>
            </w:r>
          </w:p>
          <w:p w14:paraId="445DFAAE" w14:textId="77777777" w:rsidR="00A72EE5" w:rsidRDefault="00A72EE5" w:rsidP="00B109F4">
            <w:pPr>
              <w:pStyle w:val="ListParagraph"/>
              <w:numPr>
                <w:ilvl w:val="0"/>
                <w:numId w:val="9"/>
              </w:numPr>
              <w:autoSpaceDE w:val="0"/>
              <w:autoSpaceDN w:val="0"/>
              <w:adjustRightInd w:val="0"/>
              <w:rPr>
                <w:rFonts w:ascii="Calibri" w:hAnsi="Calibri" w:cs="Helvetica"/>
              </w:rPr>
            </w:pPr>
            <w:r>
              <w:rPr>
                <w:rFonts w:ascii="Calibri" w:hAnsi="Calibri" w:cs="Helvetica"/>
              </w:rPr>
              <w:t>Simple, age-appropriate maps used</w:t>
            </w:r>
          </w:p>
          <w:p w14:paraId="4F0D9840" w14:textId="56569570" w:rsidR="00A72EE5" w:rsidRPr="00B109F4" w:rsidRDefault="00A72EE5" w:rsidP="00B109F4">
            <w:pPr>
              <w:pStyle w:val="ListParagraph"/>
              <w:numPr>
                <w:ilvl w:val="0"/>
                <w:numId w:val="9"/>
              </w:numPr>
              <w:autoSpaceDE w:val="0"/>
              <w:autoSpaceDN w:val="0"/>
              <w:adjustRightInd w:val="0"/>
              <w:rPr>
                <w:rFonts w:ascii="Calibri" w:hAnsi="Calibri" w:cs="Helvetica"/>
              </w:rPr>
            </w:pPr>
            <w:r>
              <w:rPr>
                <w:rFonts w:ascii="Calibri" w:hAnsi="Calibri" w:cs="Helvetica"/>
              </w:rPr>
              <w:t xml:space="preserve">Recall signal agreed </w:t>
            </w:r>
          </w:p>
        </w:tc>
        <w:tc>
          <w:tcPr>
            <w:tcW w:w="1134" w:type="dxa"/>
            <w:vAlign w:val="center"/>
          </w:tcPr>
          <w:p w14:paraId="5796B65A" w14:textId="6451A03F" w:rsidR="00321249" w:rsidRPr="00117C97" w:rsidRDefault="003727B2" w:rsidP="00321249">
            <w:pPr>
              <w:jc w:val="center"/>
              <w:rPr>
                <w:rFonts w:ascii="Calibri" w:hAnsi="Calibri"/>
                <w:sz w:val="24"/>
                <w:szCs w:val="24"/>
              </w:rPr>
            </w:pPr>
            <w:r>
              <w:rPr>
                <w:rFonts w:ascii="Calibri" w:hAnsi="Calibri"/>
                <w:sz w:val="24"/>
                <w:szCs w:val="24"/>
              </w:rPr>
              <w:t>M</w:t>
            </w:r>
          </w:p>
        </w:tc>
      </w:tr>
    </w:tbl>
    <w:p w14:paraId="3054F0E5" w14:textId="77777777" w:rsidR="00827C88" w:rsidRDefault="00827C88">
      <w:pPr>
        <w:rPr>
          <w:b/>
          <w:bCs/>
          <w:u w:val="single"/>
        </w:rPr>
        <w:sectPr w:rsidR="00827C88" w:rsidSect="00142898">
          <w:pgSz w:w="16838" w:h="11906" w:orient="landscape" w:code="9"/>
          <w:pgMar w:top="1440" w:right="1440" w:bottom="1440" w:left="1440" w:header="709" w:footer="709" w:gutter="0"/>
          <w:cols w:space="708"/>
          <w:docGrid w:linePitch="360"/>
        </w:sectPr>
      </w:pPr>
    </w:p>
    <w:p w14:paraId="59E0B912" w14:textId="77777777" w:rsidR="00D87279" w:rsidRPr="00924382" w:rsidRDefault="00D87279" w:rsidP="00D87279">
      <w:pPr>
        <w:jc w:val="center"/>
        <w:rPr>
          <w:b/>
          <w:bCs/>
          <w:sz w:val="32"/>
          <w:szCs w:val="32"/>
          <w:u w:val="single"/>
        </w:rPr>
      </w:pPr>
      <w:r w:rsidRPr="00924382">
        <w:rPr>
          <w:b/>
          <w:bCs/>
          <w:sz w:val="32"/>
          <w:szCs w:val="32"/>
          <w:u w:val="single"/>
        </w:rPr>
        <w:lastRenderedPageBreak/>
        <w:t>The Role of Outdoor Learning</w:t>
      </w:r>
    </w:p>
    <w:p w14:paraId="1D28D443" w14:textId="77777777" w:rsidR="00D87279" w:rsidRPr="00B74497" w:rsidRDefault="00D87279" w:rsidP="00D87279">
      <w:r w:rsidRPr="00B74497">
        <w:t>Outdoor education encompasses structured learning experiences conducted outside the traditional classroom that involve direct interaction with natural environments. As a pedagogical approach, outdoor education emphasises experiential activities, exploration, and reflection. In contrast, outdoor learning refers to the application of these practices across diverse settings, including school grounds, parks, woodland areas, and community spaces. Rather than constituting a separate subject, outdoor education generally serves as a context for delivering various curriculum areas and fostering holistic development (Learning Through Landscapes, 2023).</w:t>
      </w:r>
    </w:p>
    <w:p w14:paraId="4263D752" w14:textId="77777777" w:rsidR="00D87279" w:rsidRPr="00B74497" w:rsidRDefault="00D87279" w:rsidP="00D87279">
      <w:r w:rsidRPr="00B74497">
        <w:t>The concept of learning through interaction with nature has historical and theoretical roots in the work of Friedrich Froebel, the founder of the kindergarten movement. Froebel emphasised the importance of play, exploration, and engagement with the natural environment as fundamental aspects of children’s development. He believed that children learn most effectively through active participation and direct experience with their surroundings (Froebel, 1887). Froebel’s educational philosophy continues to influence contemporary approaches to outdoor learning, particularly in early childhood education and experiential learning pedagogies.</w:t>
      </w:r>
    </w:p>
    <w:p w14:paraId="0B483B7C" w14:textId="77777777" w:rsidR="00D87279" w:rsidRPr="00B74497" w:rsidRDefault="00D87279" w:rsidP="00D87279">
      <w:r w:rsidRPr="00B74497">
        <w:t>The Institute for Outdoor Learning (2023) defines outdoor learning as a planned approach that utilises outdoor environments to develop knowledge, skills, and attitudes. This definition underscores that outdoor learning is an intentional educational practice rather than merely time spent outside the classroom. Similarly, Beames, Higgins and Nicol (2019) describe outdoor education as experiential learning, wherein learners participate in activities to develop practical understanding through direct experience.</w:t>
      </w:r>
    </w:p>
    <w:p w14:paraId="6D1EBD97" w14:textId="77777777" w:rsidR="00D87279" w:rsidRPr="00B74497" w:rsidRDefault="00D87279" w:rsidP="00D87279">
      <w:r w:rsidRPr="00B74497">
        <w:t>The significance of outdoor education has grown in contemporary educational contexts, largely due to increasing concerns regarding children’s physical health, mental well-being, and reduced access to natural environments. Natural England (2016) highlights that outdoor learning offers opportunities for children to engage with nature, cultivate curiosity and enhance environmental understanding. Outdoor settings provide experiences that are difficult to replicate indoors, enabling learners to investigate real-world phenomena and apply theoretical knowledge in authentic contexts.</w:t>
      </w:r>
    </w:p>
    <w:p w14:paraId="4F5C36E0" w14:textId="77777777" w:rsidR="00D87279" w:rsidRPr="00B74497" w:rsidRDefault="00D87279" w:rsidP="00D87279">
      <w:r w:rsidRPr="00B74497">
        <w:t>In Wales, outdoor learning is closely aligned with the objectives of the Curriculum for Wales, which advocates learner-centred approaches and the development of well-rounded individuals. The Welsh Government (2020) asserts that learning experiences should foster the development of ambitious, capable learners; enterprising, creative contributors; ethical, informed citizens; and healthy, confident individuals. Outdoor education supports these aims by promoting collaboration, environmental awareness and active engagement in learning.</w:t>
      </w:r>
    </w:p>
    <w:p w14:paraId="1FB2144E" w14:textId="77777777" w:rsidR="00D87279" w:rsidRPr="00B74497" w:rsidRDefault="00D87279" w:rsidP="00D87279">
      <w:r w:rsidRPr="00B74497">
        <w:lastRenderedPageBreak/>
        <w:t>Although definitions of outdoor education differ somewhat among organisations and researchers, most highlight the importance of experiential learning, connection with nature and holistic child development. As a result, outdoor education is increasingly recognised as a valuable approach for supporting children’s learning, well-being and personal growth.</w:t>
      </w:r>
    </w:p>
    <w:p w14:paraId="0DC1C184" w14:textId="77777777" w:rsidR="00D87279" w:rsidRPr="00B74497" w:rsidRDefault="00D87279" w:rsidP="00D87279">
      <w:r w:rsidRPr="00B74497">
        <w:t>A prominent theme in the literature on outdoor education is its impact on children’s physical and mental well-being. Growing concerns about sedentary lifestyles and insufficient physical activity have heightened interest in outdoor play and learning. Outdoor environments inherently promote movement and exploration, offering children opportunities for physical activity such as walking, climbing, building and investigating natural features (Natural England, 2016).</w:t>
      </w:r>
    </w:p>
    <w:p w14:paraId="5D299BE0" w14:textId="77777777" w:rsidR="00D87279" w:rsidRPr="00B74497" w:rsidRDefault="00D87279" w:rsidP="00D87279">
      <w:r w:rsidRPr="00B74497">
        <w:t xml:space="preserve">Recent research continues to support earlier findings regarding the benefits of outdoor learning for children’s well-being. Mann et al. (2022) report that regular engagement with natural environments is associated with improvements in children’s emotional regulation, attention and overall psychological well-being. Similarly, </w:t>
      </w:r>
      <w:proofErr w:type="spellStart"/>
      <w:r w:rsidRPr="00B74497">
        <w:t>Dankiw</w:t>
      </w:r>
      <w:proofErr w:type="spellEnd"/>
      <w:r w:rsidRPr="00B74497">
        <w:t xml:space="preserve"> et al. (2020) highlight that outdoor learning contributes positively to physical activity levels, engagement and social interaction among primary-aged learners. Natural environments often create a calming atmosphere, enabling learners to feel more relaxed and engaged in educational activities, while less restrictive settings may facilitate greater self-expression and the development of positive peer relationships.</w:t>
      </w:r>
    </w:p>
    <w:p w14:paraId="204DBFB0" w14:textId="77777777" w:rsidR="00D87279" w:rsidRPr="00B74497" w:rsidRDefault="00D87279" w:rsidP="00D87279">
      <w:r w:rsidRPr="00B74497">
        <w:t xml:space="preserve">However, researchers emphasise that the benefits of outdoor learning are contingent upon the structure and leadership of activities. </w:t>
      </w:r>
      <w:proofErr w:type="spellStart"/>
      <w:r w:rsidRPr="00B74497">
        <w:t>Rickinson</w:t>
      </w:r>
      <w:proofErr w:type="spellEnd"/>
      <w:r w:rsidRPr="00B74497">
        <w:t xml:space="preserve"> et al. (2004) and Waite (2017) argue that simply relocating lessons outdoors does not automatically improve outcomes. Instead, teachers must design purposeful activities that connect outdoor experiences with specific learning objectives. Barriers such as limited resources, time constraints and safety concerns may also hinder schools from fully utilising outdoor learning opportunities. Despite these challenges, substantial evidence indicates that outdoor education can support children’s physical health and emotional well-being when implemented effectively within structured learning contexts.</w:t>
      </w:r>
    </w:p>
    <w:p w14:paraId="61BF7836" w14:textId="7718F925" w:rsidR="00D87279" w:rsidRPr="00B74497" w:rsidRDefault="00D87279" w:rsidP="00D87279">
      <w:r w:rsidRPr="00B74497">
        <w:t>Another significant theme in the outdoor education literature is its role in fostering environmental awareness and sustainability. As global environmental challenges intensify, educators increasingly recognise the importance of helping children understand their relationship with the natural world and develop environmentally responsible attitudes from an early age (UNESCO, 202</w:t>
      </w:r>
      <w:r w:rsidR="00046DED">
        <w:t>5</w:t>
      </w:r>
      <w:r w:rsidRPr="00B74497">
        <w:t>). Outdoor learning enables learners to observe environmental processes firsthand and develop a deeper understanding of ecosystems and biodiversity.</w:t>
      </w:r>
    </w:p>
    <w:p w14:paraId="09738F14" w14:textId="77777777" w:rsidR="00D87279" w:rsidRPr="00B74497" w:rsidRDefault="00D87279" w:rsidP="00D87279">
      <w:r w:rsidRPr="00B74497">
        <w:t xml:space="preserve">Waite (2017) suggests that experiences in natural environments can cultivate a sense of connection between children and the environment. Regular engagement with outdoor </w:t>
      </w:r>
      <w:r w:rsidRPr="00B74497">
        <w:lastRenderedPageBreak/>
        <w:t>spaces increases the likelihood that learners will develop curiosity and respect for nature. This connection may serve as the foundation for environmentally responsible attitudes and behaviours in later life.</w:t>
      </w:r>
    </w:p>
    <w:p w14:paraId="3144B57A" w14:textId="77777777" w:rsidR="00D87279" w:rsidRPr="00B74497" w:rsidRDefault="00D87279" w:rsidP="00D87279">
      <w:r w:rsidRPr="00B74497">
        <w:t>Forest School approaches exemplify how outdoor education can promote environmental awareness. These programmes involve regular learning sessions in woodland environments, where children participate in activities such as nature exploration, shelter building and problem-solving. Such experiences aim to develop confidence, independence and a deeper appreciation of the natural environment (Knight, 2016; Leather, 2018). Through direct interaction with natural materials and ecosystems, learners acquire practical understanding of environmental concepts.</w:t>
      </w:r>
    </w:p>
    <w:p w14:paraId="33F2E08A" w14:textId="77777777" w:rsidR="00D87279" w:rsidRPr="00B74497" w:rsidRDefault="00D87279" w:rsidP="00D87279">
      <w:r w:rsidRPr="00B74497">
        <w:t>Outdoor learning can enhance the relevance of environmental education by connecting theoretical knowledge with real-life experiences. For instance, science topics such as plant growth, weather patterns or habitats can be investigated through direct observation in outdoor settings. Learning Through Landscapes (2023) highlights that school grounds and local green spaces serve as valuable resources for teaching environmental topics across the curriculum. However, Chawla (2020) notes that raising environmental awareness alone does not necessarily ensure sustainable behaviour. Consistent reinforcement through curriculum integration and community engagement is required to promote long-term behavioural change.</w:t>
      </w:r>
    </w:p>
    <w:p w14:paraId="079CD219" w14:textId="77777777" w:rsidR="00D87279" w:rsidRPr="00B74497" w:rsidRDefault="00D87279" w:rsidP="00D87279">
      <w:r w:rsidRPr="00B74497">
        <w:t>Outdoor education is closely linked to experiential learning, which emphasises learning through direct experience and reflection. Outdoor environments are particularly well suited to experiential learning, as they offer diverse and unpredictable experiences that stimulate curiosity and exploration (Beames, Higgins and Nicol, 2019). These principles closely reflect Froebel’s view that children construct knowledge through active engagement with their surroundings.</w:t>
      </w:r>
    </w:p>
    <w:p w14:paraId="2634B2E5" w14:textId="77777777" w:rsidR="00D87279" w:rsidRPr="00B74497" w:rsidRDefault="00D87279" w:rsidP="00D87279">
      <w:r w:rsidRPr="00B74497">
        <w:t>A key benefit of outdoor education is its capacity to foster transferable skills. Activities such as group problem-solving tasks, outdoor investigations and collaborative challenges encourage learners to communicate, cooperate and make decisions collectively. These experiences can strengthen teamwork, leadership and communication skills.</w:t>
      </w:r>
    </w:p>
    <w:p w14:paraId="4EBFBC4E" w14:textId="61C28C2D" w:rsidR="00D87279" w:rsidRPr="00B74497" w:rsidRDefault="00D87279" w:rsidP="00D87279">
      <w:r w:rsidRPr="00B74497">
        <w:t xml:space="preserve">Outdoor learning may also support personal development by fostering resilience and confidence. Knight (2016) notes that outdoor environments enable children to take appropriate risks and confront new challenges, thereby promoting independence and self-belief. Activities such as navigating unfamiliar environments or completing physical tasks can provide learners with a sense of achievement and personal growth. In addition, </w:t>
      </w:r>
      <w:r w:rsidR="00F94405">
        <w:t>Youth Link Scotland</w:t>
      </w:r>
      <w:r w:rsidRPr="00B74497">
        <w:t xml:space="preserve"> (</w:t>
      </w:r>
      <w:proofErr w:type="spellStart"/>
      <w:r w:rsidR="00F94405">
        <w:t>n.d</w:t>
      </w:r>
      <w:proofErr w:type="spellEnd"/>
      <w:r w:rsidRPr="00B74497">
        <w:t>) emphasises that outdoor learning can stimulate curiosity and creativity, thereby helping learners develop critical thinking skills essential for lifelong learning.</w:t>
      </w:r>
    </w:p>
    <w:p w14:paraId="2CA7D042" w14:textId="77777777" w:rsidR="00D87279" w:rsidRPr="00B74497" w:rsidRDefault="00D87279" w:rsidP="00D87279">
      <w:r w:rsidRPr="00B74497">
        <w:lastRenderedPageBreak/>
        <w:t xml:space="preserve">However, some researchers suggest that the benefits of experiential learning do not automatically translate into improved academic attainment. Hattie (2009) highlights that learning experiences must be explicitly connected to clear learning intentions and supported through reflection </w:t>
      </w:r>
      <w:proofErr w:type="gramStart"/>
      <w:r w:rsidRPr="00B74497">
        <w:t>in order to</w:t>
      </w:r>
      <w:proofErr w:type="gramEnd"/>
      <w:r w:rsidRPr="00B74497">
        <w:t xml:space="preserve"> influence measurable academic outcomes. This reinforces the importance of careful planning and structured reflection within outdoor learning activities.</w:t>
      </w:r>
    </w:p>
    <w:p w14:paraId="3CED383D" w14:textId="77777777" w:rsidR="00D87279" w:rsidRDefault="00D87279" w:rsidP="00D87279">
      <w:r w:rsidRPr="00B74497">
        <w:t>Overall, outdoor education offers valuable opportunities to develop social, personal and cognitive skills through experiential learning. When effectively integrated into the curriculum, outdoor learning can enhance engagement and support the development of essential life skills.</w:t>
      </w:r>
    </w:p>
    <w:p w14:paraId="739341D7" w14:textId="77777777" w:rsidR="00D87279" w:rsidRPr="00B74497" w:rsidRDefault="00D87279" w:rsidP="00D87279">
      <w:r w:rsidRPr="00B74497">
        <w:t>Despite the growing recognition of the benefits of outdoor education, the successful implementation of outdoor learning within primary school contexts depends largely on teacher confidence, training and institutional support. Research suggests that although many educators value outdoor learning, they may feel uncertain about how to integrate it effectively into curriculum planning. Waite (2017) highlights that teachers often report concerns relating to time pressures, curriculum demands and risk management responsibilities, which can limit opportunities for regular outdoor learning experiences. These findings suggest that professional development and whole-school approaches are important factors in supporting sustained outdoor learning practice.</w:t>
      </w:r>
    </w:p>
    <w:p w14:paraId="7351D275" w14:textId="77777777" w:rsidR="00D87279" w:rsidRPr="00B74497" w:rsidRDefault="00D87279" w:rsidP="00D87279">
      <w:r w:rsidRPr="00B74497">
        <w:t>Similarly, Marchant et al. (2019) examined curriculum-based outdoor learning within primary schools in South Wales and found that regular outdoor lessons were associated with improvements in learner engagement, behaviour and well-being. Importantly, teachers involved in the study reported increased confidence in delivering outdoor learning when it was embedded within school planning structures rather than treated as an occasional enrichment activity. This demonstrates that outdoor education is most effective when it forms part of a consistent pedagogical approach rather than isolated learning experiences.</w:t>
      </w:r>
    </w:p>
    <w:p w14:paraId="2503CE5D" w14:textId="77777777" w:rsidR="00D87279" w:rsidRPr="00B74497" w:rsidRDefault="00D87279" w:rsidP="00D87279">
      <w:r w:rsidRPr="00B74497">
        <w:t>Access to suitable outdoor environments can also influence the extent to which outdoor learning is implemented in schools. Although woodland environments are often associated with approaches such as Forest School, Learning Through Landscapes (2023) emphasises that school grounds themselves can provide meaningful opportunities for outdoor learning across curriculum areas. This is particularly relevant within urban school contexts where access to natural woodland spaces may be limited. The use of playgrounds, gardens and local community green spaces can therefore support inclusive access to outdoor learning opportunities for all learners.</w:t>
      </w:r>
    </w:p>
    <w:p w14:paraId="1E108301" w14:textId="77777777" w:rsidR="00D87279" w:rsidRPr="00B74497" w:rsidRDefault="00D87279" w:rsidP="00D87279">
      <w:r w:rsidRPr="00B74497">
        <w:t xml:space="preserve">In addition to environmental access, curriculum alignment plays an important role in ensuring outdoor learning supports academic development. Beames, Higgins and Nicol (2019) argue that outdoor learning is most effective when experiences are clearly </w:t>
      </w:r>
      <w:r w:rsidRPr="00B74497">
        <w:lastRenderedPageBreak/>
        <w:t>connected to curriculum objectives and followed by opportunities for reflection. This supports Hattie’s (2009) assertion that structured teaching approaches and explicit learning intentions are necessary for experiential activities to positively influence attainment outcomes. Consequently, outdoor education should not be viewed as separate from classroom learning, but rather as an integrated pedagogical approach that enhances both academic achievement and holistic development</w:t>
      </w:r>
    </w:p>
    <w:p w14:paraId="7A7E8032" w14:textId="77777777" w:rsidR="00D87279" w:rsidRPr="00B74497" w:rsidRDefault="00D87279" w:rsidP="00D87279">
      <w:r w:rsidRPr="00B74497">
        <w:t>Outdoor education plays a significant role in contemporary education by offering learning experiences that extend beyond the traditional classroom. The literature identifies several key themes that demonstrate the value of outdoor learning, including its contributions to physical and mental well-being, environmental awareness and the development of transferable skills. Outdoor environments promote physical activity and exploration, which can improve physical health and reduce sedentary behaviour while also supporting emotional well-being through calming and restorative experiences. Outdoor education also offers opportunities to develop environmental awareness and promote sustainability through direct interaction with natural environments. Furthermore, experiential learning activities encourage learners to collaborate, communicate and solve problems in meaningful real-life contexts.</w:t>
      </w:r>
    </w:p>
    <w:p w14:paraId="6208FF44" w14:textId="77777777" w:rsidR="00D87279" w:rsidRPr="00B74497" w:rsidRDefault="00D87279" w:rsidP="00D87279">
      <w:r w:rsidRPr="00B74497">
        <w:t>Within the Curriculum for Wales, outdoor education aligns closely with the emphasis on holistic, learner-centred education. The Welsh Government (2020) underscores the importance of developing learners who are confident, creative and capable of contributing positively to society.</w:t>
      </w:r>
    </w:p>
    <w:p w14:paraId="0E35AC59" w14:textId="77777777" w:rsidR="00D87279" w:rsidRPr="00B74497" w:rsidRDefault="00D87279" w:rsidP="00D87279">
      <w:r w:rsidRPr="00B74497">
        <w:t>In summary, outdoor education constitutes a powerful approach to teaching and learning that supports the holistic development of children. By integrating experiential learning, environmental awareness and opportunities for personal growth, outdoor education can enrich the curriculum and provide meaningful learning experiences.</w:t>
      </w:r>
    </w:p>
    <w:p w14:paraId="3C21813D" w14:textId="77777777" w:rsidR="00D87279" w:rsidRDefault="00D87279" w:rsidP="00D87279"/>
    <w:p w14:paraId="6C67CFC2" w14:textId="77777777" w:rsidR="00D87279" w:rsidRDefault="00D87279" w:rsidP="00D87279"/>
    <w:p w14:paraId="659A3412" w14:textId="77777777" w:rsidR="00D87279" w:rsidRDefault="00D87279" w:rsidP="00D87279"/>
    <w:p w14:paraId="67CC7446" w14:textId="77777777" w:rsidR="00D87279" w:rsidRDefault="00D87279" w:rsidP="00D87279"/>
    <w:p w14:paraId="29958430" w14:textId="77777777" w:rsidR="00D87279" w:rsidRDefault="00D87279" w:rsidP="00D87279"/>
    <w:p w14:paraId="67FCE859" w14:textId="77777777" w:rsidR="00D87279" w:rsidRDefault="00D87279" w:rsidP="00D87279"/>
    <w:p w14:paraId="6C6A8009" w14:textId="77777777" w:rsidR="00D87279" w:rsidRDefault="00D87279" w:rsidP="00D87279"/>
    <w:p w14:paraId="4CBED414" w14:textId="77777777" w:rsidR="00D87279" w:rsidRDefault="00D87279" w:rsidP="00D87279"/>
    <w:p w14:paraId="4FDAD204" w14:textId="77777777" w:rsidR="00D87279" w:rsidRDefault="00D87279" w:rsidP="00D87279"/>
    <w:p w14:paraId="18B7B9A0" w14:textId="77777777" w:rsidR="00D87279" w:rsidRDefault="00D87279" w:rsidP="00D87279"/>
    <w:p w14:paraId="5B58DE41" w14:textId="77777777" w:rsidR="00D87279" w:rsidRPr="00B74497" w:rsidRDefault="00D87279" w:rsidP="00D87279">
      <w:pPr>
        <w:rPr>
          <w:b/>
          <w:bCs/>
          <w:u w:val="single"/>
        </w:rPr>
      </w:pPr>
      <w:r w:rsidRPr="00B74497">
        <w:rPr>
          <w:b/>
          <w:bCs/>
          <w:u w:val="single"/>
        </w:rPr>
        <w:lastRenderedPageBreak/>
        <w:t>Reference List</w:t>
      </w:r>
    </w:p>
    <w:p w14:paraId="7B53471D" w14:textId="77777777" w:rsidR="00D87279" w:rsidRDefault="00D87279" w:rsidP="00D87279"/>
    <w:p w14:paraId="44DC2C21" w14:textId="77777777" w:rsidR="00D87279" w:rsidRPr="00B74497" w:rsidRDefault="00D87279" w:rsidP="00D87279">
      <w:r w:rsidRPr="00B74497">
        <w:t xml:space="preserve">Beames, S., Higgins, P. and Nicol, R. (2019) </w:t>
      </w:r>
      <w:r w:rsidRPr="00B74497">
        <w:rPr>
          <w:i/>
          <w:iCs/>
        </w:rPr>
        <w:t>Learning Outside the Classroom: Theory and Guidelines for Practice</w:t>
      </w:r>
      <w:r w:rsidRPr="00B74497">
        <w:t xml:space="preserve">. 2nd </w:t>
      </w:r>
      <w:proofErr w:type="spellStart"/>
      <w:r w:rsidRPr="00B74497">
        <w:t>edn</w:t>
      </w:r>
      <w:proofErr w:type="spellEnd"/>
      <w:r w:rsidRPr="00B74497">
        <w:t>. London: Routledge.</w:t>
      </w:r>
    </w:p>
    <w:p w14:paraId="74FAF890" w14:textId="4E8E8CFD" w:rsidR="00A967F0" w:rsidRPr="00AF1C8B" w:rsidRDefault="00A967F0" w:rsidP="00A967F0">
      <w:r w:rsidRPr="00AF1C8B">
        <w:t xml:space="preserve">Chawla, L. (2020) ‘Childhood nature connection and constructive hope: A review of research on connecting with nature and coping with environmental loss’, </w:t>
      </w:r>
      <w:r w:rsidRPr="00AF1C8B">
        <w:rPr>
          <w:i/>
          <w:iCs/>
        </w:rPr>
        <w:t>People and Nature</w:t>
      </w:r>
      <w:r w:rsidRPr="00AF1C8B">
        <w:t>, 2(3), pp. 619–642.</w:t>
      </w:r>
      <w:r>
        <w:t xml:space="preserve"> Available at: </w:t>
      </w:r>
      <w:hyperlink r:id="rId23" w:history="1">
        <w:r w:rsidRPr="005557E3">
          <w:rPr>
            <w:rStyle w:val="Hyperlink"/>
          </w:rPr>
          <w:t>https://www.researchgate.net/publication/343477268_Childhood_nature_connection_and_constructive_hope_A_review_of_research_on_connecting_with_nature_and_coping_with_environmental_loss</w:t>
        </w:r>
      </w:hyperlink>
      <w:r>
        <w:t xml:space="preserve"> (Accessed: </w:t>
      </w:r>
      <w:r>
        <w:t>10</w:t>
      </w:r>
      <w:r>
        <w:t xml:space="preserve"> March 2026) </w:t>
      </w:r>
    </w:p>
    <w:p w14:paraId="2108ECA7" w14:textId="0023D548" w:rsidR="00EF0942" w:rsidRDefault="00731E57" w:rsidP="00D87279">
      <w:proofErr w:type="spellStart"/>
      <w:r w:rsidRPr="00731E57">
        <w:t>Dankiw</w:t>
      </w:r>
      <w:proofErr w:type="spellEnd"/>
      <w:r w:rsidRPr="00731E57">
        <w:t>, K.A., Tsiros, M.D., Baldock, K.L. and Kumar, S. (2020). The impacts of unstructured nature play on health in early childhood development: A systematic review. </w:t>
      </w:r>
      <w:r w:rsidRPr="00731E57">
        <w:rPr>
          <w:i/>
          <w:iCs/>
        </w:rPr>
        <w:t>PLOS ONE</w:t>
      </w:r>
      <w:r w:rsidRPr="00731E57">
        <w:t xml:space="preserve">, [online] 15(2), </w:t>
      </w:r>
      <w:proofErr w:type="spellStart"/>
      <w:r w:rsidRPr="00731E57">
        <w:t>doi</w:t>
      </w:r>
      <w:proofErr w:type="spellEnd"/>
      <w:r w:rsidRPr="00731E57">
        <w:t>:</w:t>
      </w:r>
      <w:r w:rsidR="00EF0942">
        <w:t xml:space="preserve"> </w:t>
      </w:r>
      <w:r w:rsidRPr="00731E57">
        <w:t>https://doi.org/10.1371/journal.pone.0229006.</w:t>
      </w:r>
    </w:p>
    <w:p w14:paraId="62391087" w14:textId="39879ED8" w:rsidR="00D87279" w:rsidRPr="00B74497" w:rsidRDefault="00D87279" w:rsidP="00D87279">
      <w:r w:rsidRPr="00B74497">
        <w:t xml:space="preserve">Froebel, F. (1887) </w:t>
      </w:r>
      <w:r w:rsidRPr="00B74497">
        <w:rPr>
          <w:i/>
          <w:iCs/>
        </w:rPr>
        <w:t>The Education of Man</w:t>
      </w:r>
      <w:r w:rsidRPr="00B74497">
        <w:t xml:space="preserve">. </w:t>
      </w:r>
      <w:r w:rsidR="00D05AB8">
        <w:t xml:space="preserve">Available at: </w:t>
      </w:r>
      <w:hyperlink r:id="rId24" w:history="1">
        <w:r w:rsidR="00D05AB8" w:rsidRPr="005557E3">
          <w:rPr>
            <w:rStyle w:val="Hyperlink"/>
          </w:rPr>
          <w:t>https://babel.hathitrust.org/cgi/pt?id=njp.32101068982626&amp;seq=8</w:t>
        </w:r>
      </w:hyperlink>
      <w:r w:rsidR="00D05AB8">
        <w:t xml:space="preserve"> (Accessed: 5 March 2026) </w:t>
      </w:r>
    </w:p>
    <w:p w14:paraId="423BF3DE" w14:textId="77777777" w:rsidR="00D87279" w:rsidRPr="00B74497" w:rsidRDefault="00D87279" w:rsidP="00D87279">
      <w:r w:rsidRPr="00B74497">
        <w:t xml:space="preserve">Hattie, J. (2009) </w:t>
      </w:r>
      <w:r w:rsidRPr="00B74497">
        <w:rPr>
          <w:i/>
          <w:iCs/>
        </w:rPr>
        <w:t>Visible Learning: A Synthesis of Over 800 Meta-Analyses Relating to Achievement</w:t>
      </w:r>
      <w:r w:rsidRPr="00B74497">
        <w:t>. London: Routledge.</w:t>
      </w:r>
    </w:p>
    <w:p w14:paraId="110769E9" w14:textId="4B10BB1D" w:rsidR="00D87279" w:rsidRPr="00B74497" w:rsidRDefault="00D87279" w:rsidP="00D87279">
      <w:r w:rsidRPr="00B74497">
        <w:t xml:space="preserve">Institute for Outdoor Learning (2023) </w:t>
      </w:r>
      <w:r w:rsidR="003631EB">
        <w:rPr>
          <w:i/>
          <w:iCs/>
        </w:rPr>
        <w:t>High Quality Outdoor Learning</w:t>
      </w:r>
      <w:r w:rsidRPr="00B74497">
        <w:rPr>
          <w:i/>
          <w:iCs/>
        </w:rPr>
        <w:t>?</w:t>
      </w:r>
      <w:r w:rsidRPr="00B74497">
        <w:t xml:space="preserve"> Available at: </w:t>
      </w:r>
      <w:hyperlink r:id="rId25" w:history="1">
        <w:r w:rsidR="003631EB" w:rsidRPr="005557E3">
          <w:rPr>
            <w:rStyle w:val="Hyperlink"/>
          </w:rPr>
          <w:t>https://www.outdoor-learning.org/standards/high-quality-outdoor-learning.html</w:t>
        </w:r>
      </w:hyperlink>
      <w:r w:rsidR="003631EB">
        <w:t xml:space="preserve"> (Accessed 10 March 2026) </w:t>
      </w:r>
    </w:p>
    <w:p w14:paraId="6476D673" w14:textId="77777777" w:rsidR="00D87279" w:rsidRPr="00B74497" w:rsidRDefault="00D87279" w:rsidP="00D87279">
      <w:r w:rsidRPr="00B74497">
        <w:t xml:space="preserve">Knight, S. (2016) </w:t>
      </w:r>
      <w:r w:rsidRPr="00B74497">
        <w:rPr>
          <w:i/>
          <w:iCs/>
        </w:rPr>
        <w:t>Forest School and Outdoor Learning in the Early Years</w:t>
      </w:r>
      <w:r w:rsidRPr="00B74497">
        <w:t>. London: Sage.</w:t>
      </w:r>
    </w:p>
    <w:p w14:paraId="2861EC1D" w14:textId="360AFEF5" w:rsidR="00BC48BC" w:rsidRDefault="00BC48BC" w:rsidP="00D87279">
      <w:r w:rsidRPr="00BC48BC">
        <w:t>Leather, M. (2018). A Critique of ‘Forest School’ or Something Lost in Translation. </w:t>
      </w:r>
      <w:r w:rsidRPr="00BC48BC">
        <w:rPr>
          <w:i/>
          <w:iCs/>
        </w:rPr>
        <w:t>Journal of Outdoor and Environmental Education</w:t>
      </w:r>
      <w:r w:rsidRPr="00BC48BC">
        <w:t>, 21(1)</w:t>
      </w:r>
      <w:r w:rsidR="00F73423">
        <w:t>, pp.5-18</w:t>
      </w:r>
      <w:r w:rsidRPr="00BC48BC">
        <w:t xml:space="preserve"> </w:t>
      </w:r>
      <w:proofErr w:type="spellStart"/>
      <w:r w:rsidRPr="00BC48BC">
        <w:t>doi</w:t>
      </w:r>
      <w:proofErr w:type="spellEnd"/>
      <w:r w:rsidRPr="00BC48BC">
        <w:t>:</w:t>
      </w:r>
      <w:r>
        <w:t xml:space="preserve"> </w:t>
      </w:r>
      <w:hyperlink r:id="rId26" w:history="1">
        <w:r w:rsidR="00F73423" w:rsidRPr="005557E3">
          <w:rPr>
            <w:rStyle w:val="Hyperlink"/>
          </w:rPr>
          <w:t>https://doi.org/10.1007/s42322-017-0006-1</w:t>
        </w:r>
      </w:hyperlink>
      <w:r w:rsidRPr="00BC48BC">
        <w:t>.</w:t>
      </w:r>
      <w:r w:rsidR="00F73423">
        <w:t xml:space="preserve"> (Accessed: </w:t>
      </w:r>
      <w:r w:rsidR="00D31E63">
        <w:t xml:space="preserve">11 March 2026) </w:t>
      </w:r>
    </w:p>
    <w:p w14:paraId="37395B01" w14:textId="4E7A10FD" w:rsidR="00D87279" w:rsidRPr="00012417" w:rsidRDefault="00D87279" w:rsidP="00D87279">
      <w:pPr>
        <w:rPr>
          <w:i/>
          <w:iCs/>
        </w:rPr>
      </w:pPr>
      <w:r w:rsidRPr="00B74497">
        <w:t xml:space="preserve">Learning Through Landscapes (2023) </w:t>
      </w:r>
      <w:r w:rsidR="000327C1" w:rsidRPr="000327C1">
        <w:rPr>
          <w:i/>
          <w:iCs/>
        </w:rPr>
        <w:t>2023 Year in Review: Bringing Climate Education to the Forefront</w:t>
      </w:r>
      <w:r w:rsidRPr="00B74497">
        <w:t xml:space="preserve">. Available at: </w:t>
      </w:r>
      <w:hyperlink r:id="rId27" w:history="1">
        <w:r w:rsidR="00012417" w:rsidRPr="005557E3">
          <w:rPr>
            <w:rStyle w:val="Hyperlink"/>
          </w:rPr>
          <w:t>https://www.ltl.org.uk</w:t>
        </w:r>
        <w:r w:rsidR="00012417" w:rsidRPr="005557E3">
          <w:rPr>
            <w:rStyle w:val="Hyperlink"/>
          </w:rPr>
          <w:t>/2023-year-review/</w:t>
        </w:r>
      </w:hyperlink>
      <w:r w:rsidR="00012417">
        <w:t xml:space="preserve"> </w:t>
      </w:r>
      <w:r w:rsidR="002D74E2">
        <w:t xml:space="preserve"> (Accessed:8 March 2026) </w:t>
      </w:r>
    </w:p>
    <w:p w14:paraId="7768622C" w14:textId="0E0A3B9B" w:rsidR="008D5329" w:rsidRDefault="008D5329" w:rsidP="00D87279">
      <w:r w:rsidRPr="008D5329">
        <w:t>Mann, J., Gray, T., Truong, S., Sahlberg, P., Bentsen, P., Passy, R., Ho, S., Ward, K. and Cowper, R. (2021). A Systematic Review Protocol to Identify the Key Benefits and Efficacy of Nature-Based Learning in Outdoor Educational Settings. </w:t>
      </w:r>
      <w:r w:rsidRPr="008D5329">
        <w:rPr>
          <w:i/>
          <w:iCs/>
        </w:rPr>
        <w:t>International Journal of Environmental Research and Public Health</w:t>
      </w:r>
      <w:r w:rsidRPr="008D5329">
        <w:t xml:space="preserve">, [online] 18(3), p.1199. </w:t>
      </w:r>
      <w:proofErr w:type="spellStart"/>
      <w:r w:rsidRPr="008D5329">
        <w:t>doi</w:t>
      </w:r>
      <w:proofErr w:type="spellEnd"/>
      <w:r w:rsidRPr="008D5329">
        <w:t>:</w:t>
      </w:r>
      <w:r>
        <w:t xml:space="preserve"> </w:t>
      </w:r>
      <w:hyperlink r:id="rId28" w:history="1">
        <w:r w:rsidR="002D74E2" w:rsidRPr="005557E3">
          <w:rPr>
            <w:rStyle w:val="Hyperlink"/>
          </w:rPr>
          <w:t>https://doi.org/10.3390/ijerph18031199</w:t>
        </w:r>
      </w:hyperlink>
      <w:r w:rsidRPr="008D5329">
        <w:t>.</w:t>
      </w:r>
      <w:r w:rsidR="002D74E2">
        <w:t xml:space="preserve"> (Accessed: 10 March 2026) </w:t>
      </w:r>
    </w:p>
    <w:p w14:paraId="77442134" w14:textId="49700426" w:rsidR="00D87279" w:rsidRPr="00B74497" w:rsidRDefault="00D87279" w:rsidP="00D87279">
      <w:r w:rsidRPr="00B74497">
        <w:lastRenderedPageBreak/>
        <w:t xml:space="preserve">Natural England (2016) </w:t>
      </w:r>
      <w:r w:rsidRPr="00B74497">
        <w:rPr>
          <w:i/>
          <w:iCs/>
        </w:rPr>
        <w:t>Connections to Nature: Evidence Briefing</w:t>
      </w:r>
      <w:r w:rsidRPr="00B74497">
        <w:t>.</w:t>
      </w:r>
      <w:r w:rsidR="002D74E2">
        <w:t xml:space="preserve"> Available at: </w:t>
      </w:r>
      <w:hyperlink r:id="rId29" w:history="1">
        <w:r w:rsidR="002D74E2" w:rsidRPr="005557E3">
          <w:rPr>
            <w:rStyle w:val="Hyperlink"/>
          </w:rPr>
          <w:t>https://publications.naturalengland.org.uk/publication/4792791243161600</w:t>
        </w:r>
      </w:hyperlink>
      <w:r w:rsidR="002D74E2">
        <w:t xml:space="preserve"> (Accessed 11 March 2026)  </w:t>
      </w:r>
    </w:p>
    <w:p w14:paraId="0BBACA92" w14:textId="72DF6161" w:rsidR="00D87279" w:rsidRPr="008F4A59" w:rsidRDefault="00D87279" w:rsidP="00D87279">
      <w:r w:rsidRPr="00B74497">
        <w:t xml:space="preserve">Rickinson, M., Dillon, J., </w:t>
      </w:r>
      <w:proofErr w:type="spellStart"/>
      <w:r w:rsidRPr="00B74497">
        <w:t>Teamey</w:t>
      </w:r>
      <w:proofErr w:type="spellEnd"/>
      <w:r w:rsidRPr="00B74497">
        <w:t xml:space="preserve">, K. et al. (2004) </w:t>
      </w:r>
      <w:r w:rsidRPr="00B74497">
        <w:rPr>
          <w:i/>
          <w:iCs/>
        </w:rPr>
        <w:t>A Review of Research on Outdoor Learning</w:t>
      </w:r>
      <w:r w:rsidRPr="00B74497">
        <w:t xml:space="preserve">. </w:t>
      </w:r>
      <w:r w:rsidR="008F4A59">
        <w:t xml:space="preserve">Available at: </w:t>
      </w:r>
      <w:hyperlink r:id="rId30" w:history="1">
        <w:r w:rsidR="008F4A59" w:rsidRPr="005557E3">
          <w:rPr>
            <w:rStyle w:val="Hyperlink"/>
          </w:rPr>
          <w:t>https://informalscience.org/wp-content/uploads/2019/02/Review-of-research-on-outdoor-learning.pdf</w:t>
        </w:r>
        <w:r w:rsidR="008F4A59" w:rsidRPr="005557E3">
          <w:rPr>
            <w:rStyle w:val="Hyperlink"/>
          </w:rPr>
          <w:t>(Accessed</w:t>
        </w:r>
      </w:hyperlink>
      <w:r w:rsidR="008F4A59">
        <w:t xml:space="preserve">: 8 March 2026) </w:t>
      </w:r>
    </w:p>
    <w:p w14:paraId="17F9EE20" w14:textId="52791DA0" w:rsidR="00D87279" w:rsidRPr="00B74497" w:rsidRDefault="00D87279" w:rsidP="00D87279">
      <w:r w:rsidRPr="00B74497">
        <w:t>UNESCO (202</w:t>
      </w:r>
      <w:r w:rsidR="00404520">
        <w:t>5</w:t>
      </w:r>
      <w:r w:rsidRPr="00B74497">
        <w:t xml:space="preserve">) </w:t>
      </w:r>
      <w:r w:rsidRPr="00B74497">
        <w:rPr>
          <w:i/>
          <w:iCs/>
        </w:rPr>
        <w:t>Education for Sustainable Development: A Roadmap</w:t>
      </w:r>
      <w:r w:rsidRPr="00B74497">
        <w:t xml:space="preserve">. </w:t>
      </w:r>
      <w:r w:rsidR="00154D4D">
        <w:t xml:space="preserve">Available at: </w:t>
      </w:r>
      <w:hyperlink r:id="rId31" w:history="1">
        <w:r w:rsidR="00154D4D" w:rsidRPr="005557E3">
          <w:rPr>
            <w:rStyle w:val="Hyperlink"/>
          </w:rPr>
          <w:t>https://www.unesco.org/en/articles/education-sustainable-development-roadmap</w:t>
        </w:r>
      </w:hyperlink>
      <w:r w:rsidR="00154D4D">
        <w:t xml:space="preserve"> (Accessed: 12 March 2026) </w:t>
      </w:r>
    </w:p>
    <w:p w14:paraId="6A31061B" w14:textId="77777777" w:rsidR="00D87279" w:rsidRPr="00B74497" w:rsidRDefault="00D87279" w:rsidP="00D87279">
      <w:r w:rsidRPr="00B74497">
        <w:t xml:space="preserve">Waite, S. (2017) </w:t>
      </w:r>
      <w:r w:rsidRPr="00B74497">
        <w:rPr>
          <w:i/>
          <w:iCs/>
        </w:rPr>
        <w:t>Children Learning Outside the Classroom: From Birth to Eleven</w:t>
      </w:r>
      <w:r w:rsidRPr="00B74497">
        <w:t>. London: Sage.</w:t>
      </w:r>
    </w:p>
    <w:p w14:paraId="75C43AC2" w14:textId="712423D0" w:rsidR="00D87279" w:rsidRDefault="00D87279" w:rsidP="00D87279">
      <w:r w:rsidRPr="00B74497">
        <w:t xml:space="preserve">Welsh Government (2020) </w:t>
      </w:r>
      <w:r w:rsidRPr="00B74497">
        <w:rPr>
          <w:i/>
          <w:iCs/>
        </w:rPr>
        <w:t>Curriculum for Wales Framework Guidance</w:t>
      </w:r>
      <w:r w:rsidRPr="00B74497">
        <w:t>.</w:t>
      </w:r>
      <w:r w:rsidR="0044747A">
        <w:t xml:space="preserve"> Available at: </w:t>
      </w:r>
      <w:hyperlink r:id="rId32" w:history="1">
        <w:r w:rsidR="0044747A" w:rsidRPr="005557E3">
          <w:rPr>
            <w:rStyle w:val="Hyperlink"/>
          </w:rPr>
          <w:t>https://hwb.gov.wales/api/storage/18d0d2f1-0563-4945-a889-d1548ae24c4e/curriculum-for-wales-guidance.pdf</w:t>
        </w:r>
      </w:hyperlink>
      <w:r w:rsidR="0044747A">
        <w:t xml:space="preserve"> (Accessed: 8 March 2026) </w:t>
      </w:r>
    </w:p>
    <w:p w14:paraId="19403F0E" w14:textId="77777777" w:rsidR="00997EF2" w:rsidRPr="00B74497" w:rsidRDefault="00997EF2" w:rsidP="00997EF2">
      <w:r>
        <w:t>Youth Link Scotland</w:t>
      </w:r>
      <w:r w:rsidRPr="00B74497">
        <w:t xml:space="preserve"> (</w:t>
      </w:r>
      <w:r>
        <w:t>No date</w:t>
      </w:r>
      <w:r w:rsidRPr="00B74497">
        <w:t xml:space="preserve">) </w:t>
      </w:r>
      <w:r w:rsidRPr="00B74497">
        <w:rPr>
          <w:i/>
          <w:iCs/>
        </w:rPr>
        <w:t>Learning for Sustainability</w:t>
      </w:r>
      <w:r>
        <w:rPr>
          <w:i/>
          <w:iCs/>
        </w:rPr>
        <w:t>.</w:t>
      </w:r>
      <w:r w:rsidRPr="00B74497">
        <w:t xml:space="preserve"> Available at: </w:t>
      </w:r>
      <w:hyperlink r:id="rId33" w:history="1">
        <w:r w:rsidRPr="005557E3">
          <w:rPr>
            <w:rStyle w:val="Hyperlink"/>
          </w:rPr>
          <w:t>https://www.youthlink.scot/education-skills/learning-for-sustainability/</w:t>
        </w:r>
      </w:hyperlink>
      <w:r>
        <w:t xml:space="preserve"> (Accessed: 8 March 2026) </w:t>
      </w:r>
    </w:p>
    <w:p w14:paraId="2E146398" w14:textId="77777777" w:rsidR="00ED6493" w:rsidRPr="00AF1C8B" w:rsidRDefault="00ED6493">
      <w:pPr>
        <w:rPr>
          <w:b/>
          <w:bCs/>
          <w:u w:val="single"/>
        </w:rPr>
      </w:pPr>
    </w:p>
    <w:sectPr w:rsidR="00ED6493" w:rsidRPr="00AF1C8B" w:rsidSect="00D872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0E77E" w14:textId="77777777" w:rsidR="00A2248C" w:rsidRDefault="00A2248C" w:rsidP="00046DED">
      <w:pPr>
        <w:spacing w:after="0" w:line="240" w:lineRule="auto"/>
      </w:pPr>
      <w:r>
        <w:separator/>
      </w:r>
    </w:p>
  </w:endnote>
  <w:endnote w:type="continuationSeparator" w:id="0">
    <w:p w14:paraId="1DA900D5" w14:textId="77777777" w:rsidR="00A2248C" w:rsidRDefault="00A2248C" w:rsidP="00046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911120"/>
      <w:docPartObj>
        <w:docPartGallery w:val="Page Numbers (Bottom of Page)"/>
        <w:docPartUnique/>
      </w:docPartObj>
    </w:sdtPr>
    <w:sdtEndPr>
      <w:rPr>
        <w:noProof/>
      </w:rPr>
    </w:sdtEndPr>
    <w:sdtContent>
      <w:p w14:paraId="61BF9EA3" w14:textId="7A1DBCC4" w:rsidR="00046DED" w:rsidRDefault="00046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93A7A" w14:textId="77777777" w:rsidR="00046DED" w:rsidRDefault="00046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9DDA9" w14:textId="77777777" w:rsidR="00A2248C" w:rsidRDefault="00A2248C" w:rsidP="00046DED">
      <w:pPr>
        <w:spacing w:after="0" w:line="240" w:lineRule="auto"/>
      </w:pPr>
      <w:r>
        <w:separator/>
      </w:r>
    </w:p>
  </w:footnote>
  <w:footnote w:type="continuationSeparator" w:id="0">
    <w:p w14:paraId="1A8583F9" w14:textId="77777777" w:rsidR="00A2248C" w:rsidRDefault="00A2248C" w:rsidP="00046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B70DB"/>
    <w:multiLevelType w:val="hybridMultilevel"/>
    <w:tmpl w:val="D5B64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55DBA"/>
    <w:multiLevelType w:val="hybridMultilevel"/>
    <w:tmpl w:val="F3EE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871AA"/>
    <w:multiLevelType w:val="hybridMultilevel"/>
    <w:tmpl w:val="9538EA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C1151EE"/>
    <w:multiLevelType w:val="hybridMultilevel"/>
    <w:tmpl w:val="BA0E50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017371"/>
    <w:multiLevelType w:val="hybridMultilevel"/>
    <w:tmpl w:val="910A9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CA0E2A"/>
    <w:multiLevelType w:val="hybridMultilevel"/>
    <w:tmpl w:val="1A9C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0303C2"/>
    <w:multiLevelType w:val="hybridMultilevel"/>
    <w:tmpl w:val="B95698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4E7D2D"/>
    <w:multiLevelType w:val="hybridMultilevel"/>
    <w:tmpl w:val="D7BAAD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E30D06"/>
    <w:multiLevelType w:val="hybridMultilevel"/>
    <w:tmpl w:val="B59EDF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96121974">
    <w:abstractNumId w:val="7"/>
  </w:num>
  <w:num w:numId="2" w16cid:durableId="659774849">
    <w:abstractNumId w:val="6"/>
  </w:num>
  <w:num w:numId="3" w16cid:durableId="847865472">
    <w:abstractNumId w:val="1"/>
  </w:num>
  <w:num w:numId="4" w16cid:durableId="616521727">
    <w:abstractNumId w:val="0"/>
  </w:num>
  <w:num w:numId="5" w16cid:durableId="404839170">
    <w:abstractNumId w:val="3"/>
  </w:num>
  <w:num w:numId="6" w16cid:durableId="1824463267">
    <w:abstractNumId w:val="5"/>
  </w:num>
  <w:num w:numId="7" w16cid:durableId="1559592207">
    <w:abstractNumId w:val="8"/>
  </w:num>
  <w:num w:numId="8" w16cid:durableId="1409964789">
    <w:abstractNumId w:val="4"/>
  </w:num>
  <w:num w:numId="9" w16cid:durableId="242296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D5E"/>
    <w:rsid w:val="000069F5"/>
    <w:rsid w:val="00012417"/>
    <w:rsid w:val="000214C5"/>
    <w:rsid w:val="00027329"/>
    <w:rsid w:val="000327C1"/>
    <w:rsid w:val="00046DED"/>
    <w:rsid w:val="000B05E4"/>
    <w:rsid w:val="001146CF"/>
    <w:rsid w:val="001216A6"/>
    <w:rsid w:val="00126952"/>
    <w:rsid w:val="00136CEA"/>
    <w:rsid w:val="00142898"/>
    <w:rsid w:val="00142ED8"/>
    <w:rsid w:val="00154D4D"/>
    <w:rsid w:val="001D18DD"/>
    <w:rsid w:val="00216697"/>
    <w:rsid w:val="0022427E"/>
    <w:rsid w:val="00240266"/>
    <w:rsid w:val="002602EA"/>
    <w:rsid w:val="0027711E"/>
    <w:rsid w:val="002D24A8"/>
    <w:rsid w:val="002D74E2"/>
    <w:rsid w:val="00317AAA"/>
    <w:rsid w:val="00321249"/>
    <w:rsid w:val="00327E98"/>
    <w:rsid w:val="00360187"/>
    <w:rsid w:val="003631EB"/>
    <w:rsid w:val="003727B2"/>
    <w:rsid w:val="003B31CB"/>
    <w:rsid w:val="003C778E"/>
    <w:rsid w:val="00404520"/>
    <w:rsid w:val="004114FD"/>
    <w:rsid w:val="00421D5E"/>
    <w:rsid w:val="0044747A"/>
    <w:rsid w:val="004572F8"/>
    <w:rsid w:val="00482D27"/>
    <w:rsid w:val="004A693F"/>
    <w:rsid w:val="004C4F3C"/>
    <w:rsid w:val="004D33CE"/>
    <w:rsid w:val="005061E4"/>
    <w:rsid w:val="005420EE"/>
    <w:rsid w:val="00550177"/>
    <w:rsid w:val="005734B6"/>
    <w:rsid w:val="00585FDF"/>
    <w:rsid w:val="005A0358"/>
    <w:rsid w:val="005C2074"/>
    <w:rsid w:val="005D3C2C"/>
    <w:rsid w:val="005D44B7"/>
    <w:rsid w:val="00695F93"/>
    <w:rsid w:val="006A7E8D"/>
    <w:rsid w:val="006C499B"/>
    <w:rsid w:val="00731E57"/>
    <w:rsid w:val="00744735"/>
    <w:rsid w:val="007448F7"/>
    <w:rsid w:val="0075781E"/>
    <w:rsid w:val="0078622F"/>
    <w:rsid w:val="007B3C73"/>
    <w:rsid w:val="00814821"/>
    <w:rsid w:val="00827C88"/>
    <w:rsid w:val="008656EB"/>
    <w:rsid w:val="008963A6"/>
    <w:rsid w:val="008B15D3"/>
    <w:rsid w:val="008C719E"/>
    <w:rsid w:val="008D5329"/>
    <w:rsid w:val="008F4A59"/>
    <w:rsid w:val="00907225"/>
    <w:rsid w:val="009126E8"/>
    <w:rsid w:val="009676E9"/>
    <w:rsid w:val="00973FC4"/>
    <w:rsid w:val="00997EF2"/>
    <w:rsid w:val="009D6159"/>
    <w:rsid w:val="009E1CD8"/>
    <w:rsid w:val="00A2248C"/>
    <w:rsid w:val="00A528F0"/>
    <w:rsid w:val="00A57846"/>
    <w:rsid w:val="00A72EE5"/>
    <w:rsid w:val="00A967F0"/>
    <w:rsid w:val="00AD7365"/>
    <w:rsid w:val="00AF1C8B"/>
    <w:rsid w:val="00AF6809"/>
    <w:rsid w:val="00B109F4"/>
    <w:rsid w:val="00B43FA8"/>
    <w:rsid w:val="00B45A67"/>
    <w:rsid w:val="00B503D6"/>
    <w:rsid w:val="00BB13B2"/>
    <w:rsid w:val="00BC48BC"/>
    <w:rsid w:val="00C045AE"/>
    <w:rsid w:val="00C519AA"/>
    <w:rsid w:val="00C53783"/>
    <w:rsid w:val="00C86C83"/>
    <w:rsid w:val="00CC7262"/>
    <w:rsid w:val="00CD39D4"/>
    <w:rsid w:val="00CF5D28"/>
    <w:rsid w:val="00D05AB8"/>
    <w:rsid w:val="00D17AC1"/>
    <w:rsid w:val="00D20C71"/>
    <w:rsid w:val="00D31E63"/>
    <w:rsid w:val="00D51D66"/>
    <w:rsid w:val="00D87279"/>
    <w:rsid w:val="00DA4ED3"/>
    <w:rsid w:val="00DB1EE9"/>
    <w:rsid w:val="00DC766A"/>
    <w:rsid w:val="00E20930"/>
    <w:rsid w:val="00E81FA1"/>
    <w:rsid w:val="00EA3E31"/>
    <w:rsid w:val="00ED6493"/>
    <w:rsid w:val="00EF0942"/>
    <w:rsid w:val="00EF2750"/>
    <w:rsid w:val="00F34FDE"/>
    <w:rsid w:val="00F73423"/>
    <w:rsid w:val="00F756B9"/>
    <w:rsid w:val="00F858FE"/>
    <w:rsid w:val="00F90A55"/>
    <w:rsid w:val="00F9290C"/>
    <w:rsid w:val="00F94405"/>
    <w:rsid w:val="00FA4978"/>
    <w:rsid w:val="00FE44A7"/>
    <w:rsid w:val="00FF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AB4ED"/>
  <w15:chartTrackingRefBased/>
  <w15:docId w15:val="{A4F3BEF7-A08C-4BBD-85A2-B5D87D78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D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D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D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D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D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D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D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D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D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D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D5E"/>
    <w:rPr>
      <w:rFonts w:eastAsiaTheme="majorEastAsia" w:cstheme="majorBidi"/>
      <w:color w:val="272727" w:themeColor="text1" w:themeTint="D8"/>
    </w:rPr>
  </w:style>
  <w:style w:type="paragraph" w:styleId="Title">
    <w:name w:val="Title"/>
    <w:basedOn w:val="Normal"/>
    <w:next w:val="Normal"/>
    <w:link w:val="TitleChar"/>
    <w:uiPriority w:val="10"/>
    <w:qFormat/>
    <w:rsid w:val="00421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D5E"/>
    <w:pPr>
      <w:spacing w:before="160"/>
      <w:jc w:val="center"/>
    </w:pPr>
    <w:rPr>
      <w:i/>
      <w:iCs/>
      <w:color w:val="404040" w:themeColor="text1" w:themeTint="BF"/>
    </w:rPr>
  </w:style>
  <w:style w:type="character" w:customStyle="1" w:styleId="QuoteChar">
    <w:name w:val="Quote Char"/>
    <w:basedOn w:val="DefaultParagraphFont"/>
    <w:link w:val="Quote"/>
    <w:uiPriority w:val="29"/>
    <w:rsid w:val="00421D5E"/>
    <w:rPr>
      <w:i/>
      <w:iCs/>
      <w:color w:val="404040" w:themeColor="text1" w:themeTint="BF"/>
    </w:rPr>
  </w:style>
  <w:style w:type="paragraph" w:styleId="ListParagraph">
    <w:name w:val="List Paragraph"/>
    <w:basedOn w:val="Normal"/>
    <w:uiPriority w:val="34"/>
    <w:qFormat/>
    <w:rsid w:val="00421D5E"/>
    <w:pPr>
      <w:ind w:left="720"/>
      <w:contextualSpacing/>
    </w:pPr>
  </w:style>
  <w:style w:type="character" w:styleId="IntenseEmphasis">
    <w:name w:val="Intense Emphasis"/>
    <w:basedOn w:val="DefaultParagraphFont"/>
    <w:uiPriority w:val="21"/>
    <w:qFormat/>
    <w:rsid w:val="00421D5E"/>
    <w:rPr>
      <w:i/>
      <w:iCs/>
      <w:color w:val="0F4761" w:themeColor="accent1" w:themeShade="BF"/>
    </w:rPr>
  </w:style>
  <w:style w:type="paragraph" w:styleId="IntenseQuote">
    <w:name w:val="Intense Quote"/>
    <w:basedOn w:val="Normal"/>
    <w:next w:val="Normal"/>
    <w:link w:val="IntenseQuoteChar"/>
    <w:uiPriority w:val="30"/>
    <w:qFormat/>
    <w:rsid w:val="00421D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D5E"/>
    <w:rPr>
      <w:i/>
      <w:iCs/>
      <w:color w:val="0F4761" w:themeColor="accent1" w:themeShade="BF"/>
    </w:rPr>
  </w:style>
  <w:style w:type="character" w:styleId="IntenseReference">
    <w:name w:val="Intense Reference"/>
    <w:basedOn w:val="DefaultParagraphFont"/>
    <w:uiPriority w:val="32"/>
    <w:qFormat/>
    <w:rsid w:val="00421D5E"/>
    <w:rPr>
      <w:b/>
      <w:bCs/>
      <w:smallCaps/>
      <w:color w:val="0F4761" w:themeColor="accent1" w:themeShade="BF"/>
      <w:spacing w:val="5"/>
    </w:rPr>
  </w:style>
  <w:style w:type="character" w:styleId="Hyperlink">
    <w:name w:val="Hyperlink"/>
    <w:basedOn w:val="DefaultParagraphFont"/>
    <w:uiPriority w:val="99"/>
    <w:unhideWhenUsed/>
    <w:rsid w:val="00AF1C8B"/>
    <w:rPr>
      <w:color w:val="467886" w:themeColor="hyperlink"/>
      <w:u w:val="single"/>
    </w:rPr>
  </w:style>
  <w:style w:type="character" w:styleId="UnresolvedMention">
    <w:name w:val="Unresolved Mention"/>
    <w:basedOn w:val="DefaultParagraphFont"/>
    <w:uiPriority w:val="99"/>
    <w:semiHidden/>
    <w:unhideWhenUsed/>
    <w:rsid w:val="00AF1C8B"/>
    <w:rPr>
      <w:color w:val="605E5C"/>
      <w:shd w:val="clear" w:color="auto" w:fill="E1DFDD"/>
    </w:rPr>
  </w:style>
  <w:style w:type="character" w:styleId="FollowedHyperlink">
    <w:name w:val="FollowedHyperlink"/>
    <w:basedOn w:val="DefaultParagraphFont"/>
    <w:uiPriority w:val="99"/>
    <w:semiHidden/>
    <w:unhideWhenUsed/>
    <w:rsid w:val="002602EA"/>
    <w:rPr>
      <w:color w:val="96607D" w:themeColor="followedHyperlink"/>
      <w:u w:val="single"/>
    </w:rPr>
  </w:style>
  <w:style w:type="table" w:customStyle="1" w:styleId="TableGrid1">
    <w:name w:val="Table Grid1"/>
    <w:basedOn w:val="TableNormal"/>
    <w:next w:val="TableGrid"/>
    <w:uiPriority w:val="59"/>
    <w:rsid w:val="003727B2"/>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72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6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DED"/>
  </w:style>
  <w:style w:type="paragraph" w:styleId="Footer">
    <w:name w:val="footer"/>
    <w:basedOn w:val="Normal"/>
    <w:link w:val="FooterChar"/>
    <w:uiPriority w:val="99"/>
    <w:unhideWhenUsed/>
    <w:rsid w:val="00046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1-11/Engagement%20work%20Maintained%20special%20school%20and%20pupil%20referral%20unit%20(PRU)%20sector%20update%20%E2%80%93%20spring%202021.pdf" TargetMode="External"/><Relationship Id="rId18" Type="http://schemas.openxmlformats.org/officeDocument/2006/relationships/hyperlink" Target="https://psycnet.apa.org/fulltext/2007-10742-000-FRM.pdf" TargetMode="External"/><Relationship Id="rId26" Type="http://schemas.openxmlformats.org/officeDocument/2006/relationships/hyperlink" Target="https://doi.org/10.1007/s42322-017-0006-1" TargetMode="Externa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ducationendowmentfoundation.org.uk" TargetMode="External"/><Relationship Id="rId17" Type="http://schemas.openxmlformats.org/officeDocument/2006/relationships/hyperlink" Target="https://naturalresources.wales/about-us/news-and-blogs/blogs/developing-a-whole-setting-approach-to-learning-in-about-and-for-the-natural-environment/?lang=en" TargetMode="External"/><Relationship Id="rId25" Type="http://schemas.openxmlformats.org/officeDocument/2006/relationships/hyperlink" Target="https://www.outdoor-learning.org/standards/high-quality-outdoor-learning.html" TargetMode="External"/><Relationship Id="rId33" Type="http://schemas.openxmlformats.org/officeDocument/2006/relationships/hyperlink" Target="https://www.youthlink.scot/education-skills/learning-for-sustainability/" TargetMode="External"/><Relationship Id="rId2" Type="http://schemas.openxmlformats.org/officeDocument/2006/relationships/customXml" Target="../customXml/item2.xml"/><Relationship Id="rId16" Type="http://schemas.openxmlformats.org/officeDocument/2006/relationships/hyperlink" Target="https://www.researchgate.net/publication/235701029_Experiential_Learning_Experience_As_The_Source_Of_Learning_And_Development" TargetMode="External"/><Relationship Id="rId20" Type="http://schemas.openxmlformats.org/officeDocument/2006/relationships/hyperlink" Target="https://hwb.gov.wales/curriculum-for-wales/introduction-to-curriculum-for-wales-guidance/" TargetMode="External"/><Relationship Id="rId29" Type="http://schemas.openxmlformats.org/officeDocument/2006/relationships/hyperlink" Target="https://publications.naturalengland.org.uk/publication/47927912431616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343477268_Childhood_nature_connection_and_constructive_hope_A_review_of_research_on_connecting_with_nature_and_coping_with_environmental_loss" TargetMode="External"/><Relationship Id="rId24" Type="http://schemas.openxmlformats.org/officeDocument/2006/relationships/hyperlink" Target="https://babel.hathitrust.org/cgi/pt?id=njp.32101068982626&amp;seq=8" TargetMode="External"/><Relationship Id="rId32" Type="http://schemas.openxmlformats.org/officeDocument/2006/relationships/hyperlink" Target="https://hwb.gov.wales/api/storage/18d0d2f1-0563-4945-a889-d1548ae24c4e/curriculum-for-wales-guidance.pdf" TargetMode="External"/><Relationship Id="rId5" Type="http://schemas.openxmlformats.org/officeDocument/2006/relationships/styles" Target="styles.xml"/><Relationship Id="rId15" Type="http://schemas.openxmlformats.org/officeDocument/2006/relationships/hyperlink" Target="https://estyn.gov.wales/improvement-resources/the-use-of-the-outdoor-learning-environment-to-support-pupils-learning-and-well-being/" TargetMode="External"/><Relationship Id="rId23" Type="http://schemas.openxmlformats.org/officeDocument/2006/relationships/hyperlink" Target="https://www.researchgate.net/publication/343477268_Childhood_nature_connection_and_constructive_hope_A_review_of_research_on_connecting_with_nature_and_coping_with_environmental_loss" TargetMode="External"/><Relationship Id="rId28" Type="http://schemas.openxmlformats.org/officeDocument/2006/relationships/hyperlink" Target="https://doi.org/10.3390/ijerph18031199" TargetMode="External"/><Relationship Id="rId10" Type="http://schemas.openxmlformats.org/officeDocument/2006/relationships/hyperlink" Target="https://www.increaseproject.eu/images/DOWNLOADS/IO2/HU/CURR_M4-A13_Bowlby_(EN-only)_20170920_HU_final.pdf" TargetMode="External"/><Relationship Id="rId19" Type="http://schemas.openxmlformats.org/officeDocument/2006/relationships/hyperlink" Target="https://home.fau.edu/musgrove/web/vygotsky1978.pdf" TargetMode="External"/><Relationship Id="rId31" Type="http://schemas.openxmlformats.org/officeDocument/2006/relationships/hyperlink" Target="https://www.unesco.org/en/articles/education-sustainable-development-roadma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styn.gov.wales/app/uploads/2024/11/Supplementary-guidance-additional-learning-needs.pdf" TargetMode="External"/><Relationship Id="rId22" Type="http://schemas.openxmlformats.org/officeDocument/2006/relationships/footer" Target="footer1.xml"/><Relationship Id="rId27" Type="http://schemas.openxmlformats.org/officeDocument/2006/relationships/hyperlink" Target="https://www.ltl.org.uk/2023-year-review/" TargetMode="External"/><Relationship Id="rId30" Type="http://schemas.openxmlformats.org/officeDocument/2006/relationships/hyperlink" Target="https://informalscience.org/wp-content/uploads/2019/02/Review-of-research-on-outdoor-learning.pdf(Accessed"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4d585ece164d3bb15852a400ba275051">
  <xsd:schema xmlns:xsd="http://www.w3.org/2001/XMLSchema" xmlns:xs="http://www.w3.org/2001/XMLSchema" xmlns:p="http://schemas.microsoft.com/office/2006/metadata/properties" xmlns:ns3="3ef5847a-e696-4fee-a2c0-6c3f87568321" targetNamespace="http://schemas.microsoft.com/office/2006/metadata/properties" ma:root="true" ma:fieldsID="9ce13cc8edf3bb56c541f9ae56f74d1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7D4114-0ECE-41C0-9D7D-9DB0C8894217}">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E0C0163E-90BC-4631-9F58-AF210E380FA9}">
  <ds:schemaRefs>
    <ds:schemaRef ds:uri="http://schemas.microsoft.com/sharepoint/v3/contenttype/forms"/>
  </ds:schemaRefs>
</ds:datastoreItem>
</file>

<file path=customXml/itemProps3.xml><?xml version="1.0" encoding="utf-8"?>
<ds:datastoreItem xmlns:ds="http://schemas.openxmlformats.org/officeDocument/2006/customXml" ds:itemID="{452A4A94-9792-4977-9EC4-6FC91F609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5361</Words>
  <Characters>30564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Aimi Davies (1711589)</dc:creator>
  <cp:keywords/>
  <dc:description/>
  <cp:lastModifiedBy>Aimi Davies (1711589)</cp:lastModifiedBy>
  <cp:revision>2</cp:revision>
  <dcterms:created xsi:type="dcterms:W3CDTF">2026-04-11T15:45:00Z</dcterms:created>
  <dcterms:modified xsi:type="dcterms:W3CDTF">2026-04-11T15:45:00Z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ee810e7d-b71c-4bd3-8918-764ec9230384</vt:lpwstr>
  </property>
  <property fmtid="{D5CDD505-2E9C-101B-9397-08002B2CF9AE}" pid="3" name="ContentTypeId">
    <vt:lpwstr>0x010100388A3138619E1D4F8EE743C5DD485012</vt:lpwstr>
  </property>
</Properties>
</file>