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 Sawsan Elhuda</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Student Number: 2017353</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Programme: Health and Social care HND/BSC</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module: Children, young people and families</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Module Code: BMHP5004_BIRM</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Lecturer: Dr Crisford Chogugudza</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Policy responses with regard to the multidisciplinary or interdisciplinary nature of health services in relation to children, young people and families</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6A6A6"/>
          <w:spacing w:val="0"/>
          <w:position w:val="0"/>
          <w:sz w:val="22"/>
          <w:shd w:fill="auto" w:val="clear"/>
        </w:rPr>
      </w:pPr>
      <w:r>
        <w:rPr>
          <w:rFonts w:ascii="Arial" w:hAnsi="Arial" w:cs="Arial" w:eastAsia="Arial"/>
          <w:color w:val="auto"/>
          <w:spacing w:val="0"/>
          <w:position w:val="0"/>
          <w:sz w:val="22"/>
          <w:shd w:fill="auto" w:val="clear"/>
        </w:rPr>
        <w:t xml:space="preserve">We have been presented with a case study describing a family facing problems with well-being. The case was presented by the Anti-Social Behaviour Team with concerns surrounding the wellbeing of two boys living under the care of their mother, who suffers from alcoholism, and facing domestic violence and abuse from a new partner. The children were also facing domestic, verbal and emotional abuse from their father who lives in a different borough; and had been reported for anti-social behaviour. Hence, the project involved a number of agencies including the youth offending team, Neighbourhood Services, Children’s Services, the Youth Inclusion and Support Panel, Anti-Social Behaviour Team, Substance Misuse Engagement Team and health services were involved in trying to assist this family.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Following the initial assessment of the case, the teams set out to try and improve the relationships between the family members; assist with the family’s rent arrears and management of their housing needs in partnership with Neighbourhood Services; and addressing domestic abuse between the mother and her new partner. The mother was offered bereavement counselling, and given the disturbing circumstances of living with her, the courts decided to transfer the children’s care to their father. As a result, this meant that the family no longer met the criteria for the project, and so it was closed. The mother did not appear to engage with continued efforts to assist her following news of the project closure, possibly due to a lack of recommended action plans.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the UK, the Office for National Statistics (ONS) is responsible for measuring national well-being and has developed criteria to assess children’s wellbeing.</w:t>
      </w:r>
      <w:r>
        <w:rPr>
          <w:rFonts w:ascii="Arial" w:hAnsi="Arial" w:cs="Arial" w:eastAsia="Arial"/>
          <w:color w:val="auto"/>
          <w:spacing w:val="0"/>
          <w:position w:val="0"/>
          <w:sz w:val="22"/>
          <w:shd w:fill="auto" w:val="clear"/>
          <w:vertAlign w:val="superscript"/>
        </w:rPr>
        <w:t xml:space="preserve">3</w:t>
      </w:r>
      <w:r>
        <w:rPr>
          <w:rFonts w:ascii="Arial" w:hAnsi="Arial" w:cs="Arial" w:eastAsia="Arial"/>
          <w:color w:val="auto"/>
          <w:spacing w:val="0"/>
          <w:position w:val="0"/>
          <w:sz w:val="22"/>
          <w:shd w:fill="auto" w:val="clear"/>
        </w:rPr>
        <w:t xml:space="preserve"> These criteria include assessing the children’s personal wellbeing, i.e. how well they feel about themselves; relationships, including their interactions with parents, school mates and wider society; health status, which can be described as access to appropriate nutrition, shelter, physical and mental health, as well as regular sleep and/or disabilities. In addition, assessments are also made about the children’s social behaviour, which may deeply be affected by access to drugs and alcohol, and access to education.</w:t>
      </w:r>
      <w:r>
        <w:rPr>
          <w:rFonts w:ascii="Arial" w:hAnsi="Arial" w:cs="Arial" w:eastAsia="Arial"/>
          <w:color w:val="auto"/>
          <w:spacing w:val="0"/>
          <w:position w:val="0"/>
          <w:sz w:val="22"/>
          <w:shd w:fill="auto" w:val="clear"/>
          <w:vertAlign w:val="superscript"/>
        </w:rPr>
        <w:t xml:space="preserve">3</w:t>
      </w:r>
      <w:r>
        <w:rPr>
          <w:rFonts w:ascii="Arial" w:hAnsi="Arial" w:cs="Arial" w:eastAsia="Arial"/>
          <w:color w:val="auto"/>
          <w:spacing w:val="0"/>
          <w:position w:val="0"/>
          <w:sz w:val="22"/>
          <w:shd w:fill="auto" w:val="clear"/>
        </w:rPr>
        <w:t xml:space="preserve"> Education plays an important role in promoting children’s ability to learn and understand, and allowing them to acquire skills to be productive in their day-to-day life.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Given the nature of this case, and despite the involvement of multidisciplinary healthcare services, we recommend that a different action plan should have been taken. Initially, all the family members should have been assessed in order to identify the correct agencies to include in the project. This would include a medical assessment of their physical and mental health in order to accurately refer them to the appropriate healthcare team or agency; and that the right Health professionals will attend the Child Protection meeting.</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Seeing that the children were also facing abuse from their father, the court’s decision to place the children with their father would not have been advisable, as they were simply being transferred from one abusive environment to another. To avoid this, it would have been sensible to place the children in a safe and stable environment (e.g. with a foster family), to ensure they are provided with the right care and support needed. Furthermore, we would recommend that the children receive counselling or therapy to help them overcome the previously reported antisocial behaviour, with an aim of getting them back to school on a regular basis.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Despite the mother having been offered bereavement advice, we believe she should have been offered assistance to leave her current abusive relationship first, and be placed in a safe place such as a women’s shelter or enrolled into an alcohol cessation/rehabilitation program to overcome the alcoholism. Removing her from the stressful environment and addressing the alcohol problem would most definitely improve her chances of responding positively to counselling and trauma therapy afterwards. Also, providing her with guided support through the court case and legal entitlements to protection would have ensured that she was more engaged with the efforts to help her family, and able to have her abusive partner prosecuted. This would potentially improve the mother’s overall wellbeing, and if sufficient progress is made following a second assessment, would allow her to resume care of both her children.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We also believe that the father should be included in the interventions to help the family, or where possible, elect an advocate who may represent him in planning and discussions. Given that childhood trauma can affect parenting behaviour and capacity,</w:t>
      </w:r>
      <w:r>
        <w:rPr>
          <w:rFonts w:ascii="Arial" w:hAnsi="Arial" w:cs="Arial" w:eastAsia="Arial"/>
          <w:color w:val="auto"/>
          <w:spacing w:val="0"/>
          <w:position w:val="0"/>
          <w:sz w:val="22"/>
          <w:shd w:fill="auto" w:val="clear"/>
          <w:vertAlign w:val="superscript"/>
        </w:rPr>
        <w:t xml:space="preserve">5</w:t>
      </w:r>
      <w:r>
        <w:rPr>
          <w:rFonts w:ascii="Arial" w:hAnsi="Arial" w:cs="Arial" w:eastAsia="Arial"/>
          <w:color w:val="auto"/>
          <w:spacing w:val="0"/>
          <w:position w:val="0"/>
          <w:sz w:val="22"/>
          <w:shd w:fill="auto" w:val="clear"/>
        </w:rPr>
        <w:t xml:space="preserve"> it may be beneficial to offer counselling and therapy to him as well as the mother if recommended by the healthcare professional. This would ultimately be in the best interest of the children depending on the response team’s assessment, as zero tolerance policies that separate children from either parents could end up causing further damage to them.</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Altogether, we believe that safeguarding the physical, mental and emotional wellbeing of the mother and children is of the utmost importance. As they have all experienced abuse, appropriate interventions will allow them to achieve the initial aims of the project. In addition, assisting the children to reintegrate into school will provide them with an additional channel of support as schools are dedicated to ensuring the wellbeing of their students. However, including the father in the intervention strategy and seeking the input of both parents will cultivate a combined approach from both parents, and potentially improve the overall wellbeing and future prospects of the children as members of the society and future parents.</w:t>
      </w:r>
    </w:p>
    <w:p>
      <w:pPr>
        <w:spacing w:before="0" w:after="160" w:line="360"/>
        <w:ind w:right="0" w:left="0" w:firstLine="0"/>
        <w:jc w:val="both"/>
        <w:rPr>
          <w:rFonts w:ascii="Arial" w:hAnsi="Arial" w:cs="Arial" w:eastAsia="Arial"/>
          <w:color w:val="A6A6A6"/>
          <w:spacing w:val="0"/>
          <w:position w:val="0"/>
          <w:sz w:val="22"/>
          <w:shd w:fill="auto" w:val="clear"/>
        </w:rPr>
      </w:pPr>
    </w:p>
    <w:p>
      <w:pPr>
        <w:keepNext w:val="true"/>
        <w:keepLines w:val="true"/>
        <w:spacing w:before="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References:</w:t>
      </w:r>
    </w:p>
    <w:p>
      <w:pPr>
        <w:numPr>
          <w:ilvl w:val="0"/>
          <w:numId w:val="4"/>
        </w:numPr>
        <w:spacing w:before="0" w:after="16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LIPPMAN, L. H. (2007). INDICATORS AND INDICES OF CHILD WELL-BEING: A BRIEF AMERICAN HISTORY. Social Indicators Research, 83(1), 39</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53.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http://www.jstor.org/stable/20734478</w:t>
        </w:r>
      </w:hyperlink>
      <w:r>
        <w:rPr>
          <w:rFonts w:ascii="Arial" w:hAnsi="Arial" w:cs="Arial" w:eastAsia="Arial"/>
          <w:color w:val="auto"/>
          <w:spacing w:val="0"/>
          <w:position w:val="0"/>
          <w:sz w:val="22"/>
          <w:shd w:fill="auto" w:val="clear"/>
        </w:rPr>
        <w:t xml:space="preserve"> . Accessed 20 July 2022.</w:t>
      </w:r>
    </w:p>
    <w:p>
      <w:pPr>
        <w:numPr>
          <w:ilvl w:val="0"/>
          <w:numId w:val="4"/>
        </w:numPr>
        <w:spacing w:before="0" w:after="16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Moore, K. A., Lippman, L., &amp; Brown, B. (2004). Indicators of Child Well-Being: the Promise for Positive Youth Development. The ANNALS of the American Academy of Political and Social Science, 591(1), 125</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145.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https://doi.org/10.1177/0002716203260103</w:t>
        </w:r>
      </w:hyperlink>
    </w:p>
    <w:p>
      <w:pPr>
        <w:numPr>
          <w:ilvl w:val="0"/>
          <w:numId w:val="4"/>
        </w:numPr>
        <w:spacing w:before="0" w:after="16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Office for National Statistics (ONS) (2020). Children’s well-being indicator review, UK: 2020.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https://www.ons.gov.uk/peoplepopulationandcommunity/wellbeing/articles/childrenswellbeingindicatorreviewuk2020/2020-09-02</w:t>
        </w:r>
      </w:hyperlink>
      <w:r>
        <w:rPr>
          <w:rFonts w:ascii="Arial" w:hAnsi="Arial" w:cs="Arial" w:eastAsia="Arial"/>
          <w:color w:val="auto"/>
          <w:spacing w:val="0"/>
          <w:position w:val="0"/>
          <w:sz w:val="22"/>
          <w:shd w:fill="auto" w:val="clear"/>
        </w:rPr>
        <w:t xml:space="preserve">. Accessed 20 July 2022.</w:t>
      </w:r>
    </w:p>
    <w:p>
      <w:pPr>
        <w:numPr>
          <w:ilvl w:val="0"/>
          <w:numId w:val="4"/>
        </w:numPr>
        <w:spacing w:before="0" w:after="16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Lippman, L.H., Moore, K.A. &amp; McIntosh, H. Positive Indicators of Child Well-Being: A Conceptual Framework, Measures, and Methodological Issues. Applied Research Quality Life 6, 425</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449 (2011).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https://doi.org/10.1007/s11482-011-9138-6</w:t>
        </w:r>
      </w:hyperlink>
    </w:p>
    <w:p>
      <w:pPr>
        <w:numPr>
          <w:ilvl w:val="0"/>
          <w:numId w:val="4"/>
        </w:numPr>
        <w:spacing w:before="0" w:after="16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Reid C, McKenzie JE, Brennan SE, Bennetts SK, Clark Y, Mensah F, Hokke S, Ralph N, Brown SJ, Gee G, Nicholson JM, Chamberlain C. Interventions during pregnancy or up to two years after birth for parents who are experiencing complex trauma or have experienced maltreatment in their childhood (or both) to improve parenting capacity or socio</w:t>
      </w:r>
      <w:r>
        <w:rPr>
          <w:rFonts w:ascii="Cambria Math" w:hAnsi="Cambria Math" w:cs="Cambria Math" w:eastAsia="Cambria Math"/>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emotional well</w:t>
      </w:r>
      <w:r>
        <w:rPr>
          <w:rFonts w:ascii="Cambria Math" w:hAnsi="Cambria Math" w:cs="Cambria Math" w:eastAsia="Cambria Math"/>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being. Cochrane Database of Systematic Reviews 2021, Issue 7. Art. No.: CD014874.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https://doi.org/10.1002/14651858.CD014874</w:t>
        </w:r>
      </w:hyperlink>
      <w:r>
        <w:rPr>
          <w:rFonts w:ascii="Arial" w:hAnsi="Arial" w:cs="Arial" w:eastAsia="Arial"/>
          <w:color w:val="auto"/>
          <w:spacing w:val="0"/>
          <w:position w:val="0"/>
          <w:sz w:val="22"/>
          <w:shd w:fill="auto" w:val="clear"/>
        </w:rPr>
        <w:t xml:space="preserve">. Accessed 20 July 2022.</w:t>
      </w:r>
    </w:p>
  </w:body>
</w:document>
</file>

<file path=word/numbering.xml><?xml version="1.0" encoding="utf-8"?>
<w:numbering xmlns:w="http://schemas.openxmlformats.org/wordprocessingml/2006/main">
  <w:abstractNum w:abstractNumId="0">
    <w:lvl w:ilvl="0">
      <w:start w:val="1"/>
      <w:numFmt w:val="bullet"/>
      <w:lvlText w:val="•"/>
    </w:lvl>
  </w:abstractNum>
  <w:num w:numId="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177/0002716203260103" Id="docRId1" Type="http://schemas.openxmlformats.org/officeDocument/2006/relationships/hyperlink" /><Relationship TargetMode="External" Target="https://doi.org/10.1007/s11482-011-9138-6" Id="docRId3" Type="http://schemas.openxmlformats.org/officeDocument/2006/relationships/hyperlink" /><Relationship Target="numbering.xml" Id="docRId5" Type="http://schemas.openxmlformats.org/officeDocument/2006/relationships/numbering" /><Relationship TargetMode="External" Target="http://www.jstor.org/stable/20734478" Id="docRId0" Type="http://schemas.openxmlformats.org/officeDocument/2006/relationships/hyperlink" /><Relationship TargetMode="External" Target="https://www.ons.gov.uk/peoplepopulationandcommunity/wellbeing/articles/childrenswellbeingindicatorreviewuk2020/2020-09-02" Id="docRId2" Type="http://schemas.openxmlformats.org/officeDocument/2006/relationships/hyperlink" /><Relationship TargetMode="External" Target="https://doi.org/10.1002/14651858.CD014874" Id="docRId4" Type="http://schemas.openxmlformats.org/officeDocument/2006/relationships/hyperlink" /><Relationship Target="styles.xml" Id="docRId6" Type="http://schemas.openxmlformats.org/officeDocument/2006/relationships/styles" /></Relationships>
</file>