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999B96" w14:textId="77777777" w:rsidR="00763E7C" w:rsidRPr="000D7997" w:rsidRDefault="00763E7C" w:rsidP="00CB040C">
      <w:pPr>
        <w:ind w:left="720" w:firstLine="720"/>
        <w:rPr>
          <w:b/>
          <w:bCs/>
        </w:rPr>
      </w:pPr>
      <w:r w:rsidRPr="000D7997">
        <w:rPr>
          <w:b/>
          <w:bCs/>
        </w:rPr>
        <w:t>What role do histories play in the dissemination of the ‘Norman Myth’?</w:t>
      </w:r>
    </w:p>
    <w:p w14:paraId="0B828A6D" w14:textId="77777777" w:rsidR="00E128BF" w:rsidRPr="000D7997" w:rsidRDefault="00E128BF" w:rsidP="00127F40"/>
    <w:p w14:paraId="319563D6" w14:textId="788AE914" w:rsidR="00127F40" w:rsidRPr="000D7997" w:rsidRDefault="008F734E" w:rsidP="00127F40">
      <w:r w:rsidRPr="000D7997">
        <w:t>The “Norman Myth” extended beyond the idea that the Normans were successful conquerors. It rested on the wider belief that they were unusually disciplined, legitimate, militarily effective, and favoured by God.</w:t>
      </w:r>
      <w:r w:rsidRPr="000D7997">
        <w:t xml:space="preserve"> </w:t>
      </w:r>
      <w:r w:rsidR="00666858" w:rsidRPr="000D7997">
        <w:t>E</w:t>
      </w:r>
      <w:r w:rsidR="00666858" w:rsidRPr="000D7997">
        <w:t>leventh and twelfth</w:t>
      </w:r>
      <w:r w:rsidR="00666858" w:rsidRPr="000D7997">
        <w:t xml:space="preserve"> </w:t>
      </w:r>
      <w:r w:rsidR="00666858" w:rsidRPr="000D7997">
        <w:t>century histories</w:t>
      </w:r>
      <w:r w:rsidR="00127F40" w:rsidRPr="000D7997">
        <w:t xml:space="preserve"> played a major role in creating and spreading this image. </w:t>
      </w:r>
      <w:r w:rsidR="006A7505" w:rsidRPr="000D7997">
        <w:t>The works of chroniclers such as Dudo of Saint-Quentin, William of Poitiers, and Orderic Vitalis did not simply record Norman success. They helped explain it in ways that made conquest look lawful, dynastic rule look older and more secure, and political violence look less like opportunism. This matters because Norman power was often more fragile than these histories suggest.</w:t>
      </w:r>
      <w:r w:rsidR="00D93F88" w:rsidRPr="000D7997">
        <w:t xml:space="preserve"> </w:t>
      </w:r>
      <w:r w:rsidR="003271C1" w:rsidRPr="000D7997">
        <w:t>These texts circulated mainly among aristocratic and ecclesiastical audiences, the very groups whose cooperation helped sustain Norman rule.</w:t>
      </w:r>
      <w:r w:rsidR="003271C1" w:rsidRPr="000D7997">
        <w:t xml:space="preserve"> </w:t>
      </w:r>
      <w:r w:rsidR="00127F40" w:rsidRPr="000D7997">
        <w:t>R. H. C. Davis famously identified the existence of a “Norman Myth”</w:t>
      </w:r>
      <w:r w:rsidR="00666858" w:rsidRPr="000D7997">
        <w:t>.</w:t>
      </w:r>
      <w:r w:rsidR="001063F7" w:rsidRPr="000D7997">
        <w:rPr>
          <w:rStyle w:val="FootnoteReference"/>
        </w:rPr>
        <w:footnoteReference w:id="1"/>
      </w:r>
      <w:r w:rsidR="00666858" w:rsidRPr="000D7997">
        <w:t xml:space="preserve"> </w:t>
      </w:r>
      <w:r w:rsidR="007C47A8" w:rsidRPr="000D7997">
        <w:t>Earlier scholarship often treated Norman identity as relatively coherent, while more recent historians have placed greater emphasis on its construction through narrative.</w:t>
      </w:r>
      <w:r w:rsidR="00127F40" w:rsidRPr="000D7997">
        <w:t xml:space="preserve"> </w:t>
      </w:r>
      <w:r w:rsidR="006A7505" w:rsidRPr="000D7997">
        <w:t>The myth lasted because it was copied, read, and repeated in the institutions where Norman power was explained and defended.</w:t>
      </w:r>
    </w:p>
    <w:p w14:paraId="23C78CE3" w14:textId="5BDB7612" w:rsidR="00AD4156" w:rsidRPr="000D7997" w:rsidRDefault="00127F40" w:rsidP="00127F40">
      <w:r w:rsidRPr="000D7997">
        <w:t>One of the clearest examples of this process can be seen in the writings of Dudo of Saint-Quentin. Writing in the early eleventh century under the patronage of the Norman dukes, Dudo attempted to provide the Norman elite with a prestigious and coherent past</w:t>
      </w:r>
      <w:r w:rsidR="00C53D7E" w:rsidRPr="000D7997">
        <w:t>, in a time when</w:t>
      </w:r>
      <w:r w:rsidRPr="000D7997">
        <w:t xml:space="preserve"> Norman political identity was still insecure. Normandy remained vulnerable to aristocratic rivalries, while Scandinavian ancestry carried associations with pagan violence and instability.</w:t>
      </w:r>
    </w:p>
    <w:p w14:paraId="1924245A" w14:textId="3010AD7D" w:rsidR="00AD4156" w:rsidRPr="000D7997" w:rsidRDefault="00AD4156" w:rsidP="00127F40">
      <w:r w:rsidRPr="000D7997">
        <w:t>Dudo’s treatment of Rollo shows this process clearly. Rollo is not presented merely as a successful raider who happens to settle in Francia. His violence is given a direction: it leads towards baptism, landholding, and the foundation of ducal rule. This is important because Dudo does not need to deny the Scandinavian and violent origins of the Normans. Instead, he makes those origins useful. The pagan past becomes the beginning of a story that ends in Christian rulership.</w:t>
      </w:r>
      <w:r w:rsidR="001063F7" w:rsidRPr="000D7997">
        <w:rPr>
          <w:rStyle w:val="FootnoteReference"/>
        </w:rPr>
        <w:footnoteReference w:id="2"/>
      </w:r>
      <w:r w:rsidRPr="000D7997">
        <w:t xml:space="preserve"> Rollo’s conversion therefore acts as more than a religious episode. It provides a way of explaining how former raiders could become legitimate rulers within a Christian political order. Genealogy strengthens the same point. By arranging the early Norman dukes into a continuous line of rulers, Dudo gives a relatively recent dynasty the appearance of depth and continuity. The </w:t>
      </w:r>
      <w:r w:rsidRPr="000D7997">
        <w:lastRenderedPageBreak/>
        <w:t>result is a past that makes Norman power look older, more stable, and more respectable than it really was.</w:t>
      </w:r>
      <w:r w:rsidR="00300B25" w:rsidRPr="000D7997">
        <w:rPr>
          <w:rStyle w:val="FootnoteReference"/>
        </w:rPr>
        <w:footnoteReference w:id="3"/>
      </w:r>
    </w:p>
    <w:p w14:paraId="69AD1998" w14:textId="22FEA86C" w:rsidR="00AD4156" w:rsidRPr="000D7997" w:rsidRDefault="00AD4156" w:rsidP="00127F40">
      <w:r w:rsidRPr="000D7997">
        <w:t>Dudo’s Gesta Normannorum therefore functions more as political literature than objective history. The text repeatedly favours moral symbolism over strict accuracy. His account of Rollo’s vision, in which leprosy represents sin and the fountain represents baptism, is a clear example of this method.</w:t>
      </w:r>
      <w:r w:rsidR="00300B25" w:rsidRPr="000D7997">
        <w:rPr>
          <w:rStyle w:val="FootnoteReference"/>
        </w:rPr>
        <w:footnoteReference w:id="4"/>
      </w:r>
      <w:r w:rsidRPr="000D7997">
        <w:t xml:space="preserve"> The vision does not just decorate the narrative; it teaches the reader how to interpret Norman origins. Violence, sin, conversion, and lordship are made part of the same providential pattern. This is where Dudo’s myth-making becomes most visible. David Bates’ work on Normandy before 1066 presents a much less settled political world than Dudo’s account implies. Ducal authority had to be negotiated among powerful aristocratic families, and Norman unity was often fragile. Dudo’s history therefore looks less like a straightforward description of Norman society than an attempt to give that society a usable and respectable past.</w:t>
      </w:r>
      <w:r w:rsidR="00300B25" w:rsidRPr="000D7997">
        <w:rPr>
          <w:rStyle w:val="FootnoteReference"/>
        </w:rPr>
        <w:footnoteReference w:id="5"/>
      </w:r>
    </w:p>
    <w:p w14:paraId="3856704A" w14:textId="02C35A03" w:rsidR="00127F40" w:rsidRPr="000D7997" w:rsidRDefault="00127F40" w:rsidP="00127F40">
      <w:r w:rsidRPr="000D7997">
        <w:t xml:space="preserve">After 1066 these arguments became even more important. Whereas Dudo focused mainly upon strengthening ducal authority within Normandy, William of Poitiers wrote to justify conquest. His </w:t>
      </w:r>
      <w:r w:rsidRPr="000D7997">
        <w:rPr>
          <w:i/>
          <w:iCs/>
        </w:rPr>
        <w:t>Gesta Guillelmi</w:t>
      </w:r>
      <w:r w:rsidRPr="000D7997">
        <w:t xml:space="preserve"> presents Duke William as the rightful heir to the English throne rather than an opportunistic invader. Central to this argument is Harold Godwinson’s alleged oath to William. In Poitiers’ account, Harold’s oath is not a minor diplomatic episode. It becomes the moral hinge of the whole conquest narrative, since Harold’s kingship can then be presented as perjury rather than legitimate succession. </w:t>
      </w:r>
      <w:r w:rsidR="006A7505" w:rsidRPr="000D7997">
        <w:t>Once Harold is framed as oath-breaker, the meaning of 1066 changes. William is no longer just a duke pressing a claim by force; he becomes the man correcting Harold’s betrayal.</w:t>
      </w:r>
      <w:r w:rsidRPr="000D7997">
        <w:t xml:space="preserve"> The succession crisis consequently became a moral issue rather than a straightforward struggle over power.</w:t>
      </w:r>
      <w:r w:rsidR="00300B25" w:rsidRPr="000D7997">
        <w:rPr>
          <w:rStyle w:val="FootnoteReference"/>
        </w:rPr>
        <w:footnoteReference w:id="6"/>
      </w:r>
    </w:p>
    <w:p w14:paraId="671E8ED0" w14:textId="05A140D9" w:rsidR="00127F40" w:rsidRPr="000D7997" w:rsidRDefault="006A7505" w:rsidP="00127F40">
      <w:r w:rsidRPr="000D7997">
        <w:t>This narrative also appears in other Norman-friendly representations of 1066. Wido’s Carmen de Hastingae Proelio helped cast Hastings as a heroic episode rather than a straightforward act of political opportunism.</w:t>
      </w:r>
      <w:r w:rsidRPr="000D7997">
        <w:t xml:space="preserve"> </w:t>
      </w:r>
      <w:r w:rsidR="00F413EE" w:rsidRPr="000D7997">
        <w:t>The Bayeux Tapestry develops the same logic visually. Its oath scene places Harold beside holy relics, making his later kingship appear shadowed by perjury. Harold’s defeat could be understood as morally deserved</w:t>
      </w:r>
      <w:r w:rsidR="007C47A8" w:rsidRPr="000D7997">
        <w:t>, rather than simply as a victory for William</w:t>
      </w:r>
      <w:r w:rsidR="00F413EE" w:rsidRPr="000D7997">
        <w:t>.</w:t>
      </w:r>
      <w:r w:rsidR="00300B25" w:rsidRPr="000D7997">
        <w:rPr>
          <w:rStyle w:val="FootnoteReference"/>
        </w:rPr>
        <w:footnoteReference w:id="7"/>
      </w:r>
      <w:r w:rsidR="00F413EE" w:rsidRPr="000D7997">
        <w:t xml:space="preserve"> Together, these accounts turned a disputed succession into a story about oath-breaking, rightful punishment, and the restoration of order. </w:t>
      </w:r>
      <w:r w:rsidR="003271C1" w:rsidRPr="000D7997">
        <w:t xml:space="preserve">Primary accounts often emphasised continuity and effective rule, whereas historians such as Nick Webber have placed greater emphasis on the instability and </w:t>
      </w:r>
      <w:r w:rsidR="003271C1" w:rsidRPr="000D7997">
        <w:lastRenderedPageBreak/>
        <w:t>constructed nature of Norman identity itself.</w:t>
      </w:r>
      <w:r w:rsidR="003271C1" w:rsidRPr="000D7997">
        <w:t xml:space="preserve"> </w:t>
      </w:r>
      <w:r w:rsidR="00127F40" w:rsidRPr="000D7997">
        <w:t>In practice, Norman politics often looked less unified than these histories imply.</w:t>
      </w:r>
      <w:r w:rsidR="00300B25" w:rsidRPr="000D7997">
        <w:rPr>
          <w:rStyle w:val="FootnoteReference"/>
        </w:rPr>
        <w:footnoteReference w:id="8"/>
      </w:r>
    </w:p>
    <w:p w14:paraId="1A59A9CA" w14:textId="66CFE13C" w:rsidR="00127F40" w:rsidRPr="000D7997" w:rsidRDefault="00127F40" w:rsidP="00127F40">
      <w:r w:rsidRPr="000D7997">
        <w:t>Norman authority in England remained insecure for years after the conquest. Rebellions continued throughout William I’s reign, particularly in the north. The Harrying of the North alone demonstrates how fragile Norman control could be.</w:t>
      </w:r>
      <w:r w:rsidR="00300B25" w:rsidRPr="000D7997">
        <w:rPr>
          <w:rStyle w:val="FootnoteReference"/>
        </w:rPr>
        <w:footnoteReference w:id="9"/>
      </w:r>
      <w:r w:rsidRPr="000D7997">
        <w:t xml:space="preserve"> Yet these tensions rarely occupy the centre of Norman historical writing. Norman writers focused instead upon rightful rule, military success interpreted as God’s favour, and political order. Military victory alone did not guarantee acceptance after 1066</w:t>
      </w:r>
      <w:r w:rsidR="00C53D7E" w:rsidRPr="000D7997">
        <w:t>, and</w:t>
      </w:r>
      <w:r w:rsidRPr="000D7997">
        <w:t xml:space="preserve"> Norman rulers still had to convince both elites and churchmen that the conquest itself had been lawful.</w:t>
      </w:r>
    </w:p>
    <w:p w14:paraId="6E40021C" w14:textId="275A56A1" w:rsidR="00A225A0" w:rsidRPr="000D7997" w:rsidRDefault="00A225A0" w:rsidP="00A225A0">
      <w:r w:rsidRPr="000D7997">
        <w:t xml:space="preserve">Norman historians were also writing against competing memories of conquest. This is one of the clearest signs that the Norman Myth required constant reinforcement rather than passive acceptance. One useful example is the role of castles in memories of Norman rule. To Norman rulers, castles could be presented as instruments of order, lordship, and political control in a newly conquered kingdom. Yet English traditions remembered them very differently. </w:t>
      </w:r>
      <w:r w:rsidR="007C47A8" w:rsidRPr="000D7997">
        <w:t>Across different entries, the Anglo-Saxon Chronicle associates Norman and post-Conquest rule with castle-building, heavy exaction, and oppression</w:t>
      </w:r>
      <w:commentRangeStart w:id="0"/>
      <w:r w:rsidRPr="000D7997">
        <w:t>, giving a much darker picture of conquest than Norman narratives of lawful rule and stability. In this memory, castles were visible signs of occupation.</w:t>
      </w:r>
      <w:commentRangeEnd w:id="0"/>
      <w:r w:rsidR="007C47A8" w:rsidRPr="000D7997">
        <w:rPr>
          <w:rStyle w:val="CommentReference"/>
          <w:sz w:val="24"/>
          <w:szCs w:val="24"/>
          <w:vertAlign w:val="superscript"/>
        </w:rPr>
        <w:commentReference w:id="0"/>
      </w:r>
      <w:r w:rsidR="00300B25" w:rsidRPr="000D7997">
        <w:rPr>
          <w:rStyle w:val="FootnoteReference"/>
        </w:rPr>
        <w:footnoteReference w:id="10"/>
      </w:r>
    </w:p>
    <w:p w14:paraId="289DD11A" w14:textId="11C250B7" w:rsidR="00A225A0" w:rsidRPr="000D7997" w:rsidRDefault="006A7505" w:rsidP="00A225A0">
      <w:r w:rsidRPr="000D7997">
        <w:t>The point is important because Norman writers were not working in a vacuum</w:t>
      </w:r>
      <w:r w:rsidR="00D93F88" w:rsidRPr="000D7997">
        <w:t>.</w:t>
      </w:r>
      <w:r w:rsidR="00D93F88" w:rsidRPr="000D7997">
        <w:t xml:space="preserve"> </w:t>
      </w:r>
      <w:r w:rsidR="00A225A0" w:rsidRPr="000D7997">
        <w:t xml:space="preserve">Norman rule had to be explained and validated. English traditions did not necessarily remember 1066 as a lawful transfer of power or as the beginning of stable rule. For many within England, conquest represented violent dispossession. </w:t>
      </w:r>
      <w:commentRangeStart w:id="1"/>
      <w:r w:rsidR="00A225A0" w:rsidRPr="000D7997">
        <w:t xml:space="preserve">The </w:t>
      </w:r>
      <w:r w:rsidR="00A225A0" w:rsidRPr="000D7997">
        <w:rPr>
          <w:i/>
          <w:iCs/>
        </w:rPr>
        <w:t>Chronicle</w:t>
      </w:r>
      <w:r w:rsidR="00A225A0" w:rsidRPr="000D7997">
        <w:t xml:space="preserve"> repeatedly describes the consequences of Norman authority in terms of suffering, exaction, and intimidation. Later Anglo-Saxon Chronicle tradition, particularly the Peterborough account written during</w:t>
      </w:r>
      <w:r w:rsidR="00421C98" w:rsidRPr="000D7997">
        <w:t xml:space="preserve"> King</w:t>
      </w:r>
      <w:r w:rsidR="00A225A0" w:rsidRPr="000D7997">
        <w:t xml:space="preserve"> Stephen’s reign, famously describes castles as being ‘filled with devils and evil men’, showing how castle-building could be remembered as oppression rather than legitimate lordship. William’s rule is associated less with divine approval than fear.</w:t>
      </w:r>
      <w:r w:rsidR="00300B25" w:rsidRPr="000D7997">
        <w:rPr>
          <w:rStyle w:val="FootnoteReference"/>
        </w:rPr>
        <w:footnoteReference w:id="11"/>
      </w:r>
      <w:r w:rsidR="00A225A0" w:rsidRPr="000D7997">
        <w:t xml:space="preserve"> </w:t>
      </w:r>
      <w:commentRangeEnd w:id="1"/>
      <w:r w:rsidR="00933711" w:rsidRPr="000D7997">
        <w:rPr>
          <w:rStyle w:val="CommentReference"/>
          <w:sz w:val="24"/>
          <w:szCs w:val="24"/>
        </w:rPr>
        <w:commentReference w:id="1"/>
      </w:r>
      <w:r w:rsidR="00A225A0" w:rsidRPr="000D7997">
        <w:t xml:space="preserve">The contrast reveals that the Norman Myth was contested from the beginning and not universally accepted. </w:t>
      </w:r>
      <w:r w:rsidR="007C47A8" w:rsidRPr="000D7997">
        <w:t>These histories therefore served not only to praise Norman rule, but also to defend it against alternative interpretations of conquest.</w:t>
      </w:r>
    </w:p>
    <w:p w14:paraId="0677FBA1" w14:textId="0FBC70C2" w:rsidR="00AD4156" w:rsidRPr="000D7997" w:rsidRDefault="00AD4156" w:rsidP="00A225A0">
      <w:r w:rsidRPr="000D7997">
        <w:t xml:space="preserve">At the same time, dismissing Norman histories as simple propaganda would be too easy. Norman writers were not working with nothing. The Normans had achieved striking military and political success in Normandy, England, southern Italy, and Sicily. The myth worked because it took those real achievements and gave them a larger </w:t>
      </w:r>
      <w:r w:rsidRPr="000D7997">
        <w:lastRenderedPageBreak/>
        <w:t>meaning. Adaptability, aristocratic aggression, and a willingness to work within local political systems gave chroniclers real successes to interpret.</w:t>
      </w:r>
      <w:r w:rsidR="00300B25" w:rsidRPr="000D7997">
        <w:rPr>
          <w:rStyle w:val="FootnoteReference"/>
        </w:rPr>
        <w:footnoteReference w:id="12"/>
      </w:r>
      <w:r w:rsidRPr="000D7997">
        <w:t xml:space="preserve"> This helps explain why earlier historians such as R. H. C. Davis placed so much emphasis on Norman capability and cohesion. More recent scholarship, however, has questioned how far these qualities represented a uniquely Norman ethnic identity rather than the product of political circumstance and literary construction</w:t>
      </w:r>
      <w:r w:rsidR="00300B25" w:rsidRPr="000D7997">
        <w:rPr>
          <w:rStyle w:val="FootnoteReference"/>
        </w:rPr>
        <w:footnoteReference w:id="13"/>
      </w:r>
      <w:r w:rsidRPr="000D7997">
        <w:t>. Norman histories therefore did not invent success, but they did make it appear more unified, distinctive, and providential than it often was.</w:t>
      </w:r>
    </w:p>
    <w:p w14:paraId="6AA0FF3D" w14:textId="00B9C316" w:rsidR="006B2F64" w:rsidRPr="000D7997" w:rsidRDefault="006B2F64" w:rsidP="00A225A0">
      <w:r w:rsidRPr="000D7997">
        <w:t>Papal approval gave the Norman Myth another useful layer of authority. This mattered because Norman rulers repeatedly governed as outsiders. In Normandy they were descended from Scandinavian settlers ruling among a largely Frankish population; in England they arrived as conquerors; in southern Italy and Sicily they first appeared as mercenaries and adventurers. In each case, conquest required explanation. Historical writing could present Norman power as more than private ambition or aristocratic violence. The same logic could be applied to England, where claims of papal approval helped William’s invasion appear morally sanctioned rather than merely political. If conquest could be linked to reform, rightful judgement, or service to the Church, then Norman success became easier to present as part of a wider Christian order.</w:t>
      </w:r>
      <w:r w:rsidR="00300B25" w:rsidRPr="000D7997">
        <w:rPr>
          <w:rStyle w:val="FootnoteReference"/>
        </w:rPr>
        <w:footnoteReference w:id="14"/>
      </w:r>
    </w:p>
    <w:p w14:paraId="6C868E2B" w14:textId="49B9756B" w:rsidR="006B2F64" w:rsidRPr="000D7997" w:rsidRDefault="006B2F64" w:rsidP="006B2F64">
      <w:r w:rsidRPr="000D7997">
        <w:t>Southern Italy shows the point especially clearly. Earlier in the eleventh century, Norman mercenaries were often viewed with suspicion because of their violence and opportunism. Their rise was not obviously respectable. Norman leaders such as Robert Guiscard had gained power through warfare, shifting alliances, and territorial pressure, rather than through long-established dynastic right. Yet papal attitudes changed as Norman military strength became too useful to ignore. The alliance between Pope Nicholas II and Robert Guiscard at Melfi in 1059 was therefore highly significant. Its importance lay in the change of category it allowed: Guiscard could be remembered less as a disruptive warlord and more as a recognised defender of papal interests. Melfi transformed him from a dangerous outsider into a papal ally and vassal, granting him authority in Apulia, Calabria, and Sicily in return for loyalty and military support.</w:t>
      </w:r>
      <w:r w:rsidR="00300B25" w:rsidRPr="000D7997">
        <w:rPr>
          <w:rStyle w:val="FootnoteReference"/>
        </w:rPr>
        <w:footnoteReference w:id="15"/>
      </w:r>
      <w:r w:rsidRPr="000D7997">
        <w:t xml:space="preserve"> </w:t>
      </w:r>
      <w:r w:rsidRPr="000D7997">
        <w:t>This did not remove the violence of Norman expansion, but it changed how that violence could be explained.</w:t>
      </w:r>
    </w:p>
    <w:p w14:paraId="0108FFCF" w14:textId="7904DC93" w:rsidR="006B2F64" w:rsidRPr="000D7997" w:rsidRDefault="006B2F64" w:rsidP="006B2F64">
      <w:r w:rsidRPr="000D7997">
        <w:t xml:space="preserve">For Norman writers and supporters, this kind of recognition mattered because it allowed expansion to be framed as service to Christian order rather than mere conquest. Papal recognition gave chroniclers a language through which Norman rule could be presented as authorised, useful, and even reforming. This strengthened the </w:t>
      </w:r>
      <w:r w:rsidRPr="000D7997">
        <w:lastRenderedPageBreak/>
        <w:t>wider Norman Myth because it made Norman expansion appear religiously meaningful as well as militarily successful. At the same time, the relationship was never purely spiritual. The papacy needed Norman military support, while Norman rulers benefited from papal recognition. The language of religious approval therefore often concealed a practical bargain.</w:t>
      </w:r>
      <w:r w:rsidR="00300B25" w:rsidRPr="000D7997">
        <w:rPr>
          <w:rStyle w:val="FootnoteReference"/>
        </w:rPr>
        <w:footnoteReference w:id="16"/>
      </w:r>
      <w:r w:rsidRPr="000D7997">
        <w:t xml:space="preserve"> Histories helped make that bargain look less like mutual convenience and more like providential alignment.</w:t>
      </w:r>
    </w:p>
    <w:p w14:paraId="007E3299" w14:textId="77777777" w:rsidR="006B2F64" w:rsidRPr="000D7997" w:rsidRDefault="006B2F64" w:rsidP="00127F40"/>
    <w:p w14:paraId="2D90795E" w14:textId="2955F384" w:rsidR="006B2F64" w:rsidRPr="000D7997" w:rsidRDefault="006B2F64" w:rsidP="00127F40">
      <w:r w:rsidRPr="000D7997">
        <w:t>Norman politics itself exposes the gap between the myth and reality. Norman chroniclers repeatedly praised unity and discipline, yet Norman power was often contested in practice. Aristocratic rebellions were common in both Normandy and England, and rivalries between leading families regularly threatened ducal and royal authority. Even William I struggled to control his own relatives. Robert Curthose’s rebellion against his father exposed the limits of dynastic cohesion, while disputes between magnates continued to unsettle the Anglo-Norman realm in the late eleventh century. Norman unity was therefore partly retrospective, shaped by chroniclers as much as by political reality itself.</w:t>
      </w:r>
      <w:r w:rsidR="00300B25" w:rsidRPr="000D7997">
        <w:rPr>
          <w:rStyle w:val="FootnoteReference"/>
        </w:rPr>
        <w:footnoteReference w:id="17"/>
      </w:r>
    </w:p>
    <w:p w14:paraId="5BEB6712" w14:textId="5BCD59A3" w:rsidR="006B2F64" w:rsidRPr="000D7997" w:rsidRDefault="006B2F64" w:rsidP="006B2F64">
      <w:r w:rsidRPr="000D7997">
        <w:t>This tension appears especially clearly in the writings of Orderic Vitalis. Orderic is useful precisely because he does not let the myth run smoothly. His condemnation of William’s devastation of the north in 1069–70 is especially revealing, since he presents Norman conquest not simply as success, but as an act of cruelty that produced famine and suffering.</w:t>
      </w:r>
      <w:r w:rsidR="000D7997" w:rsidRPr="000D7997">
        <w:rPr>
          <w:rStyle w:val="FootnoteReference"/>
        </w:rPr>
        <w:footnoteReference w:id="18"/>
      </w:r>
      <w:r w:rsidRPr="000D7997">
        <w:t xml:space="preserve"> This matters because Orderic was not writing from the position of an English victim of conquest alone. He wrote from within the Anglo-Norman world itself, and his history preserved many assumptions about Norman importance and achievement. Yet he was also willing to show the costs of expansion. Unlike William of Poitiers, whose account is much more concerned with defending William’s claim, Orderic had more room to reflect on what conquest and lordship actually produced.</w:t>
      </w:r>
    </w:p>
    <w:p w14:paraId="70DE04F0" w14:textId="4E30DC56" w:rsidR="006B2F64" w:rsidRPr="000D7997" w:rsidRDefault="006B2F64" w:rsidP="006B2F64">
      <w:r w:rsidRPr="000D7997">
        <w:t xml:space="preserve">His wider treatment of Norman aristocratic society reinforces this point. Orderic repeatedly presents a world shaped by feuding lords, rebellion, greed, and destructive lordship. These details sit awkwardly beside the cleaner image of Norman discipline and rightful conquest found in more triumphalist accounts. Orderic still treats Norman expansion as historically significant, and he does not simply abandon the idea that Norman power mattered within providential history. However, his account makes it harder to present Norman success as straightforward evidence of virtue or divine favour. Davis argues that Orderic combined admiration for Norman achievement with </w:t>
      </w:r>
      <w:r w:rsidRPr="000D7997">
        <w:lastRenderedPageBreak/>
        <w:t>genuine concern about its consequences.</w:t>
      </w:r>
      <w:r w:rsidR="000D7997" w:rsidRPr="000D7997">
        <w:rPr>
          <w:rStyle w:val="FootnoteReference"/>
        </w:rPr>
        <w:footnoteReference w:id="19"/>
      </w:r>
      <w:r w:rsidRPr="000D7997">
        <w:t xml:space="preserve"> Orderic therefore shows that the Norman Myth could survive criticism, but only by becoming more morally complicated.</w:t>
      </w:r>
    </w:p>
    <w:p w14:paraId="4D0BC99B" w14:textId="77777777" w:rsidR="00127F40" w:rsidRPr="000D7997" w:rsidRDefault="00127F40" w:rsidP="00127F40">
      <w:r w:rsidRPr="000D7997">
        <w:t>Norman historical writing was never completely uniform. Differences between Dudo, Poitiers, and Orderic reveal changing political concerns and differing moral perspectives. Nevertheless, these works repeatedly returned to similar assumptions regarding conquest, rulership, and God’s approval. Dudo attempted to give the Norman aristocracy an honourable Christian origin story at a time when ducal authority remained insecure. William of Poitiers focused far more heavily upon defending conquest and legitimising Norman rule in England. Orderic Vitalis wrote within a more established Anglo-Norman world, which allowed greater room for criticism and reflection. Yet despite these differences, all three chroniclers contributed to the wider dissemination of Norman exceptionalism.</w:t>
      </w:r>
    </w:p>
    <w:p w14:paraId="5842128E" w14:textId="575740FF" w:rsidR="00127F40" w:rsidRPr="000D7997" w:rsidRDefault="00D93F88" w:rsidP="00127F40">
      <w:r w:rsidRPr="000D7997">
        <w:t>This myth spread through both the writing and circulation of histories.</w:t>
      </w:r>
      <w:r w:rsidR="003271C1" w:rsidRPr="000D7997">
        <w:t xml:space="preserve"> Norman narratives achieved influence through repetition as much as composition. Patronage was central to this process.</w:t>
      </w:r>
      <w:r w:rsidR="00127F40" w:rsidRPr="000D7997">
        <w:t xml:space="preserve"> Norman rulers and aristocrats supported chroniclers because historical writing reinforced political authority and elite identity. These histories were products of wider aristocratic and ecclesiastical networks tied closely to power</w:t>
      </w:r>
      <w:r w:rsidR="00E279A8" w:rsidRPr="000D7997">
        <w:t xml:space="preserve">. </w:t>
      </w:r>
      <w:r w:rsidR="00E279A8" w:rsidRPr="000D7997">
        <w:t>Monastic communities were not politically neutral institutions. Many depended upon aristocratic and ducal patronage, so their historical writing often reflected the commemorative, institutional, and political interests of Norman rulers and benefactors.</w:t>
      </w:r>
      <w:r w:rsidR="000D7997" w:rsidRPr="000D7997">
        <w:rPr>
          <w:rStyle w:val="FootnoteReference"/>
        </w:rPr>
        <w:footnoteReference w:id="20"/>
      </w:r>
      <w:r w:rsidR="00E279A8" w:rsidRPr="000D7997">
        <w:t xml:space="preserve"> </w:t>
      </w:r>
      <w:r w:rsidR="00127F40" w:rsidRPr="000D7997">
        <w:t xml:space="preserve">Monasteries played a major role in preserving and reproducing Norman historical narratives, allowing them to shape political culture across generations. Manuscripts were copied within monastic scriptoria and circulated among clerical and aristocratic audiences closely connected to Norman authority. </w:t>
      </w:r>
      <w:r w:rsidR="006A7505" w:rsidRPr="000D7997">
        <w:t>These histories did not need to convince everyone. They needed to convince, or at least supply arguments for, the people who governed, advised, copied, remembered, and prayed for Norman rulers.</w:t>
      </w:r>
    </w:p>
    <w:p w14:paraId="79CEA3DB" w14:textId="78C204E8" w:rsidR="00127F40" w:rsidRPr="000D7997" w:rsidRDefault="00127F40" w:rsidP="00127F40">
      <w:r w:rsidRPr="000D7997">
        <w:t>The dissemination of the Norman Myth was also reinforced visually. The Bayeux Tapestry, although not a written chronicle in the traditional sense, promoted many of the same themes found within Norman historical writing. Harold’s oath, the appearance of Halley’s Comet, and the disciplined organisation of Norman forces all supported the broader narrative of rightful conquest and God’s approval.</w:t>
      </w:r>
    </w:p>
    <w:p w14:paraId="0770F356" w14:textId="4005792F" w:rsidR="00127F40" w:rsidRPr="000D7997" w:rsidRDefault="00127F40" w:rsidP="00127F40">
      <w:r w:rsidRPr="000D7997">
        <w:t>This process became especially important within the Anglo-Norman world after 1066. Norman rulers governed politically and culturally diverse populations, increasing the need for narratives capable of legitimising Norman authority across regional boundaries.</w:t>
      </w:r>
      <w:r w:rsidR="000D7997" w:rsidRPr="000D7997">
        <w:rPr>
          <w:rStyle w:val="FootnoteReference"/>
        </w:rPr>
        <w:footnoteReference w:id="21"/>
      </w:r>
      <w:r w:rsidRPr="000D7997">
        <w:t xml:space="preserve"> Histories increasingly became tools of political integration as well as </w:t>
      </w:r>
      <w:r w:rsidRPr="000D7997">
        <w:lastRenderedPageBreak/>
        <w:t>records of the past. Through repeated circulation within aristocratic and ecclesiastical networks, Norman narratives became embedded within the political culture of both Normandy and England.</w:t>
      </w:r>
      <w:r w:rsidR="000D7997" w:rsidRPr="000D7997">
        <w:rPr>
          <w:rStyle w:val="FootnoteReference"/>
        </w:rPr>
        <w:footnoteReference w:id="22"/>
      </w:r>
      <w:r w:rsidRPr="000D7997">
        <w:t xml:space="preserve"> The Norman Myth was kept alive through repetition. Texts were copied, circulated, taught, and absorbed into elite political culture over generations.</w:t>
      </w:r>
    </w:p>
    <w:p w14:paraId="152AF42B" w14:textId="2DFA61EA" w:rsidR="00D93F88" w:rsidRDefault="003271C1" w:rsidP="00127F40">
      <w:r w:rsidRPr="000D7997">
        <w:t xml:space="preserve">Ultimately, histories disseminated the Norman Myth by giving Norman power an explanation that military victory alone could not provide. Chroniclers did not invent Norman success, but they shaped how that success was understood. </w:t>
      </w:r>
      <w:r w:rsidR="006B2F64" w:rsidRPr="000D7997">
        <w:t>Dudo turned Scandinavian violence into a story of baptism, settlement, and ducal continuity. William of Poitiers made Harold’s oath central, so that the conquest of England could be presented as a response to betrayal rather than an act of aggression.</w:t>
      </w:r>
      <w:r w:rsidRPr="000D7997">
        <w:t xml:space="preserve"> </w:t>
      </w:r>
      <w:r w:rsidR="006B2F64" w:rsidRPr="000D7997">
        <w:t>Even Orderic Vitalis, whose account is more troubled, still wrote within a framework that treated Norman dominance as historically significant and providentially meaningful.</w:t>
      </w:r>
      <w:r w:rsidRPr="000D7997">
        <w:t xml:space="preserve"> This mattered because Norman rulers often governed as outsiders, over populations for whom conquest did not automatically create obedience or legitimacy. Histories helped bridge that gap between force and authority. </w:t>
      </w:r>
      <w:r w:rsidR="006A7505" w:rsidRPr="000D7997">
        <w:t>They preserved Norman achievements, but they also smoothed over the disorder behind them.</w:t>
      </w:r>
      <w:r w:rsidR="00D93F88" w:rsidRPr="000D7997">
        <w:t xml:space="preserve"> Later readers were given a version of conquest that could be remembered as rightful rule rather than simple domination. The Norman Myth endured not because it removed the violence and instability of Norman expansion, but because it made those realities politically and religiously useful.</w:t>
      </w:r>
    </w:p>
    <w:p w14:paraId="2B93FC68" w14:textId="481A139F" w:rsidR="000D7997" w:rsidRDefault="000D7997">
      <w:r>
        <w:br w:type="page"/>
      </w:r>
    </w:p>
    <w:p w14:paraId="40FD3840" w14:textId="1A2E37B7" w:rsidR="000D7997" w:rsidRPr="000D7997" w:rsidRDefault="000D7997" w:rsidP="000D7997">
      <w:pPr>
        <w:pStyle w:val="FootnoteText"/>
        <w:spacing w:after="240"/>
        <w:ind w:left="720" w:hanging="720"/>
        <w:rPr>
          <w:b/>
          <w:bCs/>
          <w:i/>
          <w:iCs/>
          <w:sz w:val="28"/>
          <w:szCs w:val="28"/>
        </w:rPr>
      </w:pPr>
      <w:r w:rsidRPr="000D7997">
        <w:rPr>
          <w:b/>
          <w:bCs/>
          <w:i/>
          <w:iCs/>
          <w:sz w:val="28"/>
          <w:szCs w:val="28"/>
        </w:rPr>
        <w:lastRenderedPageBreak/>
        <w:t>Bibliography</w:t>
      </w:r>
    </w:p>
    <w:p w14:paraId="732603CB" w14:textId="0C840D41" w:rsidR="000D7997" w:rsidRPr="00FB2230" w:rsidRDefault="000D7997" w:rsidP="000D7997">
      <w:pPr>
        <w:pStyle w:val="FootnoteText"/>
        <w:spacing w:after="240"/>
        <w:ind w:left="720" w:hanging="720"/>
        <w:rPr>
          <w:sz w:val="24"/>
          <w:szCs w:val="24"/>
        </w:rPr>
      </w:pPr>
      <w:r w:rsidRPr="00FB2230">
        <w:rPr>
          <w:sz w:val="24"/>
          <w:szCs w:val="24"/>
        </w:rPr>
        <w:t>Bates</w:t>
      </w:r>
      <w:r>
        <w:rPr>
          <w:sz w:val="24"/>
          <w:szCs w:val="24"/>
        </w:rPr>
        <w:t>,</w:t>
      </w:r>
      <w:r w:rsidRPr="00FB2230">
        <w:rPr>
          <w:sz w:val="24"/>
          <w:szCs w:val="24"/>
        </w:rPr>
        <w:t xml:space="preserve"> David, </w:t>
      </w:r>
      <w:r w:rsidRPr="00FB2230">
        <w:rPr>
          <w:i/>
          <w:iCs/>
          <w:sz w:val="24"/>
          <w:szCs w:val="24"/>
        </w:rPr>
        <w:t>Normandy Before 1066</w:t>
      </w:r>
      <w:r w:rsidRPr="00FB2230">
        <w:rPr>
          <w:sz w:val="24"/>
          <w:szCs w:val="24"/>
        </w:rPr>
        <w:t xml:space="preserve"> (London: Longman, 1982) </w:t>
      </w:r>
    </w:p>
    <w:p w14:paraId="146C88DF" w14:textId="77777777" w:rsidR="000D7997" w:rsidRPr="00FB2230" w:rsidRDefault="000D7997" w:rsidP="000D7997">
      <w:pPr>
        <w:spacing w:after="240"/>
        <w:ind w:left="720" w:hanging="720"/>
      </w:pPr>
      <w:r w:rsidRPr="00FB2230">
        <w:t xml:space="preserve">Bayeux Museum, </w:t>
      </w:r>
      <w:r w:rsidRPr="00FB2230">
        <w:rPr>
          <w:i/>
          <w:iCs/>
        </w:rPr>
        <w:t>Explore the Bayeux Tapestry Online</w:t>
      </w:r>
      <w:r w:rsidRPr="00FB2230">
        <w:t xml:space="preserve"> (2017) &lt;https://www.bayeuxmuseum.com/en/the-bayeux-tapestry/discover-the-bayeux-tapestry/explore-online/&gt; [Accessed 12 May 2026]</w:t>
      </w:r>
    </w:p>
    <w:p w14:paraId="22CB8BE2" w14:textId="77777777" w:rsidR="000D7997" w:rsidRDefault="000D7997" w:rsidP="000D7997">
      <w:pPr>
        <w:spacing w:after="240"/>
        <w:ind w:left="720" w:hanging="720"/>
      </w:pPr>
      <w:r>
        <w:t xml:space="preserve">Bishop of Amiens, </w:t>
      </w:r>
      <w:r>
        <w:rPr>
          <w:i/>
          <w:iCs/>
        </w:rPr>
        <w:t>The Carmen de Hastingae Proelio</w:t>
      </w:r>
      <w:r>
        <w:t>, ed. and trans. by Catherine Morton and Hope Muntz (Oxford: The Clarendon Press, 1972)</w:t>
      </w:r>
    </w:p>
    <w:p w14:paraId="75C231C4" w14:textId="77777777" w:rsidR="000D7997" w:rsidRPr="00FB2230" w:rsidRDefault="000D7997" w:rsidP="000D7997">
      <w:pPr>
        <w:pStyle w:val="FootnoteText"/>
        <w:spacing w:after="240"/>
        <w:ind w:left="720" w:hanging="720"/>
        <w:rPr>
          <w:sz w:val="24"/>
          <w:szCs w:val="24"/>
        </w:rPr>
      </w:pPr>
      <w:r w:rsidRPr="00FB2230">
        <w:rPr>
          <w:sz w:val="24"/>
          <w:szCs w:val="24"/>
        </w:rPr>
        <w:t>Davis, R. H. C.</w:t>
      </w:r>
      <w:r>
        <w:rPr>
          <w:sz w:val="24"/>
          <w:szCs w:val="24"/>
        </w:rPr>
        <w:t>,</w:t>
      </w:r>
      <w:r w:rsidRPr="00FB2230">
        <w:rPr>
          <w:sz w:val="24"/>
          <w:szCs w:val="24"/>
        </w:rPr>
        <w:t xml:space="preserve"> </w:t>
      </w:r>
      <w:r w:rsidRPr="00FB2230">
        <w:rPr>
          <w:i/>
          <w:iCs/>
          <w:sz w:val="24"/>
          <w:szCs w:val="24"/>
        </w:rPr>
        <w:t xml:space="preserve">The Normans and their Myth </w:t>
      </w:r>
      <w:r w:rsidRPr="00FB2230">
        <w:rPr>
          <w:sz w:val="24"/>
          <w:szCs w:val="24"/>
        </w:rPr>
        <w:t>(London: Thames and Hudson, 1976)</w:t>
      </w:r>
    </w:p>
    <w:p w14:paraId="35FC3626" w14:textId="77777777" w:rsidR="000D7997" w:rsidRPr="00FB2230" w:rsidRDefault="000D7997" w:rsidP="000D7997">
      <w:pPr>
        <w:spacing w:after="240"/>
        <w:ind w:left="720" w:hanging="720"/>
      </w:pPr>
      <w:r w:rsidRPr="00FB2230">
        <w:t xml:space="preserve">Dudo of St. Quentin, </w:t>
      </w:r>
      <w:r w:rsidRPr="00FB2230">
        <w:rPr>
          <w:i/>
          <w:iCs/>
        </w:rPr>
        <w:t>Gesta Normannorum</w:t>
      </w:r>
      <w:r w:rsidRPr="00FB2230">
        <w:t>, ed. and trans. by Felice Lifshitz (Fordham University, 1998) &lt;https://sourcebooks.web.fordham.edu/source/dudu-stquentin-gesta-trans-lifshitz.asp&gt; [Accessed 12 May 2026]</w:t>
      </w:r>
    </w:p>
    <w:p w14:paraId="27B612B8" w14:textId="77777777" w:rsidR="000D7997" w:rsidRPr="00FB2230" w:rsidRDefault="000D7997" w:rsidP="000D7997">
      <w:pPr>
        <w:spacing w:after="240"/>
        <w:ind w:left="720" w:hanging="720"/>
      </w:pPr>
      <w:r w:rsidRPr="00FB2230">
        <w:t xml:space="preserve">Ordericus Vitalis, </w:t>
      </w:r>
      <w:r w:rsidRPr="00FB2230">
        <w:rPr>
          <w:i/>
          <w:iCs/>
        </w:rPr>
        <w:t>The Ecclesiastical History of England and Normandy: Vol II</w:t>
      </w:r>
      <w:r w:rsidRPr="00FB2230">
        <w:t>, trans. by Thomas Forester (London: Bohn, 1853)</w:t>
      </w:r>
    </w:p>
    <w:p w14:paraId="0EF8D831" w14:textId="77777777" w:rsidR="000D7997" w:rsidRPr="00FB2230" w:rsidRDefault="000D7997" w:rsidP="000D7997">
      <w:pPr>
        <w:spacing w:after="240"/>
        <w:ind w:left="720" w:hanging="720"/>
      </w:pPr>
      <w:r>
        <w:t xml:space="preserve">McNair, Fraser, ‘The politics of being Norman in the reign of Richard the Fearless, Duke of Normandy (r. 942-996)’, </w:t>
      </w:r>
      <w:r>
        <w:rPr>
          <w:i/>
          <w:iCs/>
        </w:rPr>
        <w:t>Early Medieval Europe</w:t>
      </w:r>
      <w:r>
        <w:t>, 23.3 (2015) 308-328 &lt;</w:t>
      </w:r>
      <w:r w:rsidRPr="00FB2230">
        <w:t>https://eprints.whiterose.ac.uk/id/eprint/146271/1/McNair-2015_The%20Politics%20of%20being%20Norman.pdf</w:t>
      </w:r>
      <w:r>
        <w:t>&gt; [Accessed 12 May 2026]</w:t>
      </w:r>
    </w:p>
    <w:p w14:paraId="7B8A7DE1" w14:textId="77777777" w:rsidR="000D7997" w:rsidRPr="00FB2230" w:rsidRDefault="000D7997" w:rsidP="000D7997">
      <w:pPr>
        <w:pStyle w:val="FootnoteText"/>
        <w:spacing w:after="240"/>
        <w:ind w:left="720" w:hanging="720"/>
        <w:rPr>
          <w:sz w:val="24"/>
          <w:szCs w:val="24"/>
        </w:rPr>
      </w:pPr>
      <w:r w:rsidRPr="00FB2230">
        <w:rPr>
          <w:i/>
          <w:iCs/>
          <w:sz w:val="24"/>
          <w:szCs w:val="24"/>
        </w:rPr>
        <w:t>The Anglo-Saxon Chronicles</w:t>
      </w:r>
      <w:r w:rsidRPr="00FB2230">
        <w:rPr>
          <w:sz w:val="24"/>
          <w:szCs w:val="24"/>
        </w:rPr>
        <w:t>, ed. and trans. by Michael Swanton (London: Phoenix, 2000)</w:t>
      </w:r>
    </w:p>
    <w:p w14:paraId="0B0C15C8" w14:textId="77777777" w:rsidR="000D7997" w:rsidRPr="00FB2230" w:rsidRDefault="000D7997" w:rsidP="000D7997">
      <w:pPr>
        <w:pStyle w:val="FootnoteText"/>
        <w:spacing w:after="240"/>
        <w:ind w:left="720" w:hanging="720"/>
        <w:rPr>
          <w:sz w:val="24"/>
          <w:szCs w:val="24"/>
        </w:rPr>
      </w:pPr>
      <w:r w:rsidRPr="00FB2230">
        <w:rPr>
          <w:sz w:val="24"/>
          <w:szCs w:val="24"/>
        </w:rPr>
        <w:t>Webber</w:t>
      </w:r>
      <w:r>
        <w:rPr>
          <w:sz w:val="24"/>
          <w:szCs w:val="24"/>
        </w:rPr>
        <w:t>,</w:t>
      </w:r>
      <w:r w:rsidRPr="00FB2230">
        <w:rPr>
          <w:sz w:val="24"/>
          <w:szCs w:val="24"/>
        </w:rPr>
        <w:t xml:space="preserve"> Nick, </w:t>
      </w:r>
      <w:r w:rsidRPr="00FB2230">
        <w:rPr>
          <w:i/>
          <w:iCs/>
          <w:sz w:val="24"/>
          <w:szCs w:val="24"/>
        </w:rPr>
        <w:t xml:space="preserve">The Evolution of Norman Identity: 911-1154 </w:t>
      </w:r>
      <w:r w:rsidRPr="00FB2230">
        <w:rPr>
          <w:sz w:val="24"/>
          <w:szCs w:val="24"/>
        </w:rPr>
        <w:t>(Woodbridge: The Boydell Press, 2005)</w:t>
      </w:r>
    </w:p>
    <w:p w14:paraId="69AC42A4" w14:textId="77777777" w:rsidR="000D7997" w:rsidRPr="00FB2230" w:rsidRDefault="000D7997" w:rsidP="000D7997">
      <w:pPr>
        <w:pStyle w:val="FootnoteText"/>
        <w:spacing w:after="240"/>
        <w:ind w:left="720" w:hanging="720"/>
        <w:rPr>
          <w:sz w:val="24"/>
          <w:szCs w:val="24"/>
        </w:rPr>
      </w:pPr>
      <w:r w:rsidRPr="00FB2230">
        <w:rPr>
          <w:sz w:val="24"/>
          <w:szCs w:val="24"/>
        </w:rPr>
        <w:t xml:space="preserve">William of Apulia, </w:t>
      </w:r>
      <w:r w:rsidRPr="00FB2230">
        <w:rPr>
          <w:i/>
          <w:iCs/>
          <w:sz w:val="24"/>
          <w:szCs w:val="24"/>
        </w:rPr>
        <w:t>The Deeds of Robert Guiscard</w:t>
      </w:r>
      <w:r w:rsidRPr="00FB2230">
        <w:rPr>
          <w:sz w:val="24"/>
          <w:szCs w:val="24"/>
        </w:rPr>
        <w:t>, ed. and trans. by G. A. Loud (University of Leeds, 2004), p. 22, &lt;https://eprints.whiterose.ac.uk/id/eprint/211662/&gt; [Accessed 12 May 2026]</w:t>
      </w:r>
    </w:p>
    <w:p w14:paraId="10857522" w14:textId="77777777" w:rsidR="000D7997" w:rsidRPr="00FB2230" w:rsidRDefault="000D7997" w:rsidP="000D7997">
      <w:pPr>
        <w:pStyle w:val="FootnoteText"/>
        <w:spacing w:after="240"/>
        <w:ind w:left="720" w:hanging="720"/>
        <w:rPr>
          <w:sz w:val="24"/>
          <w:szCs w:val="24"/>
        </w:rPr>
      </w:pPr>
      <w:r w:rsidRPr="00FB2230">
        <w:rPr>
          <w:sz w:val="24"/>
          <w:szCs w:val="24"/>
        </w:rPr>
        <w:t xml:space="preserve">William of Poitiers, </w:t>
      </w:r>
      <w:r w:rsidRPr="00FB2230">
        <w:rPr>
          <w:i/>
          <w:iCs/>
          <w:sz w:val="24"/>
          <w:szCs w:val="24"/>
        </w:rPr>
        <w:t>Gesta Willelmi ducis Normannorum et regis Anglorum</w:t>
      </w:r>
      <w:r w:rsidRPr="00FB2230">
        <w:rPr>
          <w:sz w:val="24"/>
          <w:szCs w:val="24"/>
        </w:rPr>
        <w:t>, HPHI5009:Identity and Myth: The Normans and their World. (The University of Wales, 2016)</w:t>
      </w:r>
    </w:p>
    <w:p w14:paraId="6AEB4DE0" w14:textId="77777777" w:rsidR="000D7997" w:rsidRDefault="000D7997" w:rsidP="000D7997">
      <w:pPr>
        <w:spacing w:after="240"/>
        <w:ind w:left="720" w:hanging="720"/>
      </w:pPr>
      <w:r w:rsidRPr="00FB2230">
        <w:t>Winkler</w:t>
      </w:r>
      <w:r>
        <w:t>,</w:t>
      </w:r>
      <w:r w:rsidRPr="00FB2230">
        <w:t xml:space="preserve"> Emily A., </w:t>
      </w:r>
      <w:r w:rsidRPr="00FB2230">
        <w:rPr>
          <w:i/>
          <w:iCs/>
        </w:rPr>
        <w:t xml:space="preserve">The Norman Conquest of the classical past: William of Poitiers, language and history </w:t>
      </w:r>
      <w:r w:rsidRPr="00FB2230">
        <w:t>(University of Oxford, 2016)</w:t>
      </w:r>
    </w:p>
    <w:p w14:paraId="601770E0" w14:textId="77777777" w:rsidR="000D7997" w:rsidRDefault="000D7997" w:rsidP="000D7997">
      <w:pPr>
        <w:spacing w:after="240"/>
        <w:ind w:left="720" w:hanging="720"/>
      </w:pPr>
      <w:r>
        <w:t xml:space="preserve">Van Houts, Elisabeth, </w:t>
      </w:r>
      <w:r>
        <w:rPr>
          <w:i/>
          <w:iCs/>
        </w:rPr>
        <w:t>The Normans in Europe</w:t>
      </w:r>
      <w:r>
        <w:t xml:space="preserve"> (Manchester: Manchester University Press, 2000)</w:t>
      </w:r>
    </w:p>
    <w:p w14:paraId="2B6F97F9" w14:textId="77777777" w:rsidR="00D93F88" w:rsidRDefault="00D93F88" w:rsidP="00127F40"/>
    <w:p w14:paraId="5F2F1AAA" w14:textId="77777777" w:rsidR="000D7997" w:rsidRDefault="000D7997" w:rsidP="00127F40"/>
    <w:p w14:paraId="154F398D" w14:textId="77777777" w:rsidR="000D7997" w:rsidRDefault="000D7997" w:rsidP="00127F40"/>
    <w:p w14:paraId="3E5A255C" w14:textId="77777777" w:rsidR="000D7997" w:rsidRDefault="000D7997" w:rsidP="00127F40"/>
    <w:p w14:paraId="03EBCD14" w14:textId="77777777" w:rsidR="000D7997" w:rsidRDefault="000D7997" w:rsidP="00127F40"/>
    <w:p w14:paraId="60D7546D" w14:textId="77777777" w:rsidR="000D7997" w:rsidRDefault="000D7997" w:rsidP="00127F40"/>
    <w:p w14:paraId="7CF9857A" w14:textId="77777777" w:rsidR="000D7997" w:rsidRDefault="000D7997" w:rsidP="00127F40"/>
    <w:p w14:paraId="2DBB4AAC" w14:textId="77777777" w:rsidR="000D7997" w:rsidRDefault="000D7997" w:rsidP="00127F40"/>
    <w:p w14:paraId="12915561" w14:textId="77777777" w:rsidR="000D7997" w:rsidRDefault="000D7997" w:rsidP="00127F40"/>
    <w:p w14:paraId="489E34FD" w14:textId="77777777" w:rsidR="000D7997" w:rsidRDefault="000D7997" w:rsidP="00127F40"/>
    <w:p w14:paraId="24F0225A" w14:textId="77777777" w:rsidR="000D7997" w:rsidRDefault="000D7997" w:rsidP="00127F40"/>
    <w:p w14:paraId="0060F462" w14:textId="77777777" w:rsidR="000D7997" w:rsidRDefault="000D7997" w:rsidP="00127F40"/>
    <w:p w14:paraId="6EF8B2F5" w14:textId="77777777" w:rsidR="000D7997" w:rsidRDefault="000D7997" w:rsidP="00127F40"/>
    <w:p w14:paraId="5E6EDD6F" w14:textId="77777777" w:rsidR="00127F40" w:rsidRPr="00127F40" w:rsidRDefault="00127F40" w:rsidP="00127F40"/>
    <w:sectPr w:rsidR="00127F40" w:rsidRPr="00127F40">
      <w:head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Chris Guy (2404993)" w:date="2026-05-11T18:06:00Z" w:initials="CG">
    <w:p w14:paraId="1FFD9EE4" w14:textId="77777777" w:rsidR="00421C98" w:rsidRDefault="00421C98" w:rsidP="00421C98">
      <w:pPr>
        <w:pStyle w:val="CommentText"/>
      </w:pPr>
      <w:r>
        <w:rPr>
          <w:rStyle w:val="CommentReference"/>
        </w:rPr>
        <w:annotationRef/>
      </w:r>
      <w:r>
        <w:t>Asc 218</w:t>
      </w:r>
    </w:p>
  </w:comment>
  <w:comment w:id="1" w:author="Chris Guy (2404993)" w:date="2026-05-11T18:10:00Z" w:initials="CG">
    <w:p w14:paraId="34C06538" w14:textId="77777777" w:rsidR="00933711" w:rsidRDefault="00933711" w:rsidP="00933711">
      <w:pPr>
        <w:pStyle w:val="CommentText"/>
      </w:pPr>
      <w:r>
        <w:rPr>
          <w:rStyle w:val="CommentReference"/>
        </w:rPr>
        <w:annotationRef/>
      </w:r>
      <w:r>
        <w:t>Asc 264</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FFD9EE4" w15:done="0"/>
  <w15:commentEx w15:paraId="34C0653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049D1DB" w16cex:dateUtc="2026-05-11T17:06:00Z"/>
  <w16cex:commentExtensible w16cex:durableId="32A623DD" w16cex:dateUtc="2026-05-11T17:1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FFD9EE4" w16cid:durableId="5049D1DB"/>
  <w16cid:commentId w16cid:paraId="34C06538" w16cid:durableId="32A623D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AB09DE" w14:textId="77777777" w:rsidR="0000437E" w:rsidRDefault="0000437E" w:rsidP="00763E7C">
      <w:pPr>
        <w:spacing w:after="0" w:line="240" w:lineRule="auto"/>
      </w:pPr>
      <w:r>
        <w:separator/>
      </w:r>
    </w:p>
  </w:endnote>
  <w:endnote w:type="continuationSeparator" w:id="0">
    <w:p w14:paraId="7240CFB8" w14:textId="77777777" w:rsidR="0000437E" w:rsidRDefault="0000437E" w:rsidP="00763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2F2844" w14:textId="77777777" w:rsidR="0000437E" w:rsidRDefault="0000437E" w:rsidP="00763E7C">
      <w:pPr>
        <w:spacing w:after="0" w:line="240" w:lineRule="auto"/>
      </w:pPr>
      <w:r>
        <w:separator/>
      </w:r>
    </w:p>
  </w:footnote>
  <w:footnote w:type="continuationSeparator" w:id="0">
    <w:p w14:paraId="444A999D" w14:textId="77777777" w:rsidR="0000437E" w:rsidRDefault="0000437E" w:rsidP="00763E7C">
      <w:pPr>
        <w:spacing w:after="0" w:line="240" w:lineRule="auto"/>
      </w:pPr>
      <w:r>
        <w:continuationSeparator/>
      </w:r>
    </w:p>
  </w:footnote>
  <w:footnote w:id="1">
    <w:p w14:paraId="041C90D7" w14:textId="5E83DD6D" w:rsidR="001063F7" w:rsidRPr="001063F7" w:rsidRDefault="001063F7">
      <w:pPr>
        <w:pStyle w:val="FootnoteText"/>
      </w:pPr>
      <w:r>
        <w:rPr>
          <w:rStyle w:val="FootnoteReference"/>
        </w:rPr>
        <w:footnoteRef/>
      </w:r>
      <w:r>
        <w:t xml:space="preserve"> R. H. C. Davis, </w:t>
      </w:r>
      <w:r>
        <w:rPr>
          <w:i/>
          <w:iCs/>
        </w:rPr>
        <w:t xml:space="preserve">The Normans and their Myth </w:t>
      </w:r>
      <w:r>
        <w:t>(London: Thames and Hudson, 1976), pp. 49-70.</w:t>
      </w:r>
    </w:p>
  </w:footnote>
  <w:footnote w:id="2">
    <w:p w14:paraId="3CEA4C48" w14:textId="2DF9536D" w:rsidR="001063F7" w:rsidRPr="00300B25" w:rsidRDefault="001063F7">
      <w:pPr>
        <w:pStyle w:val="FootnoteText"/>
      </w:pPr>
      <w:r>
        <w:rPr>
          <w:rStyle w:val="FootnoteReference"/>
        </w:rPr>
        <w:footnoteRef/>
      </w:r>
      <w:r>
        <w:t xml:space="preserve"> </w:t>
      </w:r>
      <w:r w:rsidR="00300B25">
        <w:t xml:space="preserve">Dudo of St. Quentin, </w:t>
      </w:r>
      <w:r w:rsidR="00300B25">
        <w:rPr>
          <w:i/>
          <w:iCs/>
        </w:rPr>
        <w:t>Gesta Normannorum</w:t>
      </w:r>
      <w:r w:rsidR="00300B25">
        <w:t>, ed. and trans. by Felice Lifshitz (Fordham University, 1998) &lt;</w:t>
      </w:r>
      <w:r w:rsidR="00300B25" w:rsidRPr="00300B25">
        <w:t>https://sourcebooks.web.fordham.edu/source/dudu-stquentin-gesta-trans-lifshitz.asp</w:t>
      </w:r>
      <w:r w:rsidR="00300B25">
        <w:t>&gt; [Accessed 12 May 2026].</w:t>
      </w:r>
    </w:p>
  </w:footnote>
  <w:footnote w:id="3">
    <w:p w14:paraId="0ADC6CAE" w14:textId="5C1ACE97" w:rsidR="00300B25" w:rsidRDefault="00300B25">
      <w:pPr>
        <w:pStyle w:val="FootnoteText"/>
      </w:pPr>
      <w:r>
        <w:rPr>
          <w:rStyle w:val="FootnoteReference"/>
        </w:rPr>
        <w:footnoteRef/>
      </w:r>
      <w:r>
        <w:t xml:space="preserve"> </w:t>
      </w:r>
      <w:r>
        <w:t xml:space="preserve">Dudo of St. Quentin, </w:t>
      </w:r>
      <w:r>
        <w:rPr>
          <w:i/>
          <w:iCs/>
        </w:rPr>
        <w:t>Gesta Normannorum</w:t>
      </w:r>
      <w:r>
        <w:t>.</w:t>
      </w:r>
    </w:p>
  </w:footnote>
  <w:footnote w:id="4">
    <w:p w14:paraId="0B818939" w14:textId="35A556C6" w:rsidR="00300B25" w:rsidRDefault="00300B25">
      <w:pPr>
        <w:pStyle w:val="FootnoteText"/>
      </w:pPr>
      <w:r>
        <w:rPr>
          <w:rStyle w:val="FootnoteReference"/>
        </w:rPr>
        <w:footnoteRef/>
      </w:r>
      <w:r>
        <w:t xml:space="preserve"> Ibid. </w:t>
      </w:r>
    </w:p>
  </w:footnote>
  <w:footnote w:id="5">
    <w:p w14:paraId="1E8FFD72" w14:textId="14C3074B" w:rsidR="00300B25" w:rsidRPr="00300B25" w:rsidRDefault="00300B25">
      <w:pPr>
        <w:pStyle w:val="FootnoteText"/>
      </w:pPr>
      <w:r>
        <w:rPr>
          <w:rStyle w:val="FootnoteReference"/>
        </w:rPr>
        <w:footnoteRef/>
      </w:r>
      <w:r>
        <w:t xml:space="preserve"> David Bates, </w:t>
      </w:r>
      <w:r>
        <w:rPr>
          <w:i/>
          <w:iCs/>
        </w:rPr>
        <w:t>Normandy Before 1066</w:t>
      </w:r>
      <w:r>
        <w:t xml:space="preserve"> (London: Longman, 1982), pp. 99-128. </w:t>
      </w:r>
    </w:p>
  </w:footnote>
  <w:footnote w:id="6">
    <w:p w14:paraId="1B60DC3D" w14:textId="6ADE6084" w:rsidR="00300B25" w:rsidRDefault="00300B25">
      <w:pPr>
        <w:pStyle w:val="FootnoteText"/>
      </w:pPr>
      <w:r>
        <w:rPr>
          <w:rStyle w:val="FootnoteReference"/>
        </w:rPr>
        <w:footnoteRef/>
      </w:r>
      <w:r>
        <w:t xml:space="preserve"> </w:t>
      </w:r>
      <w:r w:rsidRPr="00300B25">
        <w:t xml:space="preserve">William of Poitiers, </w:t>
      </w:r>
      <w:r w:rsidRPr="00300B25">
        <w:rPr>
          <w:i/>
          <w:iCs/>
        </w:rPr>
        <w:t>Gesta Willelmi ducis Normannorum et regis Anglorum</w:t>
      </w:r>
      <w:r w:rsidRPr="00300B25">
        <w:t>, HPHI5009:Identity and Myth: The Normans and their World. (The University of Wales, 2016).</w:t>
      </w:r>
    </w:p>
  </w:footnote>
  <w:footnote w:id="7">
    <w:p w14:paraId="223D9152" w14:textId="7D9CDB98" w:rsidR="00300B25" w:rsidRDefault="00300B25">
      <w:pPr>
        <w:pStyle w:val="FootnoteText"/>
      </w:pPr>
      <w:r>
        <w:rPr>
          <w:rStyle w:val="FootnoteReference"/>
        </w:rPr>
        <w:footnoteRef/>
      </w:r>
      <w:r>
        <w:t xml:space="preserve"> Bayeux Museum, </w:t>
      </w:r>
      <w:r>
        <w:rPr>
          <w:i/>
          <w:iCs/>
        </w:rPr>
        <w:t>Explore the Bayeux Tapestry Online</w:t>
      </w:r>
      <w:r>
        <w:t xml:space="preserve"> (2017) &lt;</w:t>
      </w:r>
      <w:r w:rsidRPr="00300B25">
        <w:t>https://www.bayeuxmuseum.com/en/the-bayeux-tapestry/discover-the-bayeux-tapestry/explore-online/</w:t>
      </w:r>
      <w:r>
        <w:t>&gt; [Accessed 12 May 2026].</w:t>
      </w:r>
    </w:p>
  </w:footnote>
  <w:footnote w:id="8">
    <w:p w14:paraId="16416FC5" w14:textId="02DCAC6F" w:rsidR="00300B25" w:rsidRPr="00300B25" w:rsidRDefault="00300B25">
      <w:pPr>
        <w:pStyle w:val="FootnoteText"/>
      </w:pPr>
      <w:r>
        <w:rPr>
          <w:rStyle w:val="FootnoteReference"/>
        </w:rPr>
        <w:footnoteRef/>
      </w:r>
      <w:r>
        <w:t xml:space="preserve"> Nick Webber, </w:t>
      </w:r>
      <w:r>
        <w:rPr>
          <w:i/>
          <w:iCs/>
        </w:rPr>
        <w:t xml:space="preserve">The Evolution of Norman Identity: 911-1154 </w:t>
      </w:r>
      <w:r>
        <w:t xml:space="preserve">(Woodbridge: The Boydell Press, 2005), pp. 85-97. </w:t>
      </w:r>
    </w:p>
  </w:footnote>
  <w:footnote w:id="9">
    <w:p w14:paraId="50009C81" w14:textId="0D343823" w:rsidR="00300B25" w:rsidRPr="00300B25" w:rsidRDefault="00300B25">
      <w:pPr>
        <w:pStyle w:val="FootnoteText"/>
      </w:pPr>
      <w:r>
        <w:rPr>
          <w:rStyle w:val="FootnoteReference"/>
        </w:rPr>
        <w:footnoteRef/>
      </w:r>
      <w:r>
        <w:t xml:space="preserve"> </w:t>
      </w:r>
      <w:r>
        <w:rPr>
          <w:i/>
          <w:iCs/>
        </w:rPr>
        <w:t>The Anglo-Saxon Chronicles</w:t>
      </w:r>
      <w:r>
        <w:t xml:space="preserve">, ed. and trans. by Michael Swanton (London: Phoenix, 2000), p. 202. </w:t>
      </w:r>
    </w:p>
  </w:footnote>
  <w:footnote w:id="10">
    <w:p w14:paraId="4FBA3601" w14:textId="047EDBC9" w:rsidR="00300B25" w:rsidRDefault="00300B25">
      <w:pPr>
        <w:pStyle w:val="FootnoteText"/>
      </w:pPr>
      <w:r>
        <w:rPr>
          <w:rStyle w:val="FootnoteReference"/>
        </w:rPr>
        <w:footnoteRef/>
      </w:r>
      <w:r>
        <w:t xml:space="preserve"> Ibid., p. 218. </w:t>
      </w:r>
    </w:p>
  </w:footnote>
  <w:footnote w:id="11">
    <w:p w14:paraId="669F33C7" w14:textId="6D4C4CC1" w:rsidR="00300B25" w:rsidRDefault="00300B25">
      <w:pPr>
        <w:pStyle w:val="FootnoteText"/>
      </w:pPr>
      <w:r>
        <w:rPr>
          <w:rStyle w:val="FootnoteReference"/>
        </w:rPr>
        <w:footnoteRef/>
      </w:r>
      <w:r>
        <w:t xml:space="preserve"> Ibid., p. 264. </w:t>
      </w:r>
    </w:p>
  </w:footnote>
  <w:footnote w:id="12">
    <w:p w14:paraId="0917D75B" w14:textId="4E0422EB" w:rsidR="00300B25" w:rsidRPr="00300B25" w:rsidRDefault="00300B25">
      <w:pPr>
        <w:pStyle w:val="FootnoteText"/>
      </w:pPr>
      <w:r>
        <w:rPr>
          <w:rStyle w:val="FootnoteReference"/>
        </w:rPr>
        <w:footnoteRef/>
      </w:r>
      <w:r>
        <w:t xml:space="preserve"> William of Apulia, </w:t>
      </w:r>
      <w:r>
        <w:rPr>
          <w:i/>
          <w:iCs/>
        </w:rPr>
        <w:t>The Deeds of Robert Guiscard</w:t>
      </w:r>
      <w:r>
        <w:t>, ed. and trans. by G. A. Loud (University of Leeds, 2004), p. 22, &lt;</w:t>
      </w:r>
      <w:r w:rsidRPr="00300B25">
        <w:t>https://eprints.whiterose.ac.uk/id/eprint/211662/</w:t>
      </w:r>
      <w:r>
        <w:t xml:space="preserve">&gt; [Accessed 12 May 2026]. </w:t>
      </w:r>
    </w:p>
  </w:footnote>
  <w:footnote w:id="13">
    <w:p w14:paraId="4B3E7EB8" w14:textId="207D4481" w:rsidR="00300B25" w:rsidRPr="00300B25" w:rsidRDefault="00300B25">
      <w:pPr>
        <w:pStyle w:val="FootnoteText"/>
      </w:pPr>
      <w:r>
        <w:rPr>
          <w:rStyle w:val="FootnoteReference"/>
        </w:rPr>
        <w:footnoteRef/>
      </w:r>
      <w:r>
        <w:t xml:space="preserve"> </w:t>
      </w:r>
      <w:r>
        <w:t xml:space="preserve">R. H. C. Davis, </w:t>
      </w:r>
      <w:r>
        <w:rPr>
          <w:i/>
          <w:iCs/>
        </w:rPr>
        <w:t>The Normans and their Myth</w:t>
      </w:r>
      <w:r>
        <w:t xml:space="preserve">, pp. 36-37. </w:t>
      </w:r>
    </w:p>
  </w:footnote>
  <w:footnote w:id="14">
    <w:p w14:paraId="717DDBA3" w14:textId="4E87C5BB" w:rsidR="00300B25" w:rsidRPr="00300B25" w:rsidRDefault="00300B25">
      <w:pPr>
        <w:pStyle w:val="FootnoteText"/>
      </w:pPr>
      <w:r>
        <w:rPr>
          <w:rStyle w:val="FootnoteReference"/>
        </w:rPr>
        <w:footnoteRef/>
      </w:r>
      <w:r>
        <w:t xml:space="preserve"> William of Apulia, </w:t>
      </w:r>
      <w:r>
        <w:rPr>
          <w:i/>
          <w:iCs/>
        </w:rPr>
        <w:t>The Deeds of Robert Guiscard</w:t>
      </w:r>
      <w:r>
        <w:t xml:space="preserve">, pp. 54-55. </w:t>
      </w:r>
    </w:p>
  </w:footnote>
  <w:footnote w:id="15">
    <w:p w14:paraId="6ADA6595" w14:textId="360D6288" w:rsidR="00300B25" w:rsidRDefault="00300B25">
      <w:pPr>
        <w:pStyle w:val="FootnoteText"/>
      </w:pPr>
      <w:r>
        <w:rPr>
          <w:rStyle w:val="FootnoteReference"/>
        </w:rPr>
        <w:footnoteRef/>
      </w:r>
      <w:r>
        <w:t xml:space="preserve"> Ibid., pp. 25-26. </w:t>
      </w:r>
    </w:p>
  </w:footnote>
  <w:footnote w:id="16">
    <w:p w14:paraId="4A8EDC3A" w14:textId="0327CFA7" w:rsidR="00300B25" w:rsidRDefault="00300B25">
      <w:pPr>
        <w:pStyle w:val="FootnoteText"/>
      </w:pPr>
      <w:r>
        <w:rPr>
          <w:rStyle w:val="FootnoteReference"/>
        </w:rPr>
        <w:footnoteRef/>
      </w:r>
      <w:r>
        <w:t xml:space="preserve"> </w:t>
      </w:r>
      <w:r>
        <w:t xml:space="preserve">William of Apulia, </w:t>
      </w:r>
      <w:r>
        <w:rPr>
          <w:i/>
          <w:iCs/>
        </w:rPr>
        <w:t>The Deeds of Robert Guiscard</w:t>
      </w:r>
      <w:r>
        <w:t xml:space="preserve">, pp. </w:t>
      </w:r>
      <w:r>
        <w:t xml:space="preserve">18-23. </w:t>
      </w:r>
    </w:p>
  </w:footnote>
  <w:footnote w:id="17">
    <w:p w14:paraId="616BCB1F" w14:textId="6C8314AB" w:rsidR="00300B25" w:rsidRPr="00300B25" w:rsidRDefault="00300B25">
      <w:pPr>
        <w:pStyle w:val="FootnoteText"/>
      </w:pPr>
      <w:r>
        <w:rPr>
          <w:rStyle w:val="FootnoteReference"/>
        </w:rPr>
        <w:footnoteRef/>
      </w:r>
      <w:r>
        <w:t xml:space="preserve"> David Bates, </w:t>
      </w:r>
      <w:r>
        <w:rPr>
          <w:i/>
          <w:iCs/>
        </w:rPr>
        <w:t>Normandy Before 1066</w:t>
      </w:r>
      <w:r>
        <w:t xml:space="preserve">, p. 249. </w:t>
      </w:r>
    </w:p>
  </w:footnote>
  <w:footnote w:id="18">
    <w:p w14:paraId="6FF49AB4" w14:textId="7DBCC725" w:rsidR="000D7997" w:rsidRPr="000D7997" w:rsidRDefault="000D7997">
      <w:pPr>
        <w:pStyle w:val="FootnoteText"/>
      </w:pPr>
      <w:r>
        <w:rPr>
          <w:rStyle w:val="FootnoteReference"/>
        </w:rPr>
        <w:footnoteRef/>
      </w:r>
      <w:r>
        <w:t xml:space="preserve"> Ordericus Vitalis, </w:t>
      </w:r>
      <w:r>
        <w:rPr>
          <w:i/>
          <w:iCs/>
        </w:rPr>
        <w:t>The Ecclesiastical History of England and Normandy: Vol II</w:t>
      </w:r>
      <w:r>
        <w:t xml:space="preserve">, trans. by Thomas Forester (London: Bohn, 1853), pp. 25-31. </w:t>
      </w:r>
    </w:p>
  </w:footnote>
  <w:footnote w:id="19">
    <w:p w14:paraId="4381BFDC" w14:textId="7AFD0289" w:rsidR="000D7997" w:rsidRDefault="000D7997">
      <w:pPr>
        <w:pStyle w:val="FootnoteText"/>
      </w:pPr>
      <w:r>
        <w:rPr>
          <w:rStyle w:val="FootnoteReference"/>
        </w:rPr>
        <w:footnoteRef/>
      </w:r>
      <w:r>
        <w:t xml:space="preserve"> </w:t>
      </w:r>
      <w:r>
        <w:t xml:space="preserve">R. H. C. Davis, </w:t>
      </w:r>
      <w:r>
        <w:rPr>
          <w:i/>
          <w:iCs/>
        </w:rPr>
        <w:t>The Normans and their Myth</w:t>
      </w:r>
      <w:r>
        <w:t xml:space="preserve">, pp. </w:t>
      </w:r>
      <w:r>
        <w:t>58-59</w:t>
      </w:r>
      <w:r>
        <w:t>.</w:t>
      </w:r>
    </w:p>
  </w:footnote>
  <w:footnote w:id="20">
    <w:p w14:paraId="496560F6" w14:textId="0FD395E2" w:rsidR="000D7997" w:rsidRDefault="000D7997">
      <w:pPr>
        <w:pStyle w:val="FootnoteText"/>
      </w:pPr>
      <w:r>
        <w:rPr>
          <w:rStyle w:val="FootnoteReference"/>
        </w:rPr>
        <w:footnoteRef/>
      </w:r>
      <w:r>
        <w:t xml:space="preserve"> Ibid., pp. 42-53. </w:t>
      </w:r>
    </w:p>
  </w:footnote>
  <w:footnote w:id="21">
    <w:p w14:paraId="339D5374" w14:textId="5DFCA2FC" w:rsidR="000D7997" w:rsidRPr="000D7997" w:rsidRDefault="000D7997">
      <w:pPr>
        <w:pStyle w:val="FootnoteText"/>
      </w:pPr>
      <w:r>
        <w:rPr>
          <w:rStyle w:val="FootnoteReference"/>
        </w:rPr>
        <w:footnoteRef/>
      </w:r>
      <w:r>
        <w:t xml:space="preserve"> Emily A. Winkler, </w:t>
      </w:r>
      <w:r>
        <w:rPr>
          <w:i/>
          <w:iCs/>
        </w:rPr>
        <w:t xml:space="preserve">The Norman Conquest of the classical past: William of Poitiers, language and history </w:t>
      </w:r>
      <w:r>
        <w:t xml:space="preserve">(University of Oxford, 2016), p.8. </w:t>
      </w:r>
    </w:p>
  </w:footnote>
  <w:footnote w:id="22">
    <w:p w14:paraId="2D06DF89" w14:textId="63CCA16E" w:rsidR="000D7997" w:rsidRPr="000D7997" w:rsidRDefault="000D7997">
      <w:pPr>
        <w:pStyle w:val="FootnoteText"/>
      </w:pPr>
      <w:r>
        <w:rPr>
          <w:rStyle w:val="FootnoteReference"/>
        </w:rPr>
        <w:footnoteRef/>
      </w:r>
      <w:r>
        <w:t xml:space="preserve"> Emily A. Winkler, </w:t>
      </w:r>
      <w:r>
        <w:rPr>
          <w:i/>
          <w:iCs/>
        </w:rPr>
        <w:t>The Norman Conquest of the classical past</w:t>
      </w:r>
      <w:r>
        <w:t xml:space="preserve">, p. 8.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45072F" w14:textId="411678E2" w:rsidR="00C82ABF" w:rsidRDefault="00C82ABF" w:rsidP="00C82ABF">
    <w:pPr>
      <w:pStyle w:val="Header"/>
    </w:pPr>
    <w:r>
      <w:t>Chris Guy</w:t>
    </w:r>
    <w:r>
      <w:tab/>
    </w:r>
    <w:r w:rsidRPr="002904EA">
      <w:rPr>
        <w:b/>
        <w:bCs/>
      </w:rPr>
      <w:t>Identity and Myth: the Normans and their World</w:t>
    </w:r>
    <w:r>
      <w:rPr>
        <w:b/>
        <w:bCs/>
      </w:rPr>
      <w:t xml:space="preserve">    </w:t>
    </w:r>
    <w:r w:rsidRPr="003D3692">
      <w:tab/>
    </w:r>
    <w:r>
      <w:t>12/0</w:t>
    </w:r>
    <w:r>
      <w:t>5</w:t>
    </w:r>
    <w:r>
      <w:t>/2026</w:t>
    </w:r>
  </w:p>
  <w:p w14:paraId="44F17A07" w14:textId="77777777" w:rsidR="00C82ABF" w:rsidRDefault="00C82A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2"/>
    <w:multiLevelType w:val="singleLevel"/>
    <w:tmpl w:val="00000002"/>
    <w:name w:val="WW8Num2"/>
    <w:lvl w:ilvl="0">
      <w:start w:val="1"/>
      <w:numFmt w:val="decimal"/>
      <w:lvlText w:val="%1."/>
      <w:lvlJc w:val="left"/>
      <w:pPr>
        <w:tabs>
          <w:tab w:val="num" w:pos="0"/>
        </w:tabs>
        <w:ind w:left="720" w:hanging="360"/>
      </w:pPr>
    </w:lvl>
  </w:abstractNum>
  <w:num w:numId="1" w16cid:durableId="710543384">
    <w:abstractNumId w:val="0"/>
    <w:lvlOverride w:ilvl="0">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hris Guy (2404993)">
    <w15:presenceInfo w15:providerId="AD" w15:userId="S::2404993@student.uwtsd.ac.uk::91dc8477-774e-4c94-9289-3fffe9cf4cd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E0E"/>
    <w:rsid w:val="00001731"/>
    <w:rsid w:val="0000437E"/>
    <w:rsid w:val="00032E1F"/>
    <w:rsid w:val="00066E0E"/>
    <w:rsid w:val="000D7997"/>
    <w:rsid w:val="001063F7"/>
    <w:rsid w:val="00127F40"/>
    <w:rsid w:val="002631D1"/>
    <w:rsid w:val="002A02A6"/>
    <w:rsid w:val="002F27A8"/>
    <w:rsid w:val="002F7F6E"/>
    <w:rsid w:val="00300B25"/>
    <w:rsid w:val="003271C1"/>
    <w:rsid w:val="003A19F2"/>
    <w:rsid w:val="00421C98"/>
    <w:rsid w:val="00513E5D"/>
    <w:rsid w:val="00550FC9"/>
    <w:rsid w:val="00582A3C"/>
    <w:rsid w:val="005B14AE"/>
    <w:rsid w:val="005D61D5"/>
    <w:rsid w:val="00633CEE"/>
    <w:rsid w:val="00666858"/>
    <w:rsid w:val="006A263E"/>
    <w:rsid w:val="006A7505"/>
    <w:rsid w:val="006B2F64"/>
    <w:rsid w:val="00763E7C"/>
    <w:rsid w:val="007C47A8"/>
    <w:rsid w:val="00820CA6"/>
    <w:rsid w:val="008410C4"/>
    <w:rsid w:val="00877CA8"/>
    <w:rsid w:val="008B2B15"/>
    <w:rsid w:val="008B4208"/>
    <w:rsid w:val="008F734E"/>
    <w:rsid w:val="00933711"/>
    <w:rsid w:val="00A225A0"/>
    <w:rsid w:val="00A25520"/>
    <w:rsid w:val="00A74560"/>
    <w:rsid w:val="00AD4156"/>
    <w:rsid w:val="00AD7850"/>
    <w:rsid w:val="00B72CFA"/>
    <w:rsid w:val="00BA2038"/>
    <w:rsid w:val="00BA7744"/>
    <w:rsid w:val="00C34807"/>
    <w:rsid w:val="00C53D7E"/>
    <w:rsid w:val="00C82ABF"/>
    <w:rsid w:val="00CB040C"/>
    <w:rsid w:val="00D93F88"/>
    <w:rsid w:val="00DC5A5D"/>
    <w:rsid w:val="00E128BF"/>
    <w:rsid w:val="00E279A8"/>
    <w:rsid w:val="00E77CFC"/>
    <w:rsid w:val="00F413EE"/>
    <w:rsid w:val="00F41882"/>
    <w:rsid w:val="00F473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4FFB2"/>
  <w15:chartTrackingRefBased/>
  <w15:docId w15:val="{C3AE397D-AB7E-4F40-9AA0-49A1FE5D3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E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6E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6E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6E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6E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6E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6E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6E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6E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E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6E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6E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6E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6E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6E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6E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6E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6E0E"/>
    <w:rPr>
      <w:rFonts w:eastAsiaTheme="majorEastAsia" w:cstheme="majorBidi"/>
      <w:color w:val="272727" w:themeColor="text1" w:themeTint="D8"/>
    </w:rPr>
  </w:style>
  <w:style w:type="paragraph" w:styleId="Title">
    <w:name w:val="Title"/>
    <w:basedOn w:val="Normal"/>
    <w:next w:val="Normal"/>
    <w:link w:val="TitleChar"/>
    <w:uiPriority w:val="10"/>
    <w:qFormat/>
    <w:rsid w:val="00066E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E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6E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6E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6E0E"/>
    <w:pPr>
      <w:spacing w:before="160"/>
      <w:jc w:val="center"/>
    </w:pPr>
    <w:rPr>
      <w:i/>
      <w:iCs/>
      <w:color w:val="404040" w:themeColor="text1" w:themeTint="BF"/>
    </w:rPr>
  </w:style>
  <w:style w:type="character" w:customStyle="1" w:styleId="QuoteChar">
    <w:name w:val="Quote Char"/>
    <w:basedOn w:val="DefaultParagraphFont"/>
    <w:link w:val="Quote"/>
    <w:uiPriority w:val="29"/>
    <w:rsid w:val="00066E0E"/>
    <w:rPr>
      <w:i/>
      <w:iCs/>
      <w:color w:val="404040" w:themeColor="text1" w:themeTint="BF"/>
    </w:rPr>
  </w:style>
  <w:style w:type="paragraph" w:styleId="ListParagraph">
    <w:name w:val="List Paragraph"/>
    <w:basedOn w:val="Normal"/>
    <w:uiPriority w:val="34"/>
    <w:qFormat/>
    <w:rsid w:val="00066E0E"/>
    <w:pPr>
      <w:ind w:left="720"/>
      <w:contextualSpacing/>
    </w:pPr>
  </w:style>
  <w:style w:type="character" w:styleId="IntenseEmphasis">
    <w:name w:val="Intense Emphasis"/>
    <w:basedOn w:val="DefaultParagraphFont"/>
    <w:uiPriority w:val="21"/>
    <w:qFormat/>
    <w:rsid w:val="00066E0E"/>
    <w:rPr>
      <w:i/>
      <w:iCs/>
      <w:color w:val="0F4761" w:themeColor="accent1" w:themeShade="BF"/>
    </w:rPr>
  </w:style>
  <w:style w:type="paragraph" w:styleId="IntenseQuote">
    <w:name w:val="Intense Quote"/>
    <w:basedOn w:val="Normal"/>
    <w:next w:val="Normal"/>
    <w:link w:val="IntenseQuoteChar"/>
    <w:uiPriority w:val="30"/>
    <w:qFormat/>
    <w:rsid w:val="00066E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6E0E"/>
    <w:rPr>
      <w:i/>
      <w:iCs/>
      <w:color w:val="0F4761" w:themeColor="accent1" w:themeShade="BF"/>
    </w:rPr>
  </w:style>
  <w:style w:type="character" w:styleId="IntenseReference">
    <w:name w:val="Intense Reference"/>
    <w:basedOn w:val="DefaultParagraphFont"/>
    <w:uiPriority w:val="32"/>
    <w:qFormat/>
    <w:rsid w:val="00066E0E"/>
    <w:rPr>
      <w:b/>
      <w:bCs/>
      <w:smallCaps/>
      <w:color w:val="0F4761" w:themeColor="accent1" w:themeShade="BF"/>
      <w:spacing w:val="5"/>
    </w:rPr>
  </w:style>
  <w:style w:type="character" w:styleId="Hyperlink">
    <w:name w:val="Hyperlink"/>
    <w:basedOn w:val="DefaultParagraphFont"/>
    <w:uiPriority w:val="99"/>
    <w:unhideWhenUsed/>
    <w:rsid w:val="00127F40"/>
    <w:rPr>
      <w:color w:val="467886" w:themeColor="hyperlink"/>
      <w:u w:val="single"/>
    </w:rPr>
  </w:style>
  <w:style w:type="character" w:styleId="UnresolvedMention">
    <w:name w:val="Unresolved Mention"/>
    <w:basedOn w:val="DefaultParagraphFont"/>
    <w:uiPriority w:val="99"/>
    <w:semiHidden/>
    <w:unhideWhenUsed/>
    <w:rsid w:val="00127F40"/>
    <w:rPr>
      <w:color w:val="605E5C"/>
      <w:shd w:val="clear" w:color="auto" w:fill="E1DFDD"/>
    </w:rPr>
  </w:style>
  <w:style w:type="paragraph" w:styleId="Header">
    <w:name w:val="header"/>
    <w:basedOn w:val="Normal"/>
    <w:link w:val="HeaderChar"/>
    <w:uiPriority w:val="99"/>
    <w:unhideWhenUsed/>
    <w:rsid w:val="00763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E7C"/>
  </w:style>
  <w:style w:type="paragraph" w:styleId="Footer">
    <w:name w:val="footer"/>
    <w:basedOn w:val="Normal"/>
    <w:link w:val="FooterChar"/>
    <w:uiPriority w:val="99"/>
    <w:unhideWhenUsed/>
    <w:rsid w:val="00763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E7C"/>
  </w:style>
  <w:style w:type="character" w:styleId="CommentReference">
    <w:name w:val="annotation reference"/>
    <w:basedOn w:val="DefaultParagraphFont"/>
    <w:uiPriority w:val="99"/>
    <w:semiHidden/>
    <w:unhideWhenUsed/>
    <w:rsid w:val="002F7F6E"/>
    <w:rPr>
      <w:sz w:val="16"/>
      <w:szCs w:val="16"/>
    </w:rPr>
  </w:style>
  <w:style w:type="paragraph" w:styleId="CommentText">
    <w:name w:val="annotation text"/>
    <w:basedOn w:val="Normal"/>
    <w:link w:val="CommentTextChar"/>
    <w:uiPriority w:val="99"/>
    <w:unhideWhenUsed/>
    <w:rsid w:val="002F7F6E"/>
    <w:pPr>
      <w:spacing w:line="240" w:lineRule="auto"/>
    </w:pPr>
    <w:rPr>
      <w:sz w:val="20"/>
      <w:szCs w:val="20"/>
    </w:rPr>
  </w:style>
  <w:style w:type="character" w:customStyle="1" w:styleId="CommentTextChar">
    <w:name w:val="Comment Text Char"/>
    <w:basedOn w:val="DefaultParagraphFont"/>
    <w:link w:val="CommentText"/>
    <w:uiPriority w:val="99"/>
    <w:rsid w:val="002F7F6E"/>
    <w:rPr>
      <w:sz w:val="20"/>
      <w:szCs w:val="20"/>
    </w:rPr>
  </w:style>
  <w:style w:type="paragraph" w:styleId="CommentSubject">
    <w:name w:val="annotation subject"/>
    <w:basedOn w:val="CommentText"/>
    <w:next w:val="CommentText"/>
    <w:link w:val="CommentSubjectChar"/>
    <w:uiPriority w:val="99"/>
    <w:semiHidden/>
    <w:unhideWhenUsed/>
    <w:rsid w:val="002F7F6E"/>
    <w:rPr>
      <w:b/>
      <w:bCs/>
    </w:rPr>
  </w:style>
  <w:style w:type="character" w:customStyle="1" w:styleId="CommentSubjectChar">
    <w:name w:val="Comment Subject Char"/>
    <w:basedOn w:val="CommentTextChar"/>
    <w:link w:val="CommentSubject"/>
    <w:uiPriority w:val="99"/>
    <w:semiHidden/>
    <w:rsid w:val="002F7F6E"/>
    <w:rPr>
      <w:b/>
      <w:bCs/>
      <w:sz w:val="20"/>
      <w:szCs w:val="20"/>
    </w:rPr>
  </w:style>
  <w:style w:type="paragraph" w:styleId="FootnoteText">
    <w:name w:val="footnote text"/>
    <w:basedOn w:val="Normal"/>
    <w:link w:val="FootnoteTextChar"/>
    <w:uiPriority w:val="99"/>
    <w:unhideWhenUsed/>
    <w:rsid w:val="001063F7"/>
    <w:pPr>
      <w:spacing w:after="0" w:line="240" w:lineRule="auto"/>
    </w:pPr>
    <w:rPr>
      <w:sz w:val="20"/>
      <w:szCs w:val="20"/>
    </w:rPr>
  </w:style>
  <w:style w:type="character" w:customStyle="1" w:styleId="FootnoteTextChar">
    <w:name w:val="Footnote Text Char"/>
    <w:basedOn w:val="DefaultParagraphFont"/>
    <w:link w:val="FootnoteText"/>
    <w:uiPriority w:val="99"/>
    <w:rsid w:val="001063F7"/>
    <w:rPr>
      <w:sz w:val="20"/>
      <w:szCs w:val="20"/>
    </w:rPr>
  </w:style>
  <w:style w:type="character" w:styleId="FootnoteReference">
    <w:name w:val="footnote reference"/>
    <w:basedOn w:val="DefaultParagraphFont"/>
    <w:uiPriority w:val="99"/>
    <w:semiHidden/>
    <w:unhideWhenUsed/>
    <w:rsid w:val="001063F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7E5F22-669C-43A1-B70A-2C8D662BE8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2967</Words>
  <Characters>16913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Guy (2404993)</dc:creator>
  <cp:keywords/>
  <dc:description/>
  <cp:lastModifiedBy>Chris Guy (2404993)</cp:lastModifiedBy>
  <cp:revision>2</cp:revision>
  <dcterms:created xsi:type="dcterms:W3CDTF">2026-05-12T21:26:00Z</dcterms:created>
  <dcterms:modified xsi:type="dcterms:W3CDTF">2026-05-12T21:26:00Z</dcterms:modified>
</cp:coreProperties>
</file>