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769C5A" w14:textId="0F8187DC" w:rsidR="008D056E" w:rsidRPr="00A612DE" w:rsidRDefault="000C62C2" w:rsidP="00D4493E">
      <w:pPr>
        <w:spacing w:line="360" w:lineRule="auto"/>
        <w:jc w:val="both"/>
        <w:rPr>
          <w:rFonts w:ascii="Arial" w:hAnsi="Arial" w:cs="Arial"/>
          <w:sz w:val="22"/>
          <w:szCs w:val="22"/>
        </w:rPr>
      </w:pPr>
      <w:r>
        <w:rPr>
          <w:rFonts w:ascii="Arial" w:hAnsi="Arial" w:cs="Arial"/>
          <w:sz w:val="22"/>
          <w:szCs w:val="22"/>
        </w:rPr>
        <w:t xml:space="preserve">                                       </w:t>
      </w:r>
      <w:r w:rsidR="008D056E" w:rsidRPr="00A612DE">
        <w:rPr>
          <w:rFonts w:ascii="Arial" w:hAnsi="Arial" w:cs="Arial"/>
          <w:noProof/>
          <w:sz w:val="22"/>
          <w:szCs w:val="22"/>
        </w:rPr>
        <w:drawing>
          <wp:inline distT="0" distB="0" distL="0" distR="0" wp14:anchorId="6C517F38" wp14:editId="0D8A76C4">
            <wp:extent cx="2616200" cy="1168400"/>
            <wp:effectExtent l="0" t="0" r="0" b="0"/>
            <wp:docPr id="142864927"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6200" cy="1168400"/>
                    </a:xfrm>
                    <a:prstGeom prst="rect">
                      <a:avLst/>
                    </a:prstGeom>
                    <a:noFill/>
                    <a:ln>
                      <a:noFill/>
                    </a:ln>
                  </pic:spPr>
                </pic:pic>
              </a:graphicData>
            </a:graphic>
          </wp:inline>
        </w:drawing>
      </w:r>
    </w:p>
    <w:p w14:paraId="37590EAC" w14:textId="77777777" w:rsidR="008D056E" w:rsidRPr="00A612DE" w:rsidRDefault="008D056E" w:rsidP="00D4493E">
      <w:pPr>
        <w:spacing w:line="360" w:lineRule="auto"/>
        <w:jc w:val="both"/>
        <w:rPr>
          <w:rFonts w:ascii="Arial" w:hAnsi="Arial" w:cs="Arial"/>
          <w:sz w:val="22"/>
          <w:szCs w:val="22"/>
        </w:rPr>
      </w:pPr>
    </w:p>
    <w:p w14:paraId="6E94BE7D" w14:textId="77777777" w:rsidR="008D056E" w:rsidRPr="00A612DE" w:rsidRDefault="008D056E" w:rsidP="00D4493E">
      <w:pPr>
        <w:spacing w:line="360" w:lineRule="auto"/>
        <w:jc w:val="both"/>
        <w:rPr>
          <w:rFonts w:ascii="Arial" w:hAnsi="Arial" w:cs="Arial"/>
          <w:sz w:val="22"/>
          <w:szCs w:val="22"/>
        </w:rPr>
      </w:pPr>
    </w:p>
    <w:p w14:paraId="5B5CB1BA" w14:textId="77777777" w:rsidR="008D056E" w:rsidRPr="00A612DE" w:rsidRDefault="008D056E" w:rsidP="00D4493E">
      <w:pPr>
        <w:spacing w:line="360" w:lineRule="auto"/>
        <w:jc w:val="both"/>
        <w:rPr>
          <w:rFonts w:ascii="Arial" w:hAnsi="Arial" w:cs="Arial"/>
          <w:sz w:val="22"/>
          <w:szCs w:val="22"/>
        </w:rPr>
      </w:pPr>
    </w:p>
    <w:p w14:paraId="0E1B1134" w14:textId="77777777" w:rsidR="008D056E" w:rsidRPr="00A612DE" w:rsidRDefault="008D056E" w:rsidP="00D4493E">
      <w:pPr>
        <w:spacing w:line="360" w:lineRule="auto"/>
        <w:jc w:val="both"/>
        <w:rPr>
          <w:rFonts w:ascii="Arial" w:hAnsi="Arial" w:cs="Arial"/>
          <w:sz w:val="22"/>
          <w:szCs w:val="22"/>
        </w:rPr>
      </w:pPr>
    </w:p>
    <w:p w14:paraId="3F6FA932" w14:textId="77777777" w:rsidR="008D056E" w:rsidRPr="00A612DE" w:rsidRDefault="008D056E" w:rsidP="00D4493E">
      <w:pPr>
        <w:spacing w:line="360" w:lineRule="auto"/>
        <w:jc w:val="both"/>
        <w:rPr>
          <w:rFonts w:ascii="Arial" w:hAnsi="Arial" w:cs="Arial"/>
          <w:sz w:val="22"/>
          <w:szCs w:val="22"/>
        </w:rPr>
      </w:pPr>
    </w:p>
    <w:p w14:paraId="39BAAA92" w14:textId="77777777" w:rsidR="008D056E" w:rsidRPr="00A612DE" w:rsidRDefault="008D056E" w:rsidP="00D4493E">
      <w:pPr>
        <w:spacing w:line="360" w:lineRule="auto"/>
        <w:jc w:val="both"/>
        <w:rPr>
          <w:rFonts w:ascii="Arial" w:hAnsi="Arial" w:cs="Arial"/>
          <w:sz w:val="22"/>
          <w:szCs w:val="22"/>
        </w:rPr>
      </w:pPr>
    </w:p>
    <w:p w14:paraId="492E80D9" w14:textId="77777777" w:rsidR="008D056E" w:rsidRPr="00A612DE" w:rsidRDefault="008D056E" w:rsidP="00D4493E">
      <w:pPr>
        <w:spacing w:line="360" w:lineRule="auto"/>
        <w:jc w:val="both"/>
        <w:rPr>
          <w:rFonts w:ascii="Arial" w:hAnsi="Arial" w:cs="Arial"/>
          <w:sz w:val="22"/>
          <w:szCs w:val="22"/>
        </w:rPr>
      </w:pPr>
    </w:p>
    <w:p w14:paraId="1811EE8F" w14:textId="77777777" w:rsidR="008D056E" w:rsidRPr="00A612DE" w:rsidRDefault="008D056E" w:rsidP="00D4493E">
      <w:pPr>
        <w:spacing w:line="360" w:lineRule="auto"/>
        <w:jc w:val="center"/>
        <w:rPr>
          <w:rFonts w:ascii="Arial" w:hAnsi="Arial" w:cs="Arial"/>
          <w:sz w:val="22"/>
          <w:szCs w:val="22"/>
        </w:rPr>
      </w:pPr>
    </w:p>
    <w:p w14:paraId="02F9A2BE" w14:textId="77777777" w:rsidR="008D056E" w:rsidRPr="00A612DE" w:rsidRDefault="008D056E" w:rsidP="00D4493E">
      <w:pPr>
        <w:spacing w:line="360" w:lineRule="auto"/>
        <w:jc w:val="center"/>
        <w:rPr>
          <w:rFonts w:ascii="Arial" w:hAnsi="Arial" w:cs="Arial"/>
          <w:b/>
          <w:bCs/>
          <w:sz w:val="22"/>
          <w:szCs w:val="22"/>
        </w:rPr>
      </w:pPr>
      <w:r w:rsidRPr="00A612DE">
        <w:rPr>
          <w:rFonts w:ascii="Arial" w:hAnsi="Arial" w:cs="Arial"/>
          <w:b/>
          <w:bCs/>
          <w:sz w:val="22"/>
          <w:szCs w:val="22"/>
        </w:rPr>
        <w:t>Name: Azhda Ali</w:t>
      </w:r>
    </w:p>
    <w:p w14:paraId="3DE50EBE" w14:textId="77777777" w:rsidR="008D056E" w:rsidRPr="00A612DE" w:rsidRDefault="008D056E" w:rsidP="00D4493E">
      <w:pPr>
        <w:spacing w:line="360" w:lineRule="auto"/>
        <w:jc w:val="center"/>
        <w:rPr>
          <w:rFonts w:ascii="Arial" w:hAnsi="Arial" w:cs="Arial"/>
          <w:b/>
          <w:bCs/>
          <w:sz w:val="22"/>
          <w:szCs w:val="22"/>
        </w:rPr>
      </w:pPr>
      <w:r w:rsidRPr="00A612DE">
        <w:rPr>
          <w:rFonts w:ascii="Arial" w:hAnsi="Arial" w:cs="Arial"/>
          <w:b/>
          <w:bCs/>
          <w:sz w:val="22"/>
          <w:szCs w:val="22"/>
        </w:rPr>
        <w:t>Student ID: 2436859</w:t>
      </w:r>
    </w:p>
    <w:p w14:paraId="17735FF3" w14:textId="7CE53B9D" w:rsidR="008D056E" w:rsidRPr="00A612DE" w:rsidRDefault="008D056E" w:rsidP="00D4493E">
      <w:pPr>
        <w:spacing w:line="360" w:lineRule="auto"/>
        <w:jc w:val="center"/>
        <w:rPr>
          <w:rFonts w:ascii="Arial" w:hAnsi="Arial" w:cs="Arial"/>
          <w:b/>
          <w:bCs/>
          <w:sz w:val="22"/>
          <w:szCs w:val="22"/>
        </w:rPr>
      </w:pPr>
      <w:r w:rsidRPr="00A612DE">
        <w:rPr>
          <w:rFonts w:ascii="Arial" w:hAnsi="Arial" w:cs="Arial"/>
          <w:b/>
          <w:bCs/>
          <w:sz w:val="22"/>
          <w:szCs w:val="22"/>
        </w:rPr>
        <w:t>Module Code:</w:t>
      </w:r>
      <w:r w:rsidR="000C62C2" w:rsidRPr="00A612DE">
        <w:rPr>
          <w:rFonts w:ascii="Arial" w:hAnsi="Arial" w:cs="Arial"/>
          <w:b/>
          <w:bCs/>
          <w:sz w:val="22"/>
          <w:szCs w:val="22"/>
        </w:rPr>
        <w:t xml:space="preserve"> </w:t>
      </w:r>
      <w:r w:rsidR="000C62C2" w:rsidRPr="00A612DE">
        <w:rPr>
          <w:rFonts w:ascii="Arial" w:hAnsi="Arial" w:cs="Arial"/>
          <w:b/>
          <w:sz w:val="22"/>
          <w:szCs w:val="22"/>
        </w:rPr>
        <w:t>BMHP5016</w:t>
      </w:r>
    </w:p>
    <w:p w14:paraId="1356E57A" w14:textId="07AE2A41" w:rsidR="000C62C2" w:rsidRPr="00A612DE" w:rsidRDefault="008D056E" w:rsidP="00D4493E">
      <w:pPr>
        <w:spacing w:before="120" w:after="120" w:line="360" w:lineRule="auto"/>
        <w:jc w:val="center"/>
        <w:rPr>
          <w:rFonts w:ascii="Arial" w:hAnsi="Arial" w:cs="Arial"/>
          <w:b/>
          <w:sz w:val="22"/>
          <w:szCs w:val="22"/>
        </w:rPr>
      </w:pPr>
      <w:r w:rsidRPr="00A612DE">
        <w:rPr>
          <w:rFonts w:ascii="Arial" w:hAnsi="Arial" w:cs="Arial"/>
          <w:b/>
          <w:bCs/>
          <w:sz w:val="22"/>
          <w:szCs w:val="22"/>
        </w:rPr>
        <w:t>Module:</w:t>
      </w:r>
      <w:r w:rsidR="000C62C2" w:rsidRPr="00A612DE">
        <w:rPr>
          <w:rFonts w:ascii="Arial" w:hAnsi="Arial" w:cs="Arial"/>
          <w:b/>
          <w:bCs/>
          <w:sz w:val="22"/>
          <w:szCs w:val="22"/>
        </w:rPr>
        <w:t xml:space="preserve"> </w:t>
      </w:r>
      <w:r w:rsidR="000C62C2" w:rsidRPr="00A612DE">
        <w:rPr>
          <w:rFonts w:ascii="Arial" w:hAnsi="Arial" w:cs="Arial"/>
          <w:b/>
          <w:sz w:val="22"/>
          <w:szCs w:val="22"/>
        </w:rPr>
        <w:t>Principles of Health and Social Care Practice</w:t>
      </w:r>
    </w:p>
    <w:p w14:paraId="42774AB4" w14:textId="4D0A5A65" w:rsidR="008D056E" w:rsidRPr="00A612DE" w:rsidRDefault="008D056E" w:rsidP="00D4493E">
      <w:pPr>
        <w:spacing w:line="360" w:lineRule="auto"/>
        <w:jc w:val="center"/>
        <w:rPr>
          <w:rFonts w:ascii="Arial" w:hAnsi="Arial" w:cs="Arial"/>
          <w:b/>
          <w:bCs/>
          <w:sz w:val="22"/>
          <w:szCs w:val="22"/>
        </w:rPr>
      </w:pPr>
      <w:r w:rsidRPr="00A612DE">
        <w:rPr>
          <w:rFonts w:ascii="Arial" w:hAnsi="Arial" w:cs="Arial"/>
          <w:b/>
          <w:bCs/>
          <w:sz w:val="22"/>
          <w:szCs w:val="22"/>
        </w:rPr>
        <w:t xml:space="preserve">Assignment Title: </w:t>
      </w:r>
      <w:r w:rsidR="00061009" w:rsidRPr="00A612DE">
        <w:rPr>
          <w:rFonts w:ascii="Arial" w:eastAsia="Arial" w:hAnsi="Arial" w:cs="Arial"/>
          <w:b/>
          <w:bCs/>
          <w:sz w:val="22"/>
          <w:szCs w:val="22"/>
        </w:rPr>
        <w:t>Person Centred Care and Partnership Working</w:t>
      </w:r>
    </w:p>
    <w:p w14:paraId="7579A438" w14:textId="46124D85" w:rsidR="008D056E" w:rsidRPr="00A612DE" w:rsidRDefault="008D056E" w:rsidP="00D4493E">
      <w:pPr>
        <w:spacing w:line="360" w:lineRule="auto"/>
        <w:jc w:val="center"/>
        <w:rPr>
          <w:rFonts w:ascii="Arial" w:hAnsi="Arial" w:cs="Arial"/>
          <w:b/>
          <w:bCs/>
          <w:sz w:val="22"/>
          <w:szCs w:val="22"/>
        </w:rPr>
      </w:pPr>
      <w:r w:rsidRPr="00A612DE">
        <w:rPr>
          <w:rFonts w:ascii="Arial" w:hAnsi="Arial" w:cs="Arial"/>
          <w:b/>
          <w:bCs/>
          <w:sz w:val="22"/>
          <w:szCs w:val="22"/>
        </w:rPr>
        <w:t xml:space="preserve">Lecturer: </w:t>
      </w:r>
      <w:r w:rsidR="00761E16" w:rsidRPr="00A612DE">
        <w:rPr>
          <w:rFonts w:ascii="Arial" w:hAnsi="Arial" w:cs="Arial"/>
          <w:b/>
          <w:bCs/>
          <w:sz w:val="22"/>
          <w:szCs w:val="22"/>
        </w:rPr>
        <w:t xml:space="preserve">Dr </w:t>
      </w:r>
      <w:r w:rsidRPr="00A612DE">
        <w:rPr>
          <w:rFonts w:ascii="Arial" w:hAnsi="Arial" w:cs="Arial"/>
          <w:b/>
          <w:bCs/>
          <w:sz w:val="22"/>
          <w:szCs w:val="22"/>
        </w:rPr>
        <w:t>Azida Zainol</w:t>
      </w:r>
    </w:p>
    <w:p w14:paraId="569DE776" w14:textId="77777777" w:rsidR="008D056E" w:rsidRPr="00A612DE" w:rsidRDefault="008D056E" w:rsidP="00D4493E">
      <w:pPr>
        <w:spacing w:line="360" w:lineRule="auto"/>
        <w:jc w:val="center"/>
        <w:rPr>
          <w:rFonts w:ascii="Arial" w:hAnsi="Arial" w:cs="Arial"/>
          <w:b/>
          <w:bCs/>
          <w:sz w:val="22"/>
          <w:szCs w:val="22"/>
        </w:rPr>
      </w:pPr>
    </w:p>
    <w:p w14:paraId="02C58219" w14:textId="77777777" w:rsidR="008D056E" w:rsidRPr="00A612DE" w:rsidRDefault="008D056E" w:rsidP="00D4493E">
      <w:pPr>
        <w:spacing w:line="360" w:lineRule="auto"/>
        <w:jc w:val="center"/>
        <w:rPr>
          <w:rFonts w:ascii="Arial" w:hAnsi="Arial" w:cs="Arial"/>
          <w:b/>
          <w:bCs/>
          <w:sz w:val="22"/>
          <w:szCs w:val="22"/>
        </w:rPr>
      </w:pPr>
    </w:p>
    <w:p w14:paraId="6E1C9F98" w14:textId="77777777" w:rsidR="008D056E" w:rsidRPr="00A612DE" w:rsidRDefault="008D056E" w:rsidP="00D4493E">
      <w:pPr>
        <w:spacing w:line="360" w:lineRule="auto"/>
        <w:jc w:val="center"/>
        <w:rPr>
          <w:rFonts w:ascii="Arial" w:hAnsi="Arial" w:cs="Arial"/>
          <w:b/>
          <w:bCs/>
          <w:sz w:val="22"/>
          <w:szCs w:val="22"/>
        </w:rPr>
      </w:pPr>
    </w:p>
    <w:p w14:paraId="5B2371FF" w14:textId="77777777" w:rsidR="008D056E" w:rsidRPr="00A612DE" w:rsidRDefault="008D056E" w:rsidP="00D4493E">
      <w:pPr>
        <w:spacing w:line="360" w:lineRule="auto"/>
        <w:jc w:val="center"/>
        <w:rPr>
          <w:rFonts w:ascii="Arial" w:hAnsi="Arial" w:cs="Arial"/>
          <w:b/>
          <w:bCs/>
          <w:sz w:val="22"/>
          <w:szCs w:val="22"/>
        </w:rPr>
      </w:pPr>
    </w:p>
    <w:p w14:paraId="79D92411" w14:textId="77777777" w:rsidR="008D056E" w:rsidRPr="00A612DE" w:rsidRDefault="008D056E" w:rsidP="00D4493E">
      <w:pPr>
        <w:spacing w:line="360" w:lineRule="auto"/>
        <w:jc w:val="center"/>
        <w:rPr>
          <w:rFonts w:ascii="Arial" w:hAnsi="Arial" w:cs="Arial"/>
          <w:b/>
          <w:bCs/>
          <w:sz w:val="22"/>
          <w:szCs w:val="22"/>
        </w:rPr>
      </w:pPr>
    </w:p>
    <w:p w14:paraId="1A49979D" w14:textId="77777777" w:rsidR="008D056E" w:rsidRPr="00A612DE" w:rsidRDefault="008D056E" w:rsidP="00D4493E">
      <w:pPr>
        <w:spacing w:line="360" w:lineRule="auto"/>
        <w:jc w:val="both"/>
        <w:rPr>
          <w:rFonts w:ascii="Arial" w:hAnsi="Arial" w:cs="Arial"/>
          <w:b/>
          <w:bCs/>
          <w:sz w:val="22"/>
          <w:szCs w:val="22"/>
        </w:rPr>
      </w:pPr>
    </w:p>
    <w:p w14:paraId="09AD7733" w14:textId="5A1A8170" w:rsidR="008D056E" w:rsidRPr="00A612DE" w:rsidRDefault="008D056E" w:rsidP="00D4493E">
      <w:pPr>
        <w:spacing w:line="360" w:lineRule="auto"/>
        <w:jc w:val="center"/>
        <w:rPr>
          <w:rFonts w:ascii="Arial" w:hAnsi="Arial" w:cs="Arial"/>
          <w:b/>
          <w:bCs/>
          <w:sz w:val="22"/>
          <w:szCs w:val="22"/>
        </w:rPr>
      </w:pPr>
      <w:r w:rsidRPr="00A612DE">
        <w:rPr>
          <w:rFonts w:ascii="Arial" w:hAnsi="Arial" w:cs="Arial"/>
          <w:b/>
          <w:bCs/>
          <w:sz w:val="22"/>
          <w:szCs w:val="22"/>
        </w:rPr>
        <w:t>Submitted on:  2</w:t>
      </w:r>
      <w:r w:rsidR="00F052CB">
        <w:rPr>
          <w:rFonts w:ascii="Arial" w:hAnsi="Arial" w:cs="Arial"/>
          <w:b/>
          <w:bCs/>
          <w:sz w:val="22"/>
          <w:szCs w:val="22"/>
        </w:rPr>
        <w:t>2</w:t>
      </w:r>
      <w:r w:rsidRPr="00A612DE">
        <w:rPr>
          <w:rFonts w:ascii="Arial" w:hAnsi="Arial" w:cs="Arial"/>
          <w:b/>
          <w:bCs/>
          <w:sz w:val="22"/>
          <w:szCs w:val="22"/>
        </w:rPr>
        <w:t>/07/2026</w:t>
      </w:r>
    </w:p>
    <w:p w14:paraId="5EC2A56F" w14:textId="77777777" w:rsidR="008D056E" w:rsidRPr="00A612DE" w:rsidRDefault="008D056E" w:rsidP="00D4493E">
      <w:pPr>
        <w:spacing w:line="360" w:lineRule="auto"/>
        <w:jc w:val="both"/>
        <w:rPr>
          <w:rFonts w:ascii="Arial" w:hAnsi="Arial" w:cs="Arial"/>
          <w:sz w:val="22"/>
          <w:szCs w:val="22"/>
        </w:rPr>
      </w:pPr>
    </w:p>
    <w:sdt>
      <w:sdtPr>
        <w:id w:val="-756516701"/>
        <w:docPartObj>
          <w:docPartGallery w:val="Table of Contents"/>
          <w:docPartUnique/>
        </w:docPartObj>
      </w:sdtPr>
      <w:sdtEndPr>
        <w:rPr>
          <w:b/>
          <w:bCs/>
        </w:rPr>
      </w:sdtEndPr>
      <w:sdtContent>
        <w:p w14:paraId="451892DD" w14:textId="45E496C1" w:rsidR="00D4493E" w:rsidRPr="00F052CB" w:rsidRDefault="00D4493E" w:rsidP="00F052CB">
          <w:pPr>
            <w:spacing w:line="360" w:lineRule="auto"/>
            <w:jc w:val="center"/>
            <w:rPr>
              <w:rFonts w:ascii="Arial" w:hAnsi="Arial" w:cs="Arial"/>
              <w:sz w:val="32"/>
              <w:szCs w:val="32"/>
            </w:rPr>
          </w:pPr>
          <w:r w:rsidRPr="00F052CB">
            <w:rPr>
              <w:rFonts w:ascii="Arial" w:hAnsi="Arial" w:cs="Arial"/>
            </w:rPr>
            <w:br/>
          </w:r>
          <w:r w:rsidRPr="00F052CB">
            <w:rPr>
              <w:rFonts w:ascii="Arial" w:eastAsia="Arial" w:hAnsi="Arial" w:cs="Arial"/>
            </w:rPr>
            <w:t>Person Centred Care and Partnership Working</w:t>
          </w:r>
        </w:p>
        <w:p w14:paraId="275BEAE4" w14:textId="5AC6F490" w:rsidR="00D4493E" w:rsidRPr="00F052CB" w:rsidRDefault="00D4493E" w:rsidP="00F052CB">
          <w:pPr>
            <w:pStyle w:val="TOCHeading"/>
            <w:spacing w:line="360" w:lineRule="auto"/>
            <w:rPr>
              <w:rFonts w:ascii="Arial" w:hAnsi="Arial" w:cs="Arial"/>
            </w:rPr>
          </w:pPr>
        </w:p>
        <w:p w14:paraId="4A7437B0" w14:textId="25F3502C" w:rsidR="00F052CB" w:rsidRPr="00F052CB" w:rsidRDefault="00D4493E" w:rsidP="00F052CB">
          <w:pPr>
            <w:pStyle w:val="TOC2"/>
            <w:tabs>
              <w:tab w:val="right" w:leader="dot" w:pos="9016"/>
            </w:tabs>
            <w:spacing w:line="360" w:lineRule="auto"/>
            <w:rPr>
              <w:rFonts w:ascii="Arial" w:eastAsiaTheme="minorEastAsia" w:hAnsi="Arial" w:cs="Arial"/>
              <w:noProof/>
              <w:sz w:val="22"/>
              <w:szCs w:val="22"/>
              <w:lang w:eastAsia="en-GB"/>
            </w:rPr>
          </w:pPr>
          <w:r w:rsidRPr="00F052CB">
            <w:rPr>
              <w:rFonts w:ascii="Arial" w:hAnsi="Arial" w:cs="Arial"/>
            </w:rPr>
            <w:fldChar w:fldCharType="begin"/>
          </w:r>
          <w:r w:rsidRPr="00F052CB">
            <w:rPr>
              <w:rFonts w:ascii="Arial" w:hAnsi="Arial" w:cs="Arial"/>
            </w:rPr>
            <w:instrText xml:space="preserve"> TOC \o "1-3" \h \z \u </w:instrText>
          </w:r>
          <w:r w:rsidRPr="00F052CB">
            <w:rPr>
              <w:rFonts w:ascii="Arial" w:hAnsi="Arial" w:cs="Arial"/>
            </w:rPr>
            <w:fldChar w:fldCharType="separate"/>
          </w:r>
          <w:hyperlink w:anchor="_Toc235640165" w:history="1">
            <w:r w:rsidR="00F052CB" w:rsidRPr="00F052CB">
              <w:rPr>
                <w:rStyle w:val="Hyperlink"/>
                <w:rFonts w:ascii="Arial" w:hAnsi="Arial" w:cs="Arial"/>
                <w:noProof/>
                <w:sz w:val="22"/>
                <w:szCs w:val="22"/>
              </w:rPr>
              <w:t>Summary</w:t>
            </w:r>
            <w:r w:rsidR="00F052CB" w:rsidRPr="00F052CB">
              <w:rPr>
                <w:rFonts w:ascii="Arial" w:hAnsi="Arial" w:cs="Arial"/>
                <w:noProof/>
                <w:webHidden/>
                <w:sz w:val="22"/>
                <w:szCs w:val="22"/>
              </w:rPr>
              <w:tab/>
            </w:r>
            <w:r w:rsidR="00F052CB" w:rsidRPr="00F052CB">
              <w:rPr>
                <w:rFonts w:ascii="Arial" w:hAnsi="Arial" w:cs="Arial"/>
                <w:noProof/>
                <w:webHidden/>
                <w:sz w:val="22"/>
                <w:szCs w:val="22"/>
              </w:rPr>
              <w:fldChar w:fldCharType="begin"/>
            </w:r>
            <w:r w:rsidR="00F052CB" w:rsidRPr="00F052CB">
              <w:rPr>
                <w:rFonts w:ascii="Arial" w:hAnsi="Arial" w:cs="Arial"/>
                <w:noProof/>
                <w:webHidden/>
                <w:sz w:val="22"/>
                <w:szCs w:val="22"/>
              </w:rPr>
              <w:instrText xml:space="preserve"> PAGEREF _Toc235640165 \h </w:instrText>
            </w:r>
            <w:r w:rsidR="00F052CB" w:rsidRPr="00F052CB">
              <w:rPr>
                <w:rFonts w:ascii="Arial" w:hAnsi="Arial" w:cs="Arial"/>
                <w:noProof/>
                <w:webHidden/>
                <w:sz w:val="22"/>
                <w:szCs w:val="22"/>
              </w:rPr>
            </w:r>
            <w:r w:rsidR="00F052CB" w:rsidRPr="00F052CB">
              <w:rPr>
                <w:rFonts w:ascii="Arial" w:hAnsi="Arial" w:cs="Arial"/>
                <w:noProof/>
                <w:webHidden/>
                <w:sz w:val="22"/>
                <w:szCs w:val="22"/>
              </w:rPr>
              <w:fldChar w:fldCharType="separate"/>
            </w:r>
            <w:r w:rsidR="00F052CB">
              <w:rPr>
                <w:rFonts w:ascii="Arial" w:hAnsi="Arial" w:cs="Arial"/>
                <w:noProof/>
                <w:webHidden/>
                <w:sz w:val="22"/>
                <w:szCs w:val="22"/>
              </w:rPr>
              <w:t>3</w:t>
            </w:r>
            <w:r w:rsidR="00F052CB" w:rsidRPr="00F052CB">
              <w:rPr>
                <w:rFonts w:ascii="Arial" w:hAnsi="Arial" w:cs="Arial"/>
                <w:noProof/>
                <w:webHidden/>
                <w:sz w:val="22"/>
                <w:szCs w:val="22"/>
              </w:rPr>
              <w:fldChar w:fldCharType="end"/>
            </w:r>
          </w:hyperlink>
        </w:p>
        <w:p w14:paraId="67892830" w14:textId="6E6A97DF" w:rsidR="00F052CB" w:rsidRPr="00F052CB" w:rsidRDefault="00F052CB" w:rsidP="00F052CB">
          <w:pPr>
            <w:pStyle w:val="TOC2"/>
            <w:tabs>
              <w:tab w:val="right" w:leader="dot" w:pos="9016"/>
            </w:tabs>
            <w:spacing w:line="360" w:lineRule="auto"/>
            <w:rPr>
              <w:rFonts w:ascii="Arial" w:eastAsiaTheme="minorEastAsia" w:hAnsi="Arial" w:cs="Arial"/>
              <w:noProof/>
              <w:sz w:val="22"/>
              <w:szCs w:val="22"/>
              <w:lang w:eastAsia="en-GB"/>
            </w:rPr>
          </w:pPr>
          <w:hyperlink w:anchor="_Toc235640166" w:history="1">
            <w:r w:rsidRPr="00F052CB">
              <w:rPr>
                <w:rStyle w:val="Hyperlink"/>
                <w:rFonts w:ascii="Arial" w:hAnsi="Arial" w:cs="Arial"/>
                <w:noProof/>
                <w:sz w:val="22"/>
                <w:szCs w:val="22"/>
              </w:rPr>
              <w:t>Introduction</w:t>
            </w:r>
            <w:r w:rsidRPr="00F052CB">
              <w:rPr>
                <w:rFonts w:ascii="Arial" w:hAnsi="Arial" w:cs="Arial"/>
                <w:noProof/>
                <w:webHidden/>
                <w:sz w:val="22"/>
                <w:szCs w:val="22"/>
              </w:rPr>
              <w:tab/>
            </w:r>
            <w:r w:rsidRPr="00F052CB">
              <w:rPr>
                <w:rFonts w:ascii="Arial" w:hAnsi="Arial" w:cs="Arial"/>
                <w:noProof/>
                <w:webHidden/>
                <w:sz w:val="22"/>
                <w:szCs w:val="22"/>
              </w:rPr>
              <w:fldChar w:fldCharType="begin"/>
            </w:r>
            <w:r w:rsidRPr="00F052CB">
              <w:rPr>
                <w:rFonts w:ascii="Arial" w:hAnsi="Arial" w:cs="Arial"/>
                <w:noProof/>
                <w:webHidden/>
                <w:sz w:val="22"/>
                <w:szCs w:val="22"/>
              </w:rPr>
              <w:instrText xml:space="preserve"> PAGEREF _Toc235640166 \h </w:instrText>
            </w:r>
            <w:r w:rsidRPr="00F052CB">
              <w:rPr>
                <w:rFonts w:ascii="Arial" w:hAnsi="Arial" w:cs="Arial"/>
                <w:noProof/>
                <w:webHidden/>
                <w:sz w:val="22"/>
                <w:szCs w:val="22"/>
              </w:rPr>
            </w:r>
            <w:r w:rsidRPr="00F052CB">
              <w:rPr>
                <w:rFonts w:ascii="Arial" w:hAnsi="Arial" w:cs="Arial"/>
                <w:noProof/>
                <w:webHidden/>
                <w:sz w:val="22"/>
                <w:szCs w:val="22"/>
              </w:rPr>
              <w:fldChar w:fldCharType="separate"/>
            </w:r>
            <w:r>
              <w:rPr>
                <w:rFonts w:ascii="Arial" w:hAnsi="Arial" w:cs="Arial"/>
                <w:noProof/>
                <w:webHidden/>
                <w:sz w:val="22"/>
                <w:szCs w:val="22"/>
              </w:rPr>
              <w:t>3</w:t>
            </w:r>
            <w:r w:rsidRPr="00F052CB">
              <w:rPr>
                <w:rFonts w:ascii="Arial" w:hAnsi="Arial" w:cs="Arial"/>
                <w:noProof/>
                <w:webHidden/>
                <w:sz w:val="22"/>
                <w:szCs w:val="22"/>
              </w:rPr>
              <w:fldChar w:fldCharType="end"/>
            </w:r>
          </w:hyperlink>
        </w:p>
        <w:p w14:paraId="13D79DB2" w14:textId="6725A116" w:rsidR="00F052CB" w:rsidRPr="00F052CB" w:rsidRDefault="00F052CB" w:rsidP="00F052CB">
          <w:pPr>
            <w:pStyle w:val="TOC3"/>
            <w:tabs>
              <w:tab w:val="right" w:leader="dot" w:pos="9016"/>
            </w:tabs>
            <w:spacing w:line="360" w:lineRule="auto"/>
            <w:ind w:left="0"/>
            <w:rPr>
              <w:rFonts w:ascii="Arial" w:eastAsiaTheme="minorEastAsia" w:hAnsi="Arial" w:cs="Arial"/>
              <w:noProof/>
              <w:sz w:val="22"/>
              <w:szCs w:val="22"/>
              <w:lang w:eastAsia="en-GB"/>
            </w:rPr>
          </w:pPr>
          <w:r w:rsidRPr="00F052CB">
            <w:rPr>
              <w:rStyle w:val="Hyperlink"/>
              <w:rFonts w:ascii="Arial" w:hAnsi="Arial" w:cs="Arial"/>
              <w:noProof/>
              <w:sz w:val="22"/>
              <w:szCs w:val="22"/>
              <w:u w:val="none"/>
            </w:rPr>
            <w:t xml:space="preserve">    </w:t>
          </w:r>
          <w:hyperlink w:anchor="_Toc235640167" w:history="1">
            <w:r w:rsidRPr="00F052CB">
              <w:rPr>
                <w:rStyle w:val="Hyperlink"/>
                <w:rFonts w:ascii="Arial" w:hAnsi="Arial" w:cs="Arial"/>
                <w:noProof/>
                <w:sz w:val="22"/>
                <w:szCs w:val="22"/>
              </w:rPr>
              <w:t>Definition of Person</w:t>
            </w:r>
            <w:r w:rsidRPr="00F052CB">
              <w:rPr>
                <w:rStyle w:val="Hyperlink"/>
                <w:rFonts w:ascii="Arial" w:hAnsi="Arial" w:cs="Arial"/>
                <w:noProof/>
                <w:sz w:val="22"/>
                <w:szCs w:val="22"/>
              </w:rPr>
              <w:noBreakHyphen/>
              <w:t>Centred Care (PCC)</w:t>
            </w:r>
            <w:r w:rsidRPr="00F052CB">
              <w:rPr>
                <w:rFonts w:ascii="Arial" w:hAnsi="Arial" w:cs="Arial"/>
                <w:noProof/>
                <w:webHidden/>
                <w:sz w:val="22"/>
                <w:szCs w:val="22"/>
              </w:rPr>
              <w:tab/>
            </w:r>
            <w:r w:rsidRPr="00F052CB">
              <w:rPr>
                <w:rFonts w:ascii="Arial" w:hAnsi="Arial" w:cs="Arial"/>
                <w:noProof/>
                <w:webHidden/>
                <w:sz w:val="22"/>
                <w:szCs w:val="22"/>
              </w:rPr>
              <w:fldChar w:fldCharType="begin"/>
            </w:r>
            <w:r w:rsidRPr="00F052CB">
              <w:rPr>
                <w:rFonts w:ascii="Arial" w:hAnsi="Arial" w:cs="Arial"/>
                <w:noProof/>
                <w:webHidden/>
                <w:sz w:val="22"/>
                <w:szCs w:val="22"/>
              </w:rPr>
              <w:instrText xml:space="preserve"> PAGEREF _Toc235640167 \h </w:instrText>
            </w:r>
            <w:r w:rsidRPr="00F052CB">
              <w:rPr>
                <w:rFonts w:ascii="Arial" w:hAnsi="Arial" w:cs="Arial"/>
                <w:noProof/>
                <w:webHidden/>
                <w:sz w:val="22"/>
                <w:szCs w:val="22"/>
              </w:rPr>
            </w:r>
            <w:r w:rsidRPr="00F052CB">
              <w:rPr>
                <w:rFonts w:ascii="Arial" w:hAnsi="Arial" w:cs="Arial"/>
                <w:noProof/>
                <w:webHidden/>
                <w:sz w:val="22"/>
                <w:szCs w:val="22"/>
              </w:rPr>
              <w:fldChar w:fldCharType="separate"/>
            </w:r>
            <w:r>
              <w:rPr>
                <w:rFonts w:ascii="Arial" w:hAnsi="Arial" w:cs="Arial"/>
                <w:noProof/>
                <w:webHidden/>
                <w:sz w:val="22"/>
                <w:szCs w:val="22"/>
              </w:rPr>
              <w:t>3</w:t>
            </w:r>
            <w:r w:rsidRPr="00F052CB">
              <w:rPr>
                <w:rFonts w:ascii="Arial" w:hAnsi="Arial" w:cs="Arial"/>
                <w:noProof/>
                <w:webHidden/>
                <w:sz w:val="22"/>
                <w:szCs w:val="22"/>
              </w:rPr>
              <w:fldChar w:fldCharType="end"/>
            </w:r>
          </w:hyperlink>
        </w:p>
        <w:p w14:paraId="51C96A7D" w14:textId="3D6B8373" w:rsidR="00F052CB" w:rsidRPr="00F052CB" w:rsidRDefault="00F052CB" w:rsidP="00F052CB">
          <w:pPr>
            <w:pStyle w:val="TOC2"/>
            <w:tabs>
              <w:tab w:val="right" w:leader="dot" w:pos="9016"/>
            </w:tabs>
            <w:spacing w:line="360" w:lineRule="auto"/>
            <w:rPr>
              <w:rFonts w:ascii="Arial" w:eastAsiaTheme="minorEastAsia" w:hAnsi="Arial" w:cs="Arial"/>
              <w:noProof/>
              <w:sz w:val="22"/>
              <w:szCs w:val="22"/>
              <w:lang w:eastAsia="en-GB"/>
            </w:rPr>
          </w:pPr>
          <w:hyperlink w:anchor="_Toc235640168" w:history="1">
            <w:r w:rsidRPr="00F052CB">
              <w:rPr>
                <w:rStyle w:val="Hyperlink"/>
                <w:rFonts w:ascii="Arial" w:hAnsi="Arial" w:cs="Arial"/>
                <w:noProof/>
                <w:sz w:val="22"/>
                <w:szCs w:val="22"/>
              </w:rPr>
              <w:t>Maslow’s Hierarchy Theory of Needs</w:t>
            </w:r>
            <w:r w:rsidRPr="00F052CB">
              <w:rPr>
                <w:rFonts w:ascii="Arial" w:hAnsi="Arial" w:cs="Arial"/>
                <w:noProof/>
                <w:webHidden/>
                <w:sz w:val="22"/>
                <w:szCs w:val="22"/>
              </w:rPr>
              <w:tab/>
            </w:r>
            <w:r w:rsidRPr="00F052CB">
              <w:rPr>
                <w:rFonts w:ascii="Arial" w:hAnsi="Arial" w:cs="Arial"/>
                <w:noProof/>
                <w:webHidden/>
                <w:sz w:val="22"/>
                <w:szCs w:val="22"/>
              </w:rPr>
              <w:fldChar w:fldCharType="begin"/>
            </w:r>
            <w:r w:rsidRPr="00F052CB">
              <w:rPr>
                <w:rFonts w:ascii="Arial" w:hAnsi="Arial" w:cs="Arial"/>
                <w:noProof/>
                <w:webHidden/>
                <w:sz w:val="22"/>
                <w:szCs w:val="22"/>
              </w:rPr>
              <w:instrText xml:space="preserve"> PAGEREF _Toc235640168 \h </w:instrText>
            </w:r>
            <w:r w:rsidRPr="00F052CB">
              <w:rPr>
                <w:rFonts w:ascii="Arial" w:hAnsi="Arial" w:cs="Arial"/>
                <w:noProof/>
                <w:webHidden/>
                <w:sz w:val="22"/>
                <w:szCs w:val="22"/>
              </w:rPr>
            </w:r>
            <w:r w:rsidRPr="00F052CB">
              <w:rPr>
                <w:rFonts w:ascii="Arial" w:hAnsi="Arial" w:cs="Arial"/>
                <w:noProof/>
                <w:webHidden/>
                <w:sz w:val="22"/>
                <w:szCs w:val="22"/>
              </w:rPr>
              <w:fldChar w:fldCharType="separate"/>
            </w:r>
            <w:r>
              <w:rPr>
                <w:rFonts w:ascii="Arial" w:hAnsi="Arial" w:cs="Arial"/>
                <w:noProof/>
                <w:webHidden/>
                <w:sz w:val="22"/>
                <w:szCs w:val="22"/>
              </w:rPr>
              <w:t>4</w:t>
            </w:r>
            <w:r w:rsidRPr="00F052CB">
              <w:rPr>
                <w:rFonts w:ascii="Arial" w:hAnsi="Arial" w:cs="Arial"/>
                <w:noProof/>
                <w:webHidden/>
                <w:sz w:val="22"/>
                <w:szCs w:val="22"/>
              </w:rPr>
              <w:fldChar w:fldCharType="end"/>
            </w:r>
          </w:hyperlink>
        </w:p>
        <w:p w14:paraId="3707196C" w14:textId="430BD2AA" w:rsidR="00F052CB" w:rsidRPr="00F052CB" w:rsidRDefault="00F052CB" w:rsidP="00F052CB">
          <w:pPr>
            <w:pStyle w:val="TOC2"/>
            <w:tabs>
              <w:tab w:val="right" w:leader="dot" w:pos="9016"/>
            </w:tabs>
            <w:spacing w:line="360" w:lineRule="auto"/>
            <w:rPr>
              <w:rFonts w:ascii="Arial" w:eastAsiaTheme="minorEastAsia" w:hAnsi="Arial" w:cs="Arial"/>
              <w:noProof/>
              <w:sz w:val="22"/>
              <w:szCs w:val="22"/>
              <w:lang w:eastAsia="en-GB"/>
            </w:rPr>
          </w:pPr>
          <w:hyperlink w:anchor="_Toc235640169" w:history="1">
            <w:r w:rsidRPr="00F052CB">
              <w:rPr>
                <w:rStyle w:val="Hyperlink"/>
                <w:rFonts w:ascii="Arial" w:hAnsi="Arial" w:cs="Arial"/>
                <w:noProof/>
                <w:sz w:val="22"/>
                <w:szCs w:val="22"/>
              </w:rPr>
              <w:t>Ethical Fundamentals in PCC and Partnership Working</w:t>
            </w:r>
            <w:r w:rsidRPr="00F052CB">
              <w:rPr>
                <w:rFonts w:ascii="Arial" w:hAnsi="Arial" w:cs="Arial"/>
                <w:noProof/>
                <w:webHidden/>
                <w:sz w:val="22"/>
                <w:szCs w:val="22"/>
              </w:rPr>
              <w:tab/>
            </w:r>
            <w:r w:rsidRPr="00F052CB">
              <w:rPr>
                <w:rFonts w:ascii="Arial" w:hAnsi="Arial" w:cs="Arial"/>
                <w:noProof/>
                <w:webHidden/>
                <w:sz w:val="22"/>
                <w:szCs w:val="22"/>
              </w:rPr>
              <w:fldChar w:fldCharType="begin"/>
            </w:r>
            <w:r w:rsidRPr="00F052CB">
              <w:rPr>
                <w:rFonts w:ascii="Arial" w:hAnsi="Arial" w:cs="Arial"/>
                <w:noProof/>
                <w:webHidden/>
                <w:sz w:val="22"/>
                <w:szCs w:val="22"/>
              </w:rPr>
              <w:instrText xml:space="preserve"> PAGEREF _Toc235640169 \h </w:instrText>
            </w:r>
            <w:r w:rsidRPr="00F052CB">
              <w:rPr>
                <w:rFonts w:ascii="Arial" w:hAnsi="Arial" w:cs="Arial"/>
                <w:noProof/>
                <w:webHidden/>
                <w:sz w:val="22"/>
                <w:szCs w:val="22"/>
              </w:rPr>
            </w:r>
            <w:r w:rsidRPr="00F052CB">
              <w:rPr>
                <w:rFonts w:ascii="Arial" w:hAnsi="Arial" w:cs="Arial"/>
                <w:noProof/>
                <w:webHidden/>
                <w:sz w:val="22"/>
                <w:szCs w:val="22"/>
              </w:rPr>
              <w:fldChar w:fldCharType="separate"/>
            </w:r>
            <w:r>
              <w:rPr>
                <w:rFonts w:ascii="Arial" w:hAnsi="Arial" w:cs="Arial"/>
                <w:noProof/>
                <w:webHidden/>
                <w:sz w:val="22"/>
                <w:szCs w:val="22"/>
              </w:rPr>
              <w:t>5</w:t>
            </w:r>
            <w:r w:rsidRPr="00F052CB">
              <w:rPr>
                <w:rFonts w:ascii="Arial" w:hAnsi="Arial" w:cs="Arial"/>
                <w:noProof/>
                <w:webHidden/>
                <w:sz w:val="22"/>
                <w:szCs w:val="22"/>
              </w:rPr>
              <w:fldChar w:fldCharType="end"/>
            </w:r>
          </w:hyperlink>
        </w:p>
        <w:p w14:paraId="2667202C" w14:textId="34BC67DE" w:rsidR="00F052CB" w:rsidRPr="00F052CB" w:rsidRDefault="00F052CB" w:rsidP="00F052CB">
          <w:pPr>
            <w:pStyle w:val="TOC2"/>
            <w:tabs>
              <w:tab w:val="right" w:leader="dot" w:pos="9016"/>
            </w:tabs>
            <w:spacing w:line="360" w:lineRule="auto"/>
            <w:rPr>
              <w:rFonts w:ascii="Arial" w:eastAsiaTheme="minorEastAsia" w:hAnsi="Arial" w:cs="Arial"/>
              <w:noProof/>
              <w:sz w:val="22"/>
              <w:szCs w:val="22"/>
              <w:lang w:eastAsia="en-GB"/>
            </w:rPr>
          </w:pPr>
          <w:hyperlink w:anchor="_Toc235640170" w:history="1">
            <w:r w:rsidRPr="00F052CB">
              <w:rPr>
                <w:rStyle w:val="Hyperlink"/>
                <w:rFonts w:ascii="Arial" w:hAnsi="Arial" w:cs="Arial"/>
                <w:noProof/>
                <w:sz w:val="22"/>
                <w:szCs w:val="22"/>
              </w:rPr>
              <w:t>Evaluation of Partnership Working in GP Practice</w:t>
            </w:r>
            <w:r w:rsidRPr="00F052CB">
              <w:rPr>
                <w:rFonts w:ascii="Arial" w:hAnsi="Arial" w:cs="Arial"/>
                <w:noProof/>
                <w:webHidden/>
                <w:sz w:val="22"/>
                <w:szCs w:val="22"/>
              </w:rPr>
              <w:tab/>
            </w:r>
            <w:r w:rsidRPr="00F052CB">
              <w:rPr>
                <w:rFonts w:ascii="Arial" w:hAnsi="Arial" w:cs="Arial"/>
                <w:noProof/>
                <w:webHidden/>
                <w:sz w:val="22"/>
                <w:szCs w:val="22"/>
              </w:rPr>
              <w:fldChar w:fldCharType="begin"/>
            </w:r>
            <w:r w:rsidRPr="00F052CB">
              <w:rPr>
                <w:rFonts w:ascii="Arial" w:hAnsi="Arial" w:cs="Arial"/>
                <w:noProof/>
                <w:webHidden/>
                <w:sz w:val="22"/>
                <w:szCs w:val="22"/>
              </w:rPr>
              <w:instrText xml:space="preserve"> PAGEREF _Toc235640170 \h </w:instrText>
            </w:r>
            <w:r w:rsidRPr="00F052CB">
              <w:rPr>
                <w:rFonts w:ascii="Arial" w:hAnsi="Arial" w:cs="Arial"/>
                <w:noProof/>
                <w:webHidden/>
                <w:sz w:val="22"/>
                <w:szCs w:val="22"/>
              </w:rPr>
            </w:r>
            <w:r w:rsidRPr="00F052CB">
              <w:rPr>
                <w:rFonts w:ascii="Arial" w:hAnsi="Arial" w:cs="Arial"/>
                <w:noProof/>
                <w:webHidden/>
                <w:sz w:val="22"/>
                <w:szCs w:val="22"/>
              </w:rPr>
              <w:fldChar w:fldCharType="separate"/>
            </w:r>
            <w:r>
              <w:rPr>
                <w:rFonts w:ascii="Arial" w:hAnsi="Arial" w:cs="Arial"/>
                <w:noProof/>
                <w:webHidden/>
                <w:sz w:val="22"/>
                <w:szCs w:val="22"/>
              </w:rPr>
              <w:t>6</w:t>
            </w:r>
            <w:r w:rsidRPr="00F052CB">
              <w:rPr>
                <w:rFonts w:ascii="Arial" w:hAnsi="Arial" w:cs="Arial"/>
                <w:noProof/>
                <w:webHidden/>
                <w:sz w:val="22"/>
                <w:szCs w:val="22"/>
              </w:rPr>
              <w:fldChar w:fldCharType="end"/>
            </w:r>
          </w:hyperlink>
        </w:p>
        <w:p w14:paraId="5D4A0CF4" w14:textId="2A60C833" w:rsidR="00F052CB" w:rsidRPr="00F052CB" w:rsidRDefault="00F052CB" w:rsidP="00F052CB">
          <w:pPr>
            <w:pStyle w:val="TOC2"/>
            <w:tabs>
              <w:tab w:val="right" w:leader="dot" w:pos="9016"/>
            </w:tabs>
            <w:spacing w:line="360" w:lineRule="auto"/>
            <w:rPr>
              <w:rFonts w:ascii="Arial" w:eastAsiaTheme="minorEastAsia" w:hAnsi="Arial" w:cs="Arial"/>
              <w:noProof/>
              <w:sz w:val="22"/>
              <w:szCs w:val="22"/>
              <w:lang w:eastAsia="en-GB"/>
            </w:rPr>
          </w:pPr>
          <w:hyperlink w:anchor="_Toc235640171" w:history="1">
            <w:r w:rsidRPr="00F052CB">
              <w:rPr>
                <w:rStyle w:val="Hyperlink"/>
                <w:rFonts w:ascii="Arial" w:hAnsi="Arial" w:cs="Arial"/>
                <w:noProof/>
                <w:sz w:val="22"/>
                <w:szCs w:val="22"/>
              </w:rPr>
              <w:t>Policy and Legislation</w:t>
            </w:r>
            <w:r w:rsidRPr="00F052CB">
              <w:rPr>
                <w:rFonts w:ascii="Arial" w:hAnsi="Arial" w:cs="Arial"/>
                <w:noProof/>
                <w:webHidden/>
                <w:sz w:val="22"/>
                <w:szCs w:val="22"/>
              </w:rPr>
              <w:tab/>
            </w:r>
            <w:r w:rsidRPr="00F052CB">
              <w:rPr>
                <w:rFonts w:ascii="Arial" w:hAnsi="Arial" w:cs="Arial"/>
                <w:noProof/>
                <w:webHidden/>
                <w:sz w:val="22"/>
                <w:szCs w:val="22"/>
              </w:rPr>
              <w:fldChar w:fldCharType="begin"/>
            </w:r>
            <w:r w:rsidRPr="00F052CB">
              <w:rPr>
                <w:rFonts w:ascii="Arial" w:hAnsi="Arial" w:cs="Arial"/>
                <w:noProof/>
                <w:webHidden/>
                <w:sz w:val="22"/>
                <w:szCs w:val="22"/>
              </w:rPr>
              <w:instrText xml:space="preserve"> PAGEREF _Toc235640171 \h </w:instrText>
            </w:r>
            <w:r w:rsidRPr="00F052CB">
              <w:rPr>
                <w:rFonts w:ascii="Arial" w:hAnsi="Arial" w:cs="Arial"/>
                <w:noProof/>
                <w:webHidden/>
                <w:sz w:val="22"/>
                <w:szCs w:val="22"/>
              </w:rPr>
            </w:r>
            <w:r w:rsidRPr="00F052CB">
              <w:rPr>
                <w:rFonts w:ascii="Arial" w:hAnsi="Arial" w:cs="Arial"/>
                <w:noProof/>
                <w:webHidden/>
                <w:sz w:val="22"/>
                <w:szCs w:val="22"/>
              </w:rPr>
              <w:fldChar w:fldCharType="separate"/>
            </w:r>
            <w:r>
              <w:rPr>
                <w:rFonts w:ascii="Arial" w:hAnsi="Arial" w:cs="Arial"/>
                <w:noProof/>
                <w:webHidden/>
                <w:sz w:val="22"/>
                <w:szCs w:val="22"/>
              </w:rPr>
              <w:t>6</w:t>
            </w:r>
            <w:r w:rsidRPr="00F052CB">
              <w:rPr>
                <w:rFonts w:ascii="Arial" w:hAnsi="Arial" w:cs="Arial"/>
                <w:noProof/>
                <w:webHidden/>
                <w:sz w:val="22"/>
                <w:szCs w:val="22"/>
              </w:rPr>
              <w:fldChar w:fldCharType="end"/>
            </w:r>
          </w:hyperlink>
        </w:p>
        <w:p w14:paraId="7CDFC5BA" w14:textId="6A34005E" w:rsidR="00F052CB" w:rsidRPr="00F052CB" w:rsidRDefault="00F052CB" w:rsidP="00F052CB">
          <w:pPr>
            <w:pStyle w:val="TOC2"/>
            <w:tabs>
              <w:tab w:val="right" w:leader="dot" w:pos="9016"/>
            </w:tabs>
            <w:spacing w:line="360" w:lineRule="auto"/>
            <w:rPr>
              <w:rFonts w:ascii="Arial" w:eastAsiaTheme="minorEastAsia" w:hAnsi="Arial" w:cs="Arial"/>
              <w:noProof/>
              <w:sz w:val="22"/>
              <w:szCs w:val="22"/>
              <w:lang w:eastAsia="en-GB"/>
            </w:rPr>
          </w:pPr>
          <w:hyperlink w:anchor="_Toc235640172" w:history="1">
            <w:r w:rsidRPr="00F052CB">
              <w:rPr>
                <w:rStyle w:val="Hyperlink"/>
                <w:rFonts w:ascii="Arial" w:hAnsi="Arial" w:cs="Arial"/>
                <w:noProof/>
                <w:sz w:val="22"/>
                <w:szCs w:val="22"/>
              </w:rPr>
              <w:t>Recommendations for Future Development of PCC and Partnership Working</w:t>
            </w:r>
            <w:r w:rsidRPr="00F052CB">
              <w:rPr>
                <w:rFonts w:ascii="Arial" w:hAnsi="Arial" w:cs="Arial"/>
                <w:noProof/>
                <w:webHidden/>
                <w:sz w:val="22"/>
                <w:szCs w:val="22"/>
              </w:rPr>
              <w:tab/>
            </w:r>
            <w:r w:rsidRPr="00F052CB">
              <w:rPr>
                <w:rFonts w:ascii="Arial" w:hAnsi="Arial" w:cs="Arial"/>
                <w:noProof/>
                <w:webHidden/>
                <w:sz w:val="22"/>
                <w:szCs w:val="22"/>
              </w:rPr>
              <w:fldChar w:fldCharType="begin"/>
            </w:r>
            <w:r w:rsidRPr="00F052CB">
              <w:rPr>
                <w:rFonts w:ascii="Arial" w:hAnsi="Arial" w:cs="Arial"/>
                <w:noProof/>
                <w:webHidden/>
                <w:sz w:val="22"/>
                <w:szCs w:val="22"/>
              </w:rPr>
              <w:instrText xml:space="preserve"> PAGEREF _Toc235640172 \h </w:instrText>
            </w:r>
            <w:r w:rsidRPr="00F052CB">
              <w:rPr>
                <w:rFonts w:ascii="Arial" w:hAnsi="Arial" w:cs="Arial"/>
                <w:noProof/>
                <w:webHidden/>
                <w:sz w:val="22"/>
                <w:szCs w:val="22"/>
              </w:rPr>
            </w:r>
            <w:r w:rsidRPr="00F052CB">
              <w:rPr>
                <w:rFonts w:ascii="Arial" w:hAnsi="Arial" w:cs="Arial"/>
                <w:noProof/>
                <w:webHidden/>
                <w:sz w:val="22"/>
                <w:szCs w:val="22"/>
              </w:rPr>
              <w:fldChar w:fldCharType="separate"/>
            </w:r>
            <w:r>
              <w:rPr>
                <w:rFonts w:ascii="Arial" w:hAnsi="Arial" w:cs="Arial"/>
                <w:noProof/>
                <w:webHidden/>
                <w:sz w:val="22"/>
                <w:szCs w:val="22"/>
              </w:rPr>
              <w:t>7</w:t>
            </w:r>
            <w:r w:rsidRPr="00F052CB">
              <w:rPr>
                <w:rFonts w:ascii="Arial" w:hAnsi="Arial" w:cs="Arial"/>
                <w:noProof/>
                <w:webHidden/>
                <w:sz w:val="22"/>
                <w:szCs w:val="22"/>
              </w:rPr>
              <w:fldChar w:fldCharType="end"/>
            </w:r>
          </w:hyperlink>
        </w:p>
        <w:p w14:paraId="2FB16FA6" w14:textId="3C2F58BA" w:rsidR="00F052CB" w:rsidRPr="00F052CB" w:rsidRDefault="00F052CB" w:rsidP="00F052CB">
          <w:pPr>
            <w:pStyle w:val="TOC2"/>
            <w:tabs>
              <w:tab w:val="right" w:leader="dot" w:pos="9016"/>
            </w:tabs>
            <w:spacing w:line="360" w:lineRule="auto"/>
            <w:rPr>
              <w:rFonts w:ascii="Arial" w:eastAsiaTheme="minorEastAsia" w:hAnsi="Arial" w:cs="Arial"/>
              <w:noProof/>
              <w:sz w:val="22"/>
              <w:szCs w:val="22"/>
              <w:lang w:eastAsia="en-GB"/>
            </w:rPr>
          </w:pPr>
          <w:hyperlink w:anchor="_Toc235640173" w:history="1">
            <w:r w:rsidRPr="00F052CB">
              <w:rPr>
                <w:rStyle w:val="Hyperlink"/>
                <w:rFonts w:ascii="Arial" w:hAnsi="Arial" w:cs="Arial"/>
                <w:noProof/>
                <w:sz w:val="22"/>
                <w:szCs w:val="22"/>
              </w:rPr>
              <w:t>Conclusion</w:t>
            </w:r>
            <w:r w:rsidRPr="00F052CB">
              <w:rPr>
                <w:rFonts w:ascii="Arial" w:hAnsi="Arial" w:cs="Arial"/>
                <w:noProof/>
                <w:webHidden/>
                <w:sz w:val="22"/>
                <w:szCs w:val="22"/>
              </w:rPr>
              <w:tab/>
            </w:r>
            <w:r w:rsidRPr="00F052CB">
              <w:rPr>
                <w:rFonts w:ascii="Arial" w:hAnsi="Arial" w:cs="Arial"/>
                <w:noProof/>
                <w:webHidden/>
                <w:sz w:val="22"/>
                <w:szCs w:val="22"/>
              </w:rPr>
              <w:fldChar w:fldCharType="begin"/>
            </w:r>
            <w:r w:rsidRPr="00F052CB">
              <w:rPr>
                <w:rFonts w:ascii="Arial" w:hAnsi="Arial" w:cs="Arial"/>
                <w:noProof/>
                <w:webHidden/>
                <w:sz w:val="22"/>
                <w:szCs w:val="22"/>
              </w:rPr>
              <w:instrText xml:space="preserve"> PAGEREF _Toc235640173 \h </w:instrText>
            </w:r>
            <w:r w:rsidRPr="00F052CB">
              <w:rPr>
                <w:rFonts w:ascii="Arial" w:hAnsi="Arial" w:cs="Arial"/>
                <w:noProof/>
                <w:webHidden/>
                <w:sz w:val="22"/>
                <w:szCs w:val="22"/>
              </w:rPr>
            </w:r>
            <w:r w:rsidRPr="00F052CB">
              <w:rPr>
                <w:rFonts w:ascii="Arial" w:hAnsi="Arial" w:cs="Arial"/>
                <w:noProof/>
                <w:webHidden/>
                <w:sz w:val="22"/>
                <w:szCs w:val="22"/>
              </w:rPr>
              <w:fldChar w:fldCharType="separate"/>
            </w:r>
            <w:r>
              <w:rPr>
                <w:rFonts w:ascii="Arial" w:hAnsi="Arial" w:cs="Arial"/>
                <w:noProof/>
                <w:webHidden/>
                <w:sz w:val="22"/>
                <w:szCs w:val="22"/>
              </w:rPr>
              <w:t>8</w:t>
            </w:r>
            <w:r w:rsidRPr="00F052CB">
              <w:rPr>
                <w:rFonts w:ascii="Arial" w:hAnsi="Arial" w:cs="Arial"/>
                <w:noProof/>
                <w:webHidden/>
                <w:sz w:val="22"/>
                <w:szCs w:val="22"/>
              </w:rPr>
              <w:fldChar w:fldCharType="end"/>
            </w:r>
          </w:hyperlink>
        </w:p>
        <w:p w14:paraId="45150F8B" w14:textId="608D85CF" w:rsidR="00F052CB" w:rsidRPr="00F052CB" w:rsidRDefault="00F052CB" w:rsidP="00F052CB">
          <w:pPr>
            <w:pStyle w:val="TOC2"/>
            <w:tabs>
              <w:tab w:val="right" w:leader="dot" w:pos="9016"/>
            </w:tabs>
            <w:spacing w:line="360" w:lineRule="auto"/>
            <w:rPr>
              <w:rFonts w:ascii="Arial" w:eastAsiaTheme="minorEastAsia" w:hAnsi="Arial" w:cs="Arial"/>
              <w:noProof/>
              <w:sz w:val="22"/>
              <w:szCs w:val="22"/>
              <w:lang w:eastAsia="en-GB"/>
            </w:rPr>
          </w:pPr>
          <w:hyperlink w:anchor="_Toc235640174" w:history="1">
            <w:r w:rsidRPr="00F052CB">
              <w:rPr>
                <w:rStyle w:val="Hyperlink"/>
                <w:rFonts w:ascii="Arial" w:hAnsi="Arial" w:cs="Arial"/>
                <w:noProof/>
                <w:sz w:val="22"/>
                <w:szCs w:val="22"/>
              </w:rPr>
              <w:t>Reference List</w:t>
            </w:r>
            <w:r w:rsidRPr="00F052CB">
              <w:rPr>
                <w:rFonts w:ascii="Arial" w:hAnsi="Arial" w:cs="Arial"/>
                <w:noProof/>
                <w:webHidden/>
                <w:sz w:val="22"/>
                <w:szCs w:val="22"/>
              </w:rPr>
              <w:tab/>
            </w:r>
            <w:r w:rsidRPr="00F052CB">
              <w:rPr>
                <w:rFonts w:ascii="Arial" w:hAnsi="Arial" w:cs="Arial"/>
                <w:noProof/>
                <w:webHidden/>
                <w:sz w:val="22"/>
                <w:szCs w:val="22"/>
              </w:rPr>
              <w:fldChar w:fldCharType="begin"/>
            </w:r>
            <w:r w:rsidRPr="00F052CB">
              <w:rPr>
                <w:rFonts w:ascii="Arial" w:hAnsi="Arial" w:cs="Arial"/>
                <w:noProof/>
                <w:webHidden/>
                <w:sz w:val="22"/>
                <w:szCs w:val="22"/>
              </w:rPr>
              <w:instrText xml:space="preserve"> PAGEREF _Toc235640174 \h </w:instrText>
            </w:r>
            <w:r w:rsidRPr="00F052CB">
              <w:rPr>
                <w:rFonts w:ascii="Arial" w:hAnsi="Arial" w:cs="Arial"/>
                <w:noProof/>
                <w:webHidden/>
                <w:sz w:val="22"/>
                <w:szCs w:val="22"/>
              </w:rPr>
            </w:r>
            <w:r w:rsidRPr="00F052CB">
              <w:rPr>
                <w:rFonts w:ascii="Arial" w:hAnsi="Arial" w:cs="Arial"/>
                <w:noProof/>
                <w:webHidden/>
                <w:sz w:val="22"/>
                <w:szCs w:val="22"/>
              </w:rPr>
              <w:fldChar w:fldCharType="separate"/>
            </w:r>
            <w:r>
              <w:rPr>
                <w:rFonts w:ascii="Arial" w:hAnsi="Arial" w:cs="Arial"/>
                <w:noProof/>
                <w:webHidden/>
                <w:sz w:val="22"/>
                <w:szCs w:val="22"/>
              </w:rPr>
              <w:t>9</w:t>
            </w:r>
            <w:r w:rsidRPr="00F052CB">
              <w:rPr>
                <w:rFonts w:ascii="Arial" w:hAnsi="Arial" w:cs="Arial"/>
                <w:noProof/>
                <w:webHidden/>
                <w:sz w:val="22"/>
                <w:szCs w:val="22"/>
              </w:rPr>
              <w:fldChar w:fldCharType="end"/>
            </w:r>
          </w:hyperlink>
        </w:p>
        <w:p w14:paraId="0C4EE2C8" w14:textId="540211F9" w:rsidR="00D4493E" w:rsidRDefault="00D4493E" w:rsidP="00F052CB">
          <w:pPr>
            <w:spacing w:line="360" w:lineRule="auto"/>
          </w:pPr>
          <w:r w:rsidRPr="00F052CB">
            <w:rPr>
              <w:rFonts w:ascii="Arial" w:hAnsi="Arial" w:cs="Arial"/>
            </w:rPr>
            <w:fldChar w:fldCharType="end"/>
          </w:r>
        </w:p>
      </w:sdtContent>
    </w:sdt>
    <w:p w14:paraId="5E8484BE" w14:textId="77777777" w:rsidR="00D4493E" w:rsidRDefault="00D4493E" w:rsidP="00D4493E">
      <w:pPr>
        <w:spacing w:line="360" w:lineRule="auto"/>
        <w:jc w:val="both"/>
        <w:rPr>
          <w:rFonts w:ascii="Arial" w:eastAsia="Arial" w:hAnsi="Arial" w:cs="Arial"/>
          <w:b/>
          <w:bCs/>
          <w:sz w:val="32"/>
          <w:szCs w:val="32"/>
        </w:rPr>
      </w:pPr>
    </w:p>
    <w:p w14:paraId="332AAF1F" w14:textId="77777777" w:rsidR="00F052CB" w:rsidRDefault="00F052CB" w:rsidP="00D4493E">
      <w:pPr>
        <w:spacing w:line="360" w:lineRule="auto"/>
        <w:jc w:val="both"/>
        <w:rPr>
          <w:rFonts w:ascii="Arial" w:eastAsia="Arial" w:hAnsi="Arial" w:cs="Arial"/>
          <w:b/>
          <w:bCs/>
          <w:sz w:val="32"/>
          <w:szCs w:val="32"/>
        </w:rPr>
      </w:pPr>
    </w:p>
    <w:p w14:paraId="4A275F2D" w14:textId="77777777" w:rsidR="00F052CB" w:rsidRDefault="00F052CB" w:rsidP="00D4493E">
      <w:pPr>
        <w:spacing w:line="360" w:lineRule="auto"/>
        <w:jc w:val="both"/>
        <w:rPr>
          <w:rFonts w:ascii="Arial" w:eastAsia="Arial" w:hAnsi="Arial" w:cs="Arial"/>
          <w:b/>
          <w:bCs/>
          <w:sz w:val="32"/>
          <w:szCs w:val="32"/>
        </w:rPr>
      </w:pPr>
    </w:p>
    <w:p w14:paraId="06F99927" w14:textId="77777777" w:rsidR="00F052CB" w:rsidRDefault="00F052CB" w:rsidP="00D4493E">
      <w:pPr>
        <w:spacing w:line="360" w:lineRule="auto"/>
        <w:jc w:val="both"/>
        <w:rPr>
          <w:rFonts w:ascii="Arial" w:eastAsia="Arial" w:hAnsi="Arial" w:cs="Arial"/>
          <w:b/>
          <w:bCs/>
          <w:sz w:val="32"/>
          <w:szCs w:val="32"/>
        </w:rPr>
      </w:pPr>
    </w:p>
    <w:p w14:paraId="19EABAAD" w14:textId="77777777" w:rsidR="00F052CB" w:rsidRDefault="00F052CB" w:rsidP="00D4493E">
      <w:pPr>
        <w:spacing w:line="360" w:lineRule="auto"/>
        <w:jc w:val="both"/>
        <w:rPr>
          <w:rFonts w:ascii="Arial" w:eastAsia="Arial" w:hAnsi="Arial" w:cs="Arial"/>
          <w:b/>
          <w:bCs/>
          <w:sz w:val="32"/>
          <w:szCs w:val="32"/>
        </w:rPr>
      </w:pPr>
    </w:p>
    <w:p w14:paraId="1E03D163" w14:textId="77777777" w:rsidR="00F052CB" w:rsidRDefault="00F052CB" w:rsidP="00D4493E">
      <w:pPr>
        <w:spacing w:line="360" w:lineRule="auto"/>
        <w:jc w:val="both"/>
        <w:rPr>
          <w:rFonts w:ascii="Arial" w:eastAsia="Arial" w:hAnsi="Arial" w:cs="Arial"/>
          <w:b/>
          <w:bCs/>
          <w:sz w:val="32"/>
          <w:szCs w:val="32"/>
        </w:rPr>
      </w:pPr>
    </w:p>
    <w:p w14:paraId="5F3E9680" w14:textId="77777777" w:rsidR="00F052CB" w:rsidRDefault="00F052CB" w:rsidP="00D4493E">
      <w:pPr>
        <w:spacing w:line="360" w:lineRule="auto"/>
        <w:jc w:val="both"/>
        <w:rPr>
          <w:rFonts w:ascii="Arial" w:eastAsia="Arial" w:hAnsi="Arial" w:cs="Arial"/>
          <w:b/>
          <w:bCs/>
          <w:sz w:val="32"/>
          <w:szCs w:val="32"/>
        </w:rPr>
      </w:pPr>
    </w:p>
    <w:p w14:paraId="212442DF" w14:textId="77777777" w:rsidR="00F052CB" w:rsidRDefault="00F052CB" w:rsidP="00D4493E">
      <w:pPr>
        <w:spacing w:line="360" w:lineRule="auto"/>
        <w:jc w:val="both"/>
        <w:rPr>
          <w:rFonts w:ascii="Arial" w:eastAsia="Arial" w:hAnsi="Arial" w:cs="Arial"/>
          <w:b/>
          <w:bCs/>
          <w:sz w:val="32"/>
          <w:szCs w:val="32"/>
        </w:rPr>
      </w:pPr>
    </w:p>
    <w:p w14:paraId="5C04BF64" w14:textId="77777777" w:rsidR="00F052CB" w:rsidRDefault="00F052CB" w:rsidP="00D4493E">
      <w:pPr>
        <w:spacing w:line="360" w:lineRule="auto"/>
        <w:jc w:val="both"/>
        <w:rPr>
          <w:rFonts w:ascii="Arial" w:eastAsia="Arial" w:hAnsi="Arial" w:cs="Arial"/>
          <w:b/>
          <w:bCs/>
          <w:sz w:val="32"/>
          <w:szCs w:val="32"/>
        </w:rPr>
      </w:pPr>
    </w:p>
    <w:p w14:paraId="593226F6" w14:textId="77777777" w:rsidR="00F052CB" w:rsidRDefault="00F052CB" w:rsidP="00D4493E">
      <w:pPr>
        <w:spacing w:line="360" w:lineRule="auto"/>
        <w:jc w:val="both"/>
        <w:rPr>
          <w:rFonts w:ascii="Arial" w:eastAsia="Arial" w:hAnsi="Arial" w:cs="Arial"/>
          <w:b/>
          <w:bCs/>
          <w:sz w:val="32"/>
          <w:szCs w:val="32"/>
        </w:rPr>
      </w:pPr>
    </w:p>
    <w:p w14:paraId="28AB4B5B" w14:textId="59745242" w:rsidR="008D056E" w:rsidRPr="00D4493E" w:rsidRDefault="00440FF9" w:rsidP="00D4493E">
      <w:pPr>
        <w:pStyle w:val="Title"/>
        <w:spacing w:line="360" w:lineRule="auto"/>
        <w:jc w:val="center"/>
        <w:rPr>
          <w:rFonts w:ascii="Arial" w:hAnsi="Arial" w:cs="Arial"/>
          <w:b/>
          <w:bCs/>
          <w:sz w:val="28"/>
          <w:szCs w:val="28"/>
        </w:rPr>
      </w:pPr>
      <w:r w:rsidRPr="00D4493E">
        <w:rPr>
          <w:rFonts w:ascii="Arial" w:eastAsia="Arial" w:hAnsi="Arial" w:cs="Arial"/>
          <w:b/>
          <w:bCs/>
          <w:sz w:val="28"/>
          <w:szCs w:val="28"/>
        </w:rPr>
        <w:lastRenderedPageBreak/>
        <w:t>Person Centred Care and Partnership Working</w:t>
      </w:r>
    </w:p>
    <w:p w14:paraId="00C18B33" w14:textId="3464983C" w:rsidR="0036007D" w:rsidRPr="00D4493E" w:rsidRDefault="00440FF9" w:rsidP="00D4493E">
      <w:pPr>
        <w:pStyle w:val="Heading2"/>
        <w:spacing w:line="360" w:lineRule="auto"/>
        <w:jc w:val="both"/>
        <w:rPr>
          <w:rFonts w:ascii="Arial" w:hAnsi="Arial" w:cs="Arial"/>
          <w:b/>
          <w:bCs/>
          <w:sz w:val="24"/>
          <w:szCs w:val="24"/>
        </w:rPr>
      </w:pPr>
      <w:r w:rsidRPr="00A612DE">
        <w:rPr>
          <w:rFonts w:eastAsia="Arial"/>
          <w:b/>
          <w:bCs/>
        </w:rPr>
        <w:br/>
      </w:r>
      <w:bookmarkStart w:id="0" w:name="_Toc235640165"/>
      <w:r w:rsidR="00A47E91" w:rsidRPr="00D4493E">
        <w:rPr>
          <w:rFonts w:ascii="Arial" w:hAnsi="Arial" w:cs="Arial"/>
          <w:b/>
          <w:bCs/>
          <w:color w:val="auto"/>
          <w:sz w:val="24"/>
          <w:szCs w:val="24"/>
        </w:rPr>
        <w:t>S</w:t>
      </w:r>
      <w:r w:rsidR="00A47E91" w:rsidRPr="00D4493E">
        <w:rPr>
          <w:rFonts w:ascii="Arial" w:hAnsi="Arial" w:cs="Arial"/>
          <w:b/>
          <w:bCs/>
          <w:color w:val="auto"/>
          <w:sz w:val="24"/>
          <w:szCs w:val="24"/>
        </w:rPr>
        <w:t>ummary</w:t>
      </w:r>
      <w:bookmarkEnd w:id="0"/>
    </w:p>
    <w:p w14:paraId="4BF7840E" w14:textId="1A5394C6" w:rsidR="00A47E91" w:rsidRPr="00A47E91" w:rsidRDefault="00AF75FE" w:rsidP="00D4493E">
      <w:pPr>
        <w:spacing w:line="360" w:lineRule="auto"/>
        <w:jc w:val="both"/>
        <w:rPr>
          <w:rFonts w:ascii="Arial" w:hAnsi="Arial" w:cs="Arial"/>
          <w:sz w:val="22"/>
          <w:szCs w:val="22"/>
        </w:rPr>
      </w:pPr>
      <w:r w:rsidRPr="00A47E91">
        <w:rPr>
          <w:rFonts w:ascii="Arial" w:hAnsi="Arial" w:cs="Arial"/>
          <w:sz w:val="22"/>
          <w:szCs w:val="22"/>
        </w:rPr>
        <w:t>Person-centred</w:t>
      </w:r>
      <w:r w:rsidR="00A47E91" w:rsidRPr="00A47E91">
        <w:rPr>
          <w:rFonts w:ascii="Arial" w:hAnsi="Arial" w:cs="Arial"/>
          <w:sz w:val="22"/>
          <w:szCs w:val="22"/>
        </w:rPr>
        <w:t xml:space="preserve"> care (PCC) and partnership working (PW) are essential components of high</w:t>
      </w:r>
      <w:r w:rsidR="00A47E91" w:rsidRPr="00A47E91">
        <w:rPr>
          <w:rFonts w:ascii="Arial" w:hAnsi="Arial" w:cs="Arial"/>
          <w:sz w:val="22"/>
          <w:szCs w:val="22"/>
        </w:rPr>
        <w:noBreakHyphen/>
        <w:t>quality health and social care in the United Kingdom. This report evaluates how these approaches operate within a GP practice, where personalised consultations, shared decision making, and coordinated multidisciplinary support contribute to improved patient outcomes. PCC emphasises autonomy, individual preferences, and holistic assessment, while PW ensures collaboration between GPs, nurses, pharmacists, social workers, and community teams. Maslow’s Hierarchy of Needs is used to demonstrate how holistic understanding supports personalised care, and ethical principles such as autonomy, beneficence, non</w:t>
      </w:r>
      <w:r w:rsidR="00A47E91" w:rsidRPr="00A47E91">
        <w:rPr>
          <w:rFonts w:ascii="Arial" w:hAnsi="Arial" w:cs="Arial"/>
          <w:sz w:val="22"/>
          <w:szCs w:val="22"/>
        </w:rPr>
        <w:noBreakHyphen/>
        <w:t>maleficence, and justice guide safe and accountable practice. Key legislation, including the Care Act 2014, Health and Care Act 2022, Equality Act 2010, and Human Rights Act 1998, is examined to show how policy shapes PCC and PW. Recommendations focus on digital integration, interprofessional training, and clearer care pathways to strengthen coordinated, person</w:t>
      </w:r>
      <w:r w:rsidR="00A47E91" w:rsidRPr="00A47E91">
        <w:rPr>
          <w:rFonts w:ascii="Arial" w:hAnsi="Arial" w:cs="Arial"/>
          <w:sz w:val="22"/>
          <w:szCs w:val="22"/>
        </w:rPr>
        <w:noBreakHyphen/>
        <w:t>centred primary care.</w:t>
      </w:r>
    </w:p>
    <w:p w14:paraId="76285CD9" w14:textId="6F3C31C1" w:rsidR="0036007D" w:rsidRPr="00D4493E" w:rsidRDefault="0036007D" w:rsidP="00D4493E">
      <w:pPr>
        <w:pStyle w:val="Heading2"/>
        <w:rPr>
          <w:rFonts w:ascii="Arial" w:hAnsi="Arial" w:cs="Arial"/>
          <w:b/>
          <w:bCs/>
          <w:color w:val="auto"/>
          <w:sz w:val="24"/>
          <w:szCs w:val="24"/>
        </w:rPr>
      </w:pPr>
      <w:bookmarkStart w:id="1" w:name="_Toc235640166"/>
      <w:r w:rsidRPr="00D4493E">
        <w:rPr>
          <w:rFonts w:ascii="Arial" w:hAnsi="Arial" w:cs="Arial"/>
          <w:b/>
          <w:bCs/>
          <w:color w:val="auto"/>
          <w:sz w:val="24"/>
          <w:szCs w:val="24"/>
        </w:rPr>
        <w:t>Introduction</w:t>
      </w:r>
      <w:bookmarkEnd w:id="1"/>
      <w:r w:rsidRPr="00D4493E">
        <w:rPr>
          <w:rFonts w:ascii="Arial" w:hAnsi="Arial" w:cs="Arial"/>
          <w:b/>
          <w:bCs/>
          <w:color w:val="auto"/>
          <w:sz w:val="24"/>
          <w:szCs w:val="24"/>
        </w:rPr>
        <w:t xml:space="preserve"> </w:t>
      </w:r>
    </w:p>
    <w:p w14:paraId="141322AA" w14:textId="77777777" w:rsidR="00A47E91" w:rsidRDefault="00A47E91" w:rsidP="00D4493E">
      <w:pPr>
        <w:spacing w:line="360" w:lineRule="auto"/>
        <w:jc w:val="both"/>
        <w:rPr>
          <w:rFonts w:ascii="Arial" w:hAnsi="Arial" w:cs="Arial"/>
          <w:sz w:val="22"/>
          <w:szCs w:val="22"/>
        </w:rPr>
      </w:pPr>
      <w:r w:rsidRPr="00A47E91">
        <w:rPr>
          <w:rFonts w:ascii="Arial" w:hAnsi="Arial" w:cs="Arial"/>
          <w:sz w:val="22"/>
          <w:szCs w:val="22"/>
        </w:rPr>
        <w:t>The purpose of this report is to critically evaluate how person</w:t>
      </w:r>
      <w:r w:rsidRPr="00A47E91">
        <w:rPr>
          <w:rFonts w:ascii="Arial" w:hAnsi="Arial" w:cs="Arial"/>
          <w:sz w:val="22"/>
          <w:szCs w:val="22"/>
        </w:rPr>
        <w:noBreakHyphen/>
        <w:t>centred care (PCC) and partnership working (PW) are implemented within a General Practice (GP) setting in the United Kingdom. The report examines PCC by defining the concept and analysing its benefits and limitations in primary care. It then explores Maslow’s Hierarchy of Needs to demonstrate how holistic assessment supports personalised care. Ethical principles, including autonomy, beneficence, non</w:t>
      </w:r>
      <w:r w:rsidRPr="00A47E91">
        <w:rPr>
          <w:rFonts w:ascii="Arial" w:hAnsi="Arial" w:cs="Arial"/>
          <w:sz w:val="22"/>
          <w:szCs w:val="22"/>
        </w:rPr>
        <w:noBreakHyphen/>
        <w:t>maleficence, and justice, are analysed to show how they guide clinical decision making. The evaluation of PW considers multidisciplinary collaboration and the role of Integrated Care Systems in supporting coordinated care. Finally, the report presents evidence</w:t>
      </w:r>
      <w:r w:rsidRPr="00A47E91">
        <w:rPr>
          <w:rFonts w:ascii="Arial" w:hAnsi="Arial" w:cs="Arial"/>
          <w:sz w:val="22"/>
          <w:szCs w:val="22"/>
        </w:rPr>
        <w:noBreakHyphen/>
        <w:t>based recommendations and discusses potential barriers to strengthening PCC and PW within GP practice.</w:t>
      </w:r>
    </w:p>
    <w:p w14:paraId="77936BBF" w14:textId="188727EB" w:rsidR="0036007D" w:rsidRPr="00D4493E" w:rsidRDefault="0036007D" w:rsidP="00D4493E">
      <w:pPr>
        <w:pStyle w:val="Heading3"/>
        <w:rPr>
          <w:rFonts w:ascii="Arial" w:hAnsi="Arial" w:cs="Arial"/>
          <w:b/>
          <w:bCs/>
          <w:color w:val="auto"/>
          <w:sz w:val="24"/>
          <w:szCs w:val="24"/>
        </w:rPr>
      </w:pPr>
      <w:bookmarkStart w:id="2" w:name="_Toc235640167"/>
      <w:r w:rsidRPr="00D4493E">
        <w:rPr>
          <w:rFonts w:ascii="Arial" w:hAnsi="Arial" w:cs="Arial"/>
          <w:b/>
          <w:bCs/>
          <w:color w:val="auto"/>
          <w:sz w:val="24"/>
          <w:szCs w:val="24"/>
        </w:rPr>
        <w:t>Definition of Person</w:t>
      </w:r>
      <w:r w:rsidRPr="00D4493E">
        <w:rPr>
          <w:rFonts w:ascii="Arial" w:hAnsi="Arial" w:cs="Arial"/>
          <w:b/>
          <w:bCs/>
          <w:color w:val="auto"/>
          <w:sz w:val="24"/>
          <w:szCs w:val="24"/>
        </w:rPr>
        <w:noBreakHyphen/>
        <w:t>Centred Care (PCC)</w:t>
      </w:r>
      <w:bookmarkEnd w:id="2"/>
      <w:r w:rsidR="008D056E" w:rsidRPr="00D4493E">
        <w:rPr>
          <w:rFonts w:ascii="Arial" w:hAnsi="Arial" w:cs="Arial"/>
          <w:b/>
          <w:bCs/>
          <w:color w:val="auto"/>
          <w:sz w:val="24"/>
          <w:szCs w:val="24"/>
        </w:rPr>
        <w:t xml:space="preserve"> </w:t>
      </w:r>
    </w:p>
    <w:p w14:paraId="2E3E8F9E" w14:textId="50075326" w:rsidR="00751C99" w:rsidRPr="00A612DE" w:rsidRDefault="00A47E91" w:rsidP="00D4493E">
      <w:pPr>
        <w:spacing w:line="360" w:lineRule="auto"/>
        <w:jc w:val="both"/>
        <w:rPr>
          <w:rFonts w:ascii="Arial" w:hAnsi="Arial" w:cs="Arial"/>
          <w:sz w:val="22"/>
          <w:szCs w:val="22"/>
        </w:rPr>
      </w:pPr>
      <w:r w:rsidRPr="00A612DE">
        <w:rPr>
          <w:rFonts w:ascii="Arial" w:hAnsi="Arial" w:cs="Arial"/>
          <w:sz w:val="22"/>
          <w:szCs w:val="22"/>
        </w:rPr>
        <w:t>Person-centred</w:t>
      </w:r>
      <w:r w:rsidR="00751C99" w:rsidRPr="00A612DE">
        <w:rPr>
          <w:rFonts w:ascii="Arial" w:hAnsi="Arial" w:cs="Arial"/>
          <w:sz w:val="22"/>
          <w:szCs w:val="22"/>
        </w:rPr>
        <w:t xml:space="preserve"> care (PCC) prioritises an individual’s values, preferences, and lived experiences when planning and delivering care. Glasby (2026) describes PCC as positioning people as active partners rather than passive recipients, emphasising autonomy, dignity, and personalised decision making. NICE (2021) identifies shared decision making as a core element of PCC in primary care, while WHO (2023) highlights the importance of recognising the whole person rather than focusing on isolated symptoms. In GP practice, PCC requires </w:t>
      </w:r>
      <w:r w:rsidR="00751C99" w:rsidRPr="00A612DE">
        <w:rPr>
          <w:rFonts w:ascii="Arial" w:hAnsi="Arial" w:cs="Arial"/>
          <w:sz w:val="22"/>
          <w:szCs w:val="22"/>
        </w:rPr>
        <w:lastRenderedPageBreak/>
        <w:t xml:space="preserve">clinicians to tailor consultations, treatment plans, and </w:t>
      </w:r>
      <w:r w:rsidRPr="00A612DE">
        <w:rPr>
          <w:rFonts w:ascii="Arial" w:hAnsi="Arial" w:cs="Arial"/>
          <w:sz w:val="22"/>
          <w:szCs w:val="22"/>
        </w:rPr>
        <w:t>follow-up</w:t>
      </w:r>
      <w:r w:rsidR="00751C99" w:rsidRPr="00A612DE">
        <w:rPr>
          <w:rFonts w:ascii="Arial" w:hAnsi="Arial" w:cs="Arial"/>
          <w:sz w:val="22"/>
          <w:szCs w:val="22"/>
        </w:rPr>
        <w:t xml:space="preserve"> care to each patient’s circumstances, ensuring medical, social, and emotional needs are considered together.</w:t>
      </w:r>
    </w:p>
    <w:p w14:paraId="311873F2" w14:textId="6A67AF4B" w:rsidR="00751C99" w:rsidRPr="00A612DE" w:rsidRDefault="00751C99" w:rsidP="00D4493E">
      <w:pPr>
        <w:spacing w:line="360" w:lineRule="auto"/>
        <w:jc w:val="both"/>
        <w:rPr>
          <w:rFonts w:ascii="Arial" w:hAnsi="Arial" w:cs="Arial"/>
          <w:sz w:val="22"/>
          <w:szCs w:val="22"/>
        </w:rPr>
      </w:pPr>
      <w:r w:rsidRPr="00A612DE">
        <w:rPr>
          <w:rFonts w:ascii="Arial" w:hAnsi="Arial" w:cs="Arial"/>
          <w:sz w:val="22"/>
          <w:szCs w:val="22"/>
        </w:rPr>
        <w:t xml:space="preserve">PCC offers several benefits within primary care. Personalised consultations improve satisfaction, strengthen trust, and support adherence to treatment (Barnard, 2023). PCC also promotes continuity of care, enabling </w:t>
      </w:r>
      <w:r w:rsidR="00A47E91" w:rsidRPr="00A612DE">
        <w:rPr>
          <w:rFonts w:ascii="Arial" w:hAnsi="Arial" w:cs="Arial"/>
          <w:sz w:val="22"/>
          <w:szCs w:val="22"/>
        </w:rPr>
        <w:t>long-term</w:t>
      </w:r>
      <w:r w:rsidRPr="00A612DE">
        <w:rPr>
          <w:rFonts w:ascii="Arial" w:hAnsi="Arial" w:cs="Arial"/>
          <w:sz w:val="22"/>
          <w:szCs w:val="22"/>
        </w:rPr>
        <w:t xml:space="preserve"> relationships between patients and their GP, which is valuable for individuals with chronic conditions. Shared decision making encourages patients to take an active role in managing their wellbeing, contributing to improved outcomes. Digital tools such as electronic health records enhance PCC by improving communication and access to information across multidisciplinary teams (BMC Medical Informatics, 2022).</w:t>
      </w:r>
    </w:p>
    <w:p w14:paraId="1224DE33" w14:textId="3E875683" w:rsidR="00751C99" w:rsidRPr="00A612DE" w:rsidRDefault="00751C99" w:rsidP="00D4493E">
      <w:pPr>
        <w:spacing w:line="360" w:lineRule="auto"/>
        <w:jc w:val="both"/>
        <w:rPr>
          <w:rFonts w:ascii="Arial" w:hAnsi="Arial" w:cs="Arial"/>
          <w:sz w:val="22"/>
          <w:szCs w:val="22"/>
        </w:rPr>
      </w:pPr>
      <w:r w:rsidRPr="00A612DE">
        <w:rPr>
          <w:rFonts w:ascii="Arial" w:hAnsi="Arial" w:cs="Arial"/>
          <w:sz w:val="22"/>
          <w:szCs w:val="22"/>
        </w:rPr>
        <w:t xml:space="preserve">However, PCC presents limitations. Time pressures in busy GP practices can restrict opportunities for </w:t>
      </w:r>
      <w:r w:rsidR="00A47E91" w:rsidRPr="00A612DE">
        <w:rPr>
          <w:rFonts w:ascii="Arial" w:hAnsi="Arial" w:cs="Arial"/>
          <w:sz w:val="22"/>
          <w:szCs w:val="22"/>
        </w:rPr>
        <w:t>in-depth</w:t>
      </w:r>
      <w:r w:rsidRPr="00A612DE">
        <w:rPr>
          <w:rFonts w:ascii="Arial" w:hAnsi="Arial" w:cs="Arial"/>
          <w:sz w:val="22"/>
          <w:szCs w:val="22"/>
        </w:rPr>
        <w:t xml:space="preserve"> conversations, while workforce shortages and high demand may reduce capacity to deliver personalised care. Resistance to change, limited digital literacy, and organisational constraints can hinder implementation (Bhattacharyya et al., 2022). Clinicians may also face challenges when balancing personal preferences with clinical guidelines, safeguarding responsibilities, and resource limitations.</w:t>
      </w:r>
    </w:p>
    <w:p w14:paraId="2B6D0D1A" w14:textId="77777777" w:rsidR="00751C99" w:rsidRPr="00A612DE" w:rsidRDefault="00751C99" w:rsidP="00D4493E">
      <w:pPr>
        <w:spacing w:line="360" w:lineRule="auto"/>
        <w:jc w:val="both"/>
        <w:rPr>
          <w:rFonts w:ascii="Arial" w:hAnsi="Arial" w:cs="Arial"/>
          <w:sz w:val="22"/>
          <w:szCs w:val="22"/>
        </w:rPr>
      </w:pPr>
      <w:r w:rsidRPr="00A612DE">
        <w:rPr>
          <w:rFonts w:ascii="Arial" w:hAnsi="Arial" w:cs="Arial"/>
          <w:sz w:val="22"/>
          <w:szCs w:val="22"/>
        </w:rPr>
        <w:t>Overall, PCC is essential for safe and effective care in GP practice, supported by adequate staffing, strong communication systems, and effective partnership working.</w:t>
      </w:r>
    </w:p>
    <w:p w14:paraId="6F8895FD" w14:textId="65EF0A10" w:rsidR="0099077D" w:rsidRPr="0099077D" w:rsidRDefault="0036007D" w:rsidP="0099077D">
      <w:pPr>
        <w:pStyle w:val="Heading2"/>
        <w:rPr>
          <w:rFonts w:ascii="Arial" w:hAnsi="Arial" w:cs="Arial"/>
          <w:b/>
          <w:bCs/>
          <w:color w:val="auto"/>
          <w:sz w:val="24"/>
          <w:szCs w:val="24"/>
        </w:rPr>
      </w:pPr>
      <w:bookmarkStart w:id="3" w:name="_Toc235640168"/>
      <w:r w:rsidRPr="00D4493E">
        <w:rPr>
          <w:rFonts w:ascii="Arial" w:hAnsi="Arial" w:cs="Arial"/>
          <w:b/>
          <w:bCs/>
          <w:color w:val="auto"/>
          <w:sz w:val="24"/>
          <w:szCs w:val="24"/>
        </w:rPr>
        <w:t>Maslow’s Hierarchy</w:t>
      </w:r>
      <w:r w:rsidR="007F1D20" w:rsidRPr="00D4493E">
        <w:rPr>
          <w:rFonts w:ascii="Arial" w:hAnsi="Arial" w:cs="Arial"/>
          <w:b/>
          <w:bCs/>
          <w:color w:val="auto"/>
          <w:sz w:val="24"/>
          <w:szCs w:val="24"/>
        </w:rPr>
        <w:t xml:space="preserve"> Theory</w:t>
      </w:r>
      <w:r w:rsidRPr="00D4493E">
        <w:rPr>
          <w:rFonts w:ascii="Arial" w:hAnsi="Arial" w:cs="Arial"/>
          <w:b/>
          <w:bCs/>
          <w:color w:val="auto"/>
          <w:sz w:val="24"/>
          <w:szCs w:val="24"/>
        </w:rPr>
        <w:t xml:space="preserve"> of Needs</w:t>
      </w:r>
      <w:bookmarkEnd w:id="3"/>
      <w:r w:rsidRPr="00D4493E">
        <w:rPr>
          <w:rFonts w:ascii="Arial" w:hAnsi="Arial" w:cs="Arial"/>
          <w:b/>
          <w:bCs/>
          <w:color w:val="auto"/>
          <w:sz w:val="24"/>
          <w:szCs w:val="24"/>
        </w:rPr>
        <w:t xml:space="preserve"> </w:t>
      </w:r>
      <w:r w:rsidR="0057537D" w:rsidRPr="00D4493E">
        <w:rPr>
          <w:rFonts w:ascii="Arial" w:hAnsi="Arial" w:cs="Arial"/>
          <w:b/>
          <w:bCs/>
          <w:color w:val="auto"/>
          <w:sz w:val="24"/>
          <w:szCs w:val="24"/>
        </w:rPr>
        <w:t xml:space="preserve"> </w:t>
      </w:r>
    </w:p>
    <w:p w14:paraId="4D16181F" w14:textId="48DE7087" w:rsidR="007F1D20" w:rsidRPr="00A612DE" w:rsidRDefault="007F1D20" w:rsidP="00D4493E">
      <w:pPr>
        <w:spacing w:line="360" w:lineRule="auto"/>
        <w:jc w:val="both"/>
        <w:rPr>
          <w:rFonts w:ascii="Arial" w:hAnsi="Arial" w:cs="Arial"/>
          <w:sz w:val="22"/>
          <w:szCs w:val="22"/>
        </w:rPr>
      </w:pPr>
      <w:r w:rsidRPr="00A612DE">
        <w:rPr>
          <w:rFonts w:ascii="Arial" w:hAnsi="Arial" w:cs="Arial"/>
          <w:sz w:val="22"/>
          <w:szCs w:val="22"/>
        </w:rPr>
        <w:t>Maslow’s Hierarchy of Needs (1943) explains human motivation through five levels: physiological, safety, love and belonging, esteem, and self</w:t>
      </w:r>
      <w:r w:rsidRPr="00A612DE">
        <w:rPr>
          <w:rFonts w:ascii="Arial" w:hAnsi="Arial" w:cs="Arial"/>
          <w:sz w:val="22"/>
          <w:szCs w:val="22"/>
        </w:rPr>
        <w:noBreakHyphen/>
        <w:t xml:space="preserve">actualisation. It is relevant to </w:t>
      </w:r>
      <w:r w:rsidR="00AF75FE" w:rsidRPr="00A612DE">
        <w:rPr>
          <w:rFonts w:ascii="Arial" w:hAnsi="Arial" w:cs="Arial"/>
          <w:sz w:val="22"/>
          <w:szCs w:val="22"/>
        </w:rPr>
        <w:t>person-centred</w:t>
      </w:r>
      <w:r w:rsidRPr="00A612DE">
        <w:rPr>
          <w:rFonts w:ascii="Arial" w:hAnsi="Arial" w:cs="Arial"/>
          <w:sz w:val="22"/>
          <w:szCs w:val="22"/>
        </w:rPr>
        <w:t xml:space="preserve"> care (PCC) because it shows that individuals have layered needs that must be understood holistically. WHO (2023) supports this by stating that PCC requires attention to physical, emotional, social, and psychological wellbeing. In GP practice, the model helps clinicians recognise that patients’ health behaviours and decision making are shaped not only by clinical symptoms but also by wider personal circumstances.</w:t>
      </w:r>
    </w:p>
    <w:p w14:paraId="63A84E67" w14:textId="77777777" w:rsidR="007F1D20" w:rsidRPr="00A612DE" w:rsidRDefault="007F1D20" w:rsidP="00D4493E">
      <w:pPr>
        <w:spacing w:line="360" w:lineRule="auto"/>
        <w:jc w:val="both"/>
        <w:rPr>
          <w:rFonts w:ascii="Arial" w:hAnsi="Arial" w:cs="Arial"/>
          <w:sz w:val="22"/>
          <w:szCs w:val="22"/>
        </w:rPr>
      </w:pPr>
      <w:r w:rsidRPr="00A612DE">
        <w:rPr>
          <w:rFonts w:ascii="Arial" w:hAnsi="Arial" w:cs="Arial"/>
          <w:sz w:val="22"/>
          <w:szCs w:val="22"/>
        </w:rPr>
        <w:t>Maslow’s theory strengthens PCC by encouraging practitioners to identify needs beyond physical health. Physiological needs relate to managing pain, chronic illness, or medication adherence. Safety needs involve safeguarding, stable housing, and protection from harm. Love and belonging needs highlight supportive relationships, which GPs consider when assessing mental health, loneliness, or social isolation. Esteem needs relate to confidence and self</w:t>
      </w:r>
      <w:r w:rsidRPr="00A612DE">
        <w:rPr>
          <w:rFonts w:ascii="Arial" w:hAnsi="Arial" w:cs="Arial"/>
          <w:sz w:val="22"/>
          <w:szCs w:val="22"/>
        </w:rPr>
        <w:noBreakHyphen/>
        <w:t>management, supported through shared decision making and respectful communication. Self</w:t>
      </w:r>
      <w:r w:rsidRPr="00A612DE">
        <w:rPr>
          <w:rFonts w:ascii="Arial" w:hAnsi="Arial" w:cs="Arial"/>
          <w:sz w:val="22"/>
          <w:szCs w:val="22"/>
        </w:rPr>
        <w:noBreakHyphen/>
        <w:t>actualisation reflects a patient’s ability to achieve personal goals, such as lifestyle changes or long</w:t>
      </w:r>
      <w:r w:rsidRPr="00A612DE">
        <w:rPr>
          <w:rFonts w:ascii="Arial" w:hAnsi="Arial" w:cs="Arial"/>
          <w:sz w:val="22"/>
          <w:szCs w:val="22"/>
        </w:rPr>
        <w:noBreakHyphen/>
        <w:t>term wellbeing (Barnard, 2023). These levels demonstrate how PCC requires clinicians to consider the whole person rather than focusing solely on symptoms.</w:t>
      </w:r>
    </w:p>
    <w:p w14:paraId="4AD4A9E5" w14:textId="77777777" w:rsidR="007F1D20" w:rsidRPr="00A612DE" w:rsidRDefault="007F1D20" w:rsidP="00D4493E">
      <w:pPr>
        <w:spacing w:line="360" w:lineRule="auto"/>
        <w:jc w:val="both"/>
        <w:rPr>
          <w:rFonts w:ascii="Arial" w:hAnsi="Arial" w:cs="Arial"/>
          <w:sz w:val="22"/>
          <w:szCs w:val="22"/>
        </w:rPr>
      </w:pPr>
      <w:r w:rsidRPr="00A612DE">
        <w:rPr>
          <w:rFonts w:ascii="Arial" w:hAnsi="Arial" w:cs="Arial"/>
          <w:sz w:val="22"/>
          <w:szCs w:val="22"/>
        </w:rPr>
        <w:lastRenderedPageBreak/>
        <w:t>Applying Maslow’s theory also exposes limitations. The hierarchy assumes a linear progression, yet patients often experience overlapping or fluctuating needs. Individuals with long</w:t>
      </w:r>
      <w:r w:rsidRPr="00A612DE">
        <w:rPr>
          <w:rFonts w:ascii="Arial" w:hAnsi="Arial" w:cs="Arial"/>
          <w:sz w:val="22"/>
          <w:szCs w:val="22"/>
        </w:rPr>
        <w:noBreakHyphen/>
        <w:t>term conditions may prioritise emotional support even when physical symptoms persist. Glasby (2026) argues that rigid models can oversimplify complex situations, particularly in diverse communities where cultural and socioeconomic factors shape priorities differently. Time pressures and resource constraints may also limit opportunities to explore deeper psychological or social needs.</w:t>
      </w:r>
    </w:p>
    <w:p w14:paraId="6E99BB33" w14:textId="64CD599C" w:rsidR="005E38CB" w:rsidRPr="00A612DE" w:rsidRDefault="007F1D20" w:rsidP="00D4493E">
      <w:pPr>
        <w:spacing w:line="360" w:lineRule="auto"/>
        <w:jc w:val="both"/>
        <w:rPr>
          <w:rFonts w:ascii="Arial" w:hAnsi="Arial" w:cs="Arial"/>
          <w:sz w:val="22"/>
          <w:szCs w:val="22"/>
        </w:rPr>
      </w:pPr>
      <w:r w:rsidRPr="00A612DE">
        <w:rPr>
          <w:rFonts w:ascii="Arial" w:hAnsi="Arial" w:cs="Arial"/>
          <w:sz w:val="22"/>
          <w:szCs w:val="22"/>
        </w:rPr>
        <w:t>Despite these limitations, Maslow’s theory remains valuable because it provides a structured framework for holistic care and supports coordinated practice within primary care.</w:t>
      </w:r>
    </w:p>
    <w:p w14:paraId="74C00FAC" w14:textId="610CF3E5" w:rsidR="0036007D" w:rsidRPr="00D4493E" w:rsidRDefault="0036007D" w:rsidP="00D4493E">
      <w:pPr>
        <w:pStyle w:val="Heading2"/>
        <w:rPr>
          <w:rFonts w:ascii="Arial" w:hAnsi="Arial" w:cs="Arial"/>
          <w:b/>
          <w:bCs/>
          <w:color w:val="auto"/>
          <w:sz w:val="24"/>
          <w:szCs w:val="24"/>
        </w:rPr>
      </w:pPr>
      <w:bookmarkStart w:id="4" w:name="_Toc235640169"/>
      <w:r w:rsidRPr="00D4493E">
        <w:rPr>
          <w:rFonts w:ascii="Arial" w:hAnsi="Arial" w:cs="Arial"/>
          <w:b/>
          <w:bCs/>
          <w:color w:val="auto"/>
          <w:sz w:val="24"/>
          <w:szCs w:val="24"/>
        </w:rPr>
        <w:t>Ethical Fundamentals in PCC and Partnership Working</w:t>
      </w:r>
      <w:bookmarkEnd w:id="4"/>
      <w:r w:rsidRPr="00D4493E">
        <w:rPr>
          <w:rFonts w:ascii="Arial" w:hAnsi="Arial" w:cs="Arial"/>
          <w:b/>
          <w:bCs/>
          <w:color w:val="auto"/>
          <w:sz w:val="24"/>
          <w:szCs w:val="24"/>
        </w:rPr>
        <w:t xml:space="preserve"> </w:t>
      </w:r>
    </w:p>
    <w:p w14:paraId="1F82C085" w14:textId="6F100D65" w:rsidR="00AC5252" w:rsidRPr="00A612DE" w:rsidRDefault="00AC5252" w:rsidP="00D4493E">
      <w:pPr>
        <w:spacing w:line="360" w:lineRule="auto"/>
        <w:jc w:val="both"/>
        <w:rPr>
          <w:rFonts w:ascii="Arial" w:hAnsi="Arial" w:cs="Arial"/>
          <w:sz w:val="22"/>
          <w:szCs w:val="22"/>
        </w:rPr>
      </w:pPr>
      <w:r w:rsidRPr="00A612DE">
        <w:rPr>
          <w:rFonts w:ascii="Arial" w:hAnsi="Arial" w:cs="Arial"/>
          <w:sz w:val="22"/>
          <w:szCs w:val="22"/>
        </w:rPr>
        <w:t xml:space="preserve">Ethical principles form the foundation of safe and accountable practice in health and social care. The four core principles of autonomy, beneficence, non-maleficence, and justice are essential for delivering </w:t>
      </w:r>
      <w:r w:rsidR="00AF75FE" w:rsidRPr="00A612DE">
        <w:rPr>
          <w:rFonts w:ascii="Arial" w:hAnsi="Arial" w:cs="Arial"/>
          <w:sz w:val="22"/>
          <w:szCs w:val="22"/>
        </w:rPr>
        <w:t>person-centred</w:t>
      </w:r>
      <w:r w:rsidRPr="00A612DE">
        <w:rPr>
          <w:rFonts w:ascii="Arial" w:hAnsi="Arial" w:cs="Arial"/>
          <w:sz w:val="22"/>
          <w:szCs w:val="22"/>
        </w:rPr>
        <w:t xml:space="preserve"> care (PCC) and partnership working (PW) within a GP practice. These principles guide clinical decision making, shape professional behaviour, and protect patients’ rights and wellbeing (Akhtar, 2012). The Royal College of Nursing (RCN, 2019) highlights that ethical practice requires holistic, person-centred approaches that respect dignity and support collaborative care.</w:t>
      </w:r>
    </w:p>
    <w:p w14:paraId="762080BC" w14:textId="51E55AA1" w:rsidR="00AC5252" w:rsidRPr="00A612DE" w:rsidRDefault="00AC5252" w:rsidP="00D4493E">
      <w:pPr>
        <w:spacing w:line="360" w:lineRule="auto"/>
        <w:jc w:val="both"/>
        <w:rPr>
          <w:rFonts w:ascii="Arial" w:hAnsi="Arial" w:cs="Arial"/>
          <w:sz w:val="22"/>
          <w:szCs w:val="22"/>
        </w:rPr>
      </w:pPr>
      <w:r w:rsidRPr="00A612DE">
        <w:rPr>
          <w:rFonts w:ascii="Arial" w:hAnsi="Arial" w:cs="Arial"/>
          <w:sz w:val="22"/>
          <w:szCs w:val="22"/>
        </w:rPr>
        <w:t>Autonomy refers to an individual’s right to make informed choices. In GP practice, autonomy is demonstrated through shared decision making, personalised consultations, and respect for patient preferences. For example, a patient with diabetes may choose lifestyle-based interventions instead of medication, and the GP must support this choice while ensuring the patient understands the risks. Ethical dilemmas arise when patient choices conflict with clinical guidance or safeguarding responsibilities.</w:t>
      </w:r>
    </w:p>
    <w:p w14:paraId="57F7A501" w14:textId="3E713E6D" w:rsidR="00AC5252" w:rsidRPr="00A612DE" w:rsidRDefault="00AC5252" w:rsidP="00D4493E">
      <w:pPr>
        <w:spacing w:line="360" w:lineRule="auto"/>
        <w:jc w:val="both"/>
        <w:rPr>
          <w:rFonts w:ascii="Arial" w:hAnsi="Arial" w:cs="Arial"/>
          <w:sz w:val="22"/>
          <w:szCs w:val="22"/>
        </w:rPr>
      </w:pPr>
      <w:r w:rsidRPr="00A612DE">
        <w:rPr>
          <w:rFonts w:ascii="Arial" w:hAnsi="Arial" w:cs="Arial"/>
          <w:sz w:val="22"/>
          <w:szCs w:val="22"/>
        </w:rPr>
        <w:t>Beneficence requires practitioners to act in the patient’s best interests. In GP settings, this includes evidence-based treatment, timely referrals, and holistic support. Beneficence is strengthened through PW, as collaboration with pharmacists, mental health teams, and social workers ensures comprehensive care. Differing viewpoints may occur when professionals disagree on what constitutes best interest.</w:t>
      </w:r>
    </w:p>
    <w:p w14:paraId="5282092E" w14:textId="2505A948" w:rsidR="00AC5252" w:rsidRPr="00A612DE" w:rsidRDefault="00AC5252" w:rsidP="00D4493E">
      <w:pPr>
        <w:spacing w:line="360" w:lineRule="auto"/>
        <w:jc w:val="both"/>
        <w:rPr>
          <w:rFonts w:ascii="Arial" w:hAnsi="Arial" w:cs="Arial"/>
          <w:sz w:val="22"/>
          <w:szCs w:val="22"/>
        </w:rPr>
      </w:pPr>
      <w:r w:rsidRPr="00A612DE">
        <w:rPr>
          <w:rFonts w:ascii="Arial" w:hAnsi="Arial" w:cs="Arial"/>
          <w:sz w:val="22"/>
          <w:szCs w:val="22"/>
        </w:rPr>
        <w:t>Non</w:t>
      </w:r>
      <w:r w:rsidR="00AF75FE">
        <w:rPr>
          <w:rFonts w:ascii="Arial" w:hAnsi="Arial" w:cs="Arial"/>
          <w:sz w:val="22"/>
          <w:szCs w:val="22"/>
        </w:rPr>
        <w:t>-</w:t>
      </w:r>
      <w:r w:rsidRPr="00A612DE">
        <w:rPr>
          <w:rFonts w:ascii="Arial" w:hAnsi="Arial" w:cs="Arial"/>
          <w:sz w:val="22"/>
          <w:szCs w:val="22"/>
        </w:rPr>
        <w:t>maleficence, meaning avoidance of harm, is central to safe prescribing, accurate record keeping, and safeguarding vulnerable individuals. Digital systems such as electronic health records improve accuracy and reduce risk by supporting clearer communication (BMC Medical Informatics, 2022).</w:t>
      </w:r>
    </w:p>
    <w:p w14:paraId="61A7002D" w14:textId="2B33B473" w:rsidR="00AC5252" w:rsidRPr="00A612DE" w:rsidRDefault="00AC5252" w:rsidP="00D4493E">
      <w:pPr>
        <w:spacing w:line="360" w:lineRule="auto"/>
        <w:jc w:val="both"/>
        <w:rPr>
          <w:rFonts w:ascii="Arial" w:hAnsi="Arial" w:cs="Arial"/>
          <w:sz w:val="22"/>
          <w:szCs w:val="22"/>
        </w:rPr>
      </w:pPr>
      <w:r w:rsidRPr="00A612DE">
        <w:rPr>
          <w:rFonts w:ascii="Arial" w:hAnsi="Arial" w:cs="Arial"/>
          <w:sz w:val="22"/>
          <w:szCs w:val="22"/>
        </w:rPr>
        <w:t xml:space="preserve">Justice relates to fairness and equitable access to care. It also influences resource allocation when demand exceeds capacity (Williams, 2011). In GP practice, justice ensures consistent, </w:t>
      </w:r>
      <w:r w:rsidRPr="00A612DE">
        <w:rPr>
          <w:rFonts w:ascii="Arial" w:hAnsi="Arial" w:cs="Arial"/>
          <w:sz w:val="22"/>
          <w:szCs w:val="22"/>
        </w:rPr>
        <w:lastRenderedPageBreak/>
        <w:t>non-discriminatory treatment regardless of age, disability, ethnicity, or socioeconomic status, reflecting the Equality Act 2010.</w:t>
      </w:r>
    </w:p>
    <w:p w14:paraId="7568080C" w14:textId="48F57F25" w:rsidR="0036007D" w:rsidRPr="00D4493E" w:rsidRDefault="0036007D" w:rsidP="00D4493E">
      <w:pPr>
        <w:pStyle w:val="Heading2"/>
        <w:rPr>
          <w:rFonts w:ascii="Arial" w:hAnsi="Arial" w:cs="Arial"/>
          <w:b/>
          <w:bCs/>
          <w:color w:val="auto"/>
          <w:sz w:val="24"/>
          <w:szCs w:val="24"/>
        </w:rPr>
      </w:pPr>
      <w:bookmarkStart w:id="5" w:name="_Toc235640170"/>
      <w:r w:rsidRPr="00D4493E">
        <w:rPr>
          <w:rFonts w:ascii="Arial" w:hAnsi="Arial" w:cs="Arial"/>
          <w:b/>
          <w:bCs/>
          <w:color w:val="auto"/>
          <w:sz w:val="24"/>
          <w:szCs w:val="24"/>
        </w:rPr>
        <w:t>Evaluation of Partnership Working in GP Practice</w:t>
      </w:r>
      <w:bookmarkEnd w:id="5"/>
      <w:r w:rsidRPr="00D4493E">
        <w:rPr>
          <w:rFonts w:ascii="Arial" w:hAnsi="Arial" w:cs="Arial"/>
          <w:b/>
          <w:bCs/>
          <w:color w:val="auto"/>
          <w:sz w:val="24"/>
          <w:szCs w:val="24"/>
        </w:rPr>
        <w:t xml:space="preserve"> </w:t>
      </w:r>
    </w:p>
    <w:p w14:paraId="4B923F42" w14:textId="77777777" w:rsidR="00691DE2" w:rsidRPr="00A612DE" w:rsidRDefault="00691DE2" w:rsidP="00D4493E">
      <w:pPr>
        <w:spacing w:line="360" w:lineRule="auto"/>
        <w:jc w:val="both"/>
        <w:rPr>
          <w:rFonts w:ascii="Arial" w:hAnsi="Arial" w:cs="Arial"/>
          <w:sz w:val="22"/>
          <w:szCs w:val="22"/>
        </w:rPr>
      </w:pPr>
      <w:r w:rsidRPr="00A612DE">
        <w:rPr>
          <w:rFonts w:ascii="Arial" w:hAnsi="Arial" w:cs="Arial"/>
          <w:sz w:val="22"/>
          <w:szCs w:val="22"/>
        </w:rPr>
        <w:t>Partnership working (PW) refers to coordinated collaboration between professionals, agencies, and sectors to deliver safe, effective, and holistic care. In GP practice, PW is essential because patients often present with complex needs requiring input from medical, social, and community services. Glasby (2026) argues that integrated working improves continuity, reduces duplication, and enhances outcomes through shared expertise and collective responsibility.</w:t>
      </w:r>
    </w:p>
    <w:p w14:paraId="4491B0A0" w14:textId="77777777" w:rsidR="00691DE2" w:rsidRPr="00A612DE" w:rsidRDefault="00691DE2" w:rsidP="00D4493E">
      <w:pPr>
        <w:spacing w:line="360" w:lineRule="auto"/>
        <w:jc w:val="both"/>
        <w:rPr>
          <w:rFonts w:ascii="Arial" w:hAnsi="Arial" w:cs="Arial"/>
          <w:sz w:val="22"/>
          <w:szCs w:val="22"/>
        </w:rPr>
      </w:pPr>
      <w:r w:rsidRPr="00A612DE">
        <w:rPr>
          <w:rFonts w:ascii="Arial" w:hAnsi="Arial" w:cs="Arial"/>
          <w:sz w:val="22"/>
          <w:szCs w:val="22"/>
        </w:rPr>
        <w:t>Effective PW involves collaboration between GPs, nurses, pharmacists, mental health practitioners, social workers, physiotherapists, and community teams. Joint medication reviews with pharmacists improve safety and reduce prescribing errors, while collaborative care planning with social workers supports vulnerable adults experiencing safeguarding concerns or social isolation. RCN (2019) highlights that PW is vital for holistic care, as no single professional can meet all patient needs. Interprofessional collaboration enhances communication, reduces fragmentation, and supports better decision making (O’Carroll et al., 2016).</w:t>
      </w:r>
    </w:p>
    <w:p w14:paraId="2431C850" w14:textId="71D56005" w:rsidR="00691DE2" w:rsidRPr="00A612DE" w:rsidRDefault="00691DE2" w:rsidP="00D4493E">
      <w:pPr>
        <w:spacing w:line="360" w:lineRule="auto"/>
        <w:jc w:val="both"/>
        <w:rPr>
          <w:rFonts w:ascii="Arial" w:hAnsi="Arial" w:cs="Arial"/>
          <w:sz w:val="22"/>
          <w:szCs w:val="22"/>
        </w:rPr>
      </w:pPr>
      <w:r w:rsidRPr="00A612DE">
        <w:rPr>
          <w:rFonts w:ascii="Arial" w:hAnsi="Arial" w:cs="Arial"/>
          <w:sz w:val="22"/>
          <w:szCs w:val="22"/>
        </w:rPr>
        <w:t xml:space="preserve">Integrated Care Systems (ICS) and Integrated Care Boards (ICBs) have further formalised PW across the NHS. ICS structures encourage GP practices to work closely with hospitals, community services, local authorities, and voluntary organisations to deliver coordinated care. NHS England’s </w:t>
      </w:r>
      <w:r w:rsidR="00A612DE" w:rsidRPr="00A612DE">
        <w:rPr>
          <w:rFonts w:ascii="Arial" w:hAnsi="Arial" w:cs="Arial"/>
          <w:sz w:val="22"/>
          <w:szCs w:val="22"/>
        </w:rPr>
        <w:t>Long-Term</w:t>
      </w:r>
      <w:r w:rsidRPr="00A612DE">
        <w:rPr>
          <w:rFonts w:ascii="Arial" w:hAnsi="Arial" w:cs="Arial"/>
          <w:sz w:val="22"/>
          <w:szCs w:val="22"/>
        </w:rPr>
        <w:t xml:space="preserve"> Plan (2020) emphasises digital integration, shared records, and multidisciplinary collaboration as essential for effective ICS functioning. However, ICS implementation presents challenges, including inconsistent communication pathways, differing organisational cultures, and variations in digital systems. Cameron et al. (2014) note that differing professional identities can also hinder collaboration.</w:t>
      </w:r>
    </w:p>
    <w:p w14:paraId="334C458D" w14:textId="4FAD0E03" w:rsidR="00A612DE" w:rsidRDefault="00691DE2" w:rsidP="00D4493E">
      <w:pPr>
        <w:spacing w:line="360" w:lineRule="auto"/>
        <w:jc w:val="both"/>
        <w:rPr>
          <w:rFonts w:ascii="Arial" w:hAnsi="Arial" w:cs="Arial"/>
          <w:sz w:val="22"/>
          <w:szCs w:val="22"/>
        </w:rPr>
      </w:pPr>
      <w:r w:rsidRPr="00A612DE">
        <w:rPr>
          <w:rFonts w:ascii="Arial" w:hAnsi="Arial" w:cs="Arial"/>
          <w:sz w:val="22"/>
          <w:szCs w:val="22"/>
        </w:rPr>
        <w:t>PW also faces limitations. Time pressures, workforce shortages, and high caseloads restrict opportunities for meaningful collaboration. Digital barriers, such as incompatible record systems, may hinder information sharing and increase the risk of fragmented care (BMC Medical Informatics, 2022). Professional hierarchies may affect decision making, with some practitioners feeling undervalued or excluded (Miers et al., 2010). Overall, PW enhances PCC by supporting holistic assessment and coordinated interventions.</w:t>
      </w:r>
    </w:p>
    <w:p w14:paraId="004C1604" w14:textId="1014FD3B" w:rsidR="0036007D" w:rsidRPr="00D4493E" w:rsidRDefault="0036007D" w:rsidP="00D4493E">
      <w:pPr>
        <w:pStyle w:val="Heading2"/>
        <w:rPr>
          <w:rFonts w:ascii="Arial" w:hAnsi="Arial" w:cs="Arial"/>
          <w:b/>
          <w:bCs/>
          <w:color w:val="auto"/>
          <w:sz w:val="24"/>
          <w:szCs w:val="24"/>
        </w:rPr>
      </w:pPr>
      <w:bookmarkStart w:id="6" w:name="_Toc235640171"/>
      <w:r w:rsidRPr="00D4493E">
        <w:rPr>
          <w:rFonts w:ascii="Arial" w:hAnsi="Arial" w:cs="Arial"/>
          <w:b/>
          <w:bCs/>
          <w:color w:val="auto"/>
          <w:sz w:val="24"/>
          <w:szCs w:val="24"/>
        </w:rPr>
        <w:t>Policy and Legislation</w:t>
      </w:r>
      <w:bookmarkEnd w:id="6"/>
      <w:r w:rsidRPr="00D4493E">
        <w:rPr>
          <w:rFonts w:ascii="Arial" w:hAnsi="Arial" w:cs="Arial"/>
          <w:b/>
          <w:bCs/>
          <w:color w:val="auto"/>
          <w:sz w:val="24"/>
          <w:szCs w:val="24"/>
        </w:rPr>
        <w:t xml:space="preserve"> </w:t>
      </w:r>
    </w:p>
    <w:p w14:paraId="0714BFCF" w14:textId="05F704B7" w:rsidR="00A612DE" w:rsidRPr="00A612DE" w:rsidRDefault="00A612DE" w:rsidP="00D4493E">
      <w:pPr>
        <w:spacing w:line="360" w:lineRule="auto"/>
        <w:jc w:val="both"/>
        <w:rPr>
          <w:rFonts w:ascii="Arial" w:hAnsi="Arial" w:cs="Arial"/>
          <w:sz w:val="22"/>
          <w:szCs w:val="22"/>
        </w:rPr>
      </w:pPr>
      <w:r w:rsidRPr="00A612DE">
        <w:rPr>
          <w:rFonts w:ascii="Arial" w:hAnsi="Arial" w:cs="Arial"/>
          <w:sz w:val="22"/>
          <w:szCs w:val="22"/>
        </w:rPr>
        <w:t xml:space="preserve">Policy and legislation form the foundation of safe and accountable practice in UK health and social care. They shape how person-centred care (PCC) and partnership working (PW) are </w:t>
      </w:r>
      <w:r w:rsidRPr="00A612DE">
        <w:rPr>
          <w:rFonts w:ascii="Arial" w:hAnsi="Arial" w:cs="Arial"/>
          <w:sz w:val="22"/>
          <w:szCs w:val="22"/>
        </w:rPr>
        <w:lastRenderedPageBreak/>
        <w:t>delivered within GP practices, ensuring equitable and coordinated care. Glasby (2026) notes that legislation provides the structural framework through which PCC and PW operate, guiding professional decisions.</w:t>
      </w:r>
    </w:p>
    <w:p w14:paraId="420F2950" w14:textId="77777777" w:rsidR="00A612DE" w:rsidRPr="00A612DE" w:rsidRDefault="00A612DE" w:rsidP="00D4493E">
      <w:pPr>
        <w:spacing w:line="360" w:lineRule="auto"/>
        <w:jc w:val="both"/>
        <w:rPr>
          <w:rFonts w:ascii="Arial" w:hAnsi="Arial" w:cs="Arial"/>
          <w:sz w:val="22"/>
          <w:szCs w:val="22"/>
        </w:rPr>
      </w:pPr>
      <w:r w:rsidRPr="00A612DE">
        <w:rPr>
          <w:rFonts w:ascii="Arial" w:hAnsi="Arial" w:cs="Arial"/>
          <w:sz w:val="22"/>
          <w:szCs w:val="22"/>
        </w:rPr>
        <w:t>The Care Act 2014 is central to PCC because it places a legal duty on services to promote wellbeing, independence, and choice. In GP practice, this requires clinicians to consider holistic needs when planning care. The Act also strengthens PW by requiring collaboration between local authorities, NHS services, and community organisations. For example, GPs may work with social workers to support frail patients at home.</w:t>
      </w:r>
    </w:p>
    <w:p w14:paraId="5AB0B5FB" w14:textId="2FAF02E9" w:rsidR="00A612DE" w:rsidRPr="00A612DE" w:rsidRDefault="00A612DE" w:rsidP="00D4493E">
      <w:pPr>
        <w:spacing w:line="360" w:lineRule="auto"/>
        <w:jc w:val="both"/>
        <w:rPr>
          <w:rFonts w:ascii="Arial" w:hAnsi="Arial" w:cs="Arial"/>
          <w:sz w:val="22"/>
          <w:szCs w:val="22"/>
        </w:rPr>
      </w:pPr>
      <w:r w:rsidRPr="00A612DE">
        <w:rPr>
          <w:rFonts w:ascii="Arial" w:hAnsi="Arial" w:cs="Arial"/>
          <w:sz w:val="22"/>
          <w:szCs w:val="22"/>
        </w:rPr>
        <w:t>The Health and Care Act 2022 reinforce PW through the creation of Integrated Care Systems (ICS) and Integrated Care Boards (ICBs). NHS England’s Long-Term Plan (2020) supports this by emphasising digital integration, shared records, and coordinated multidisciplinary working. These structures improve population health and support smoother transitions, though variations in implementation and increased GP workload present challenges.</w:t>
      </w:r>
    </w:p>
    <w:p w14:paraId="484248CE" w14:textId="77777777" w:rsidR="00A612DE" w:rsidRPr="00A612DE" w:rsidRDefault="00A612DE" w:rsidP="00D4493E">
      <w:pPr>
        <w:spacing w:line="360" w:lineRule="auto"/>
        <w:jc w:val="both"/>
        <w:rPr>
          <w:rFonts w:ascii="Arial" w:hAnsi="Arial" w:cs="Arial"/>
          <w:sz w:val="22"/>
          <w:szCs w:val="22"/>
        </w:rPr>
      </w:pPr>
      <w:r w:rsidRPr="00A612DE">
        <w:rPr>
          <w:rFonts w:ascii="Arial" w:hAnsi="Arial" w:cs="Arial"/>
          <w:sz w:val="22"/>
          <w:szCs w:val="22"/>
        </w:rPr>
        <w:t>The Equality Act 2010 underpins PCC by protecting individuals from discrimination based on protected characteristics such as age, disability, race, and gender. In GP practice, this ensures fair access and appropriate adjustments.</w:t>
      </w:r>
    </w:p>
    <w:p w14:paraId="31EFF2E2" w14:textId="77777777" w:rsidR="00A612DE" w:rsidRPr="00A612DE" w:rsidRDefault="00A612DE" w:rsidP="00D4493E">
      <w:pPr>
        <w:spacing w:line="360" w:lineRule="auto"/>
        <w:jc w:val="both"/>
        <w:rPr>
          <w:rFonts w:ascii="Arial" w:hAnsi="Arial" w:cs="Arial"/>
          <w:sz w:val="22"/>
          <w:szCs w:val="22"/>
        </w:rPr>
      </w:pPr>
      <w:r w:rsidRPr="00A612DE">
        <w:rPr>
          <w:rFonts w:ascii="Arial" w:hAnsi="Arial" w:cs="Arial"/>
          <w:sz w:val="22"/>
          <w:szCs w:val="22"/>
        </w:rPr>
        <w:t>The Human Rights Act 1998 supports PCC by protecting dignity and respect. Article 8 requires GPs to maintain confidentiality and honour personal choices.</w:t>
      </w:r>
    </w:p>
    <w:p w14:paraId="2F219C97" w14:textId="305334AF" w:rsidR="0057537D" w:rsidRPr="00A612DE" w:rsidRDefault="00A612DE" w:rsidP="00D4493E">
      <w:pPr>
        <w:spacing w:line="360" w:lineRule="auto"/>
        <w:jc w:val="both"/>
        <w:rPr>
          <w:rFonts w:ascii="Arial" w:hAnsi="Arial" w:cs="Arial"/>
          <w:sz w:val="22"/>
          <w:szCs w:val="22"/>
        </w:rPr>
      </w:pPr>
      <w:r w:rsidRPr="00A612DE">
        <w:rPr>
          <w:rFonts w:ascii="Arial" w:hAnsi="Arial" w:cs="Arial"/>
          <w:sz w:val="22"/>
          <w:szCs w:val="22"/>
        </w:rPr>
        <w:t>The Health and Social Care Act 2012 influences PW by promoting patient choice and encouraging collaboration between commissioners and providers, though its focus on competition may fragment care.</w:t>
      </w:r>
    </w:p>
    <w:p w14:paraId="64B246A6" w14:textId="10436D18" w:rsidR="0036007D" w:rsidRPr="00F052CB" w:rsidRDefault="0036007D" w:rsidP="00F052CB">
      <w:pPr>
        <w:pStyle w:val="Heading2"/>
        <w:rPr>
          <w:rFonts w:ascii="Arial" w:hAnsi="Arial" w:cs="Arial"/>
          <w:b/>
          <w:bCs/>
          <w:color w:val="auto"/>
          <w:sz w:val="24"/>
          <w:szCs w:val="24"/>
        </w:rPr>
      </w:pPr>
      <w:bookmarkStart w:id="7" w:name="_Toc235640172"/>
      <w:r w:rsidRPr="00F052CB">
        <w:rPr>
          <w:rFonts w:ascii="Arial" w:hAnsi="Arial" w:cs="Arial"/>
          <w:b/>
          <w:bCs/>
          <w:color w:val="auto"/>
          <w:sz w:val="24"/>
          <w:szCs w:val="24"/>
        </w:rPr>
        <w:t>Recommendations for Future Development of PCC and Partnership Working</w:t>
      </w:r>
      <w:bookmarkEnd w:id="7"/>
      <w:r w:rsidR="000D4676" w:rsidRPr="00F052CB">
        <w:rPr>
          <w:rFonts w:ascii="Arial" w:hAnsi="Arial" w:cs="Arial"/>
          <w:b/>
          <w:bCs/>
          <w:color w:val="auto"/>
          <w:sz w:val="24"/>
          <w:szCs w:val="24"/>
        </w:rPr>
        <w:t xml:space="preserve"> </w:t>
      </w:r>
    </w:p>
    <w:p w14:paraId="32683AE8" w14:textId="058CB84C" w:rsidR="007F1D20" w:rsidRPr="00A612DE" w:rsidRDefault="007F1D20" w:rsidP="00D4493E">
      <w:pPr>
        <w:spacing w:line="360" w:lineRule="auto"/>
        <w:jc w:val="both"/>
        <w:rPr>
          <w:rFonts w:ascii="Arial" w:hAnsi="Arial" w:cs="Arial"/>
          <w:sz w:val="22"/>
          <w:szCs w:val="22"/>
        </w:rPr>
      </w:pPr>
      <w:r w:rsidRPr="00A612DE">
        <w:rPr>
          <w:rFonts w:ascii="Arial" w:hAnsi="Arial" w:cs="Arial"/>
          <w:sz w:val="22"/>
          <w:szCs w:val="22"/>
        </w:rPr>
        <w:t>A persistent problem within GP practices is fragmented communication caused by inconsistent digital systems. Evidence from BMC Medical Informatics (2022) shows that poor interoperability between electronic health records (EHRs) increases duplication, reduces accuracy, and limits real</w:t>
      </w:r>
      <w:r w:rsidRPr="00A612DE">
        <w:rPr>
          <w:rFonts w:ascii="Arial" w:hAnsi="Arial" w:cs="Arial"/>
          <w:sz w:val="22"/>
          <w:szCs w:val="22"/>
        </w:rPr>
        <w:noBreakHyphen/>
        <w:t xml:space="preserve">time information sharing across multidisciplinary teams. This undermines </w:t>
      </w:r>
      <w:r w:rsidR="00AF75FE" w:rsidRPr="00A612DE">
        <w:rPr>
          <w:rFonts w:ascii="Arial" w:hAnsi="Arial" w:cs="Arial"/>
          <w:sz w:val="22"/>
          <w:szCs w:val="22"/>
        </w:rPr>
        <w:t>person-centred</w:t>
      </w:r>
      <w:r w:rsidRPr="00A612DE">
        <w:rPr>
          <w:rFonts w:ascii="Arial" w:hAnsi="Arial" w:cs="Arial"/>
          <w:sz w:val="22"/>
          <w:szCs w:val="22"/>
        </w:rPr>
        <w:t xml:space="preserve"> care (PCC), as clinicians cannot access complete patient histories during consultations. GP practices should adopt interoperable EHR systems linking GPs, nurses, pharmacists, social workers, and community teams to support safer prescribing, coordinated chronic disease management, and smoother transitions between services. Key barriers include funding constraints, limited digital literacy, and system incompatibility.</w:t>
      </w:r>
    </w:p>
    <w:p w14:paraId="66A79FB3" w14:textId="46E0A008" w:rsidR="007F1D20" w:rsidRPr="00A612DE" w:rsidRDefault="007F1D20" w:rsidP="00D4493E">
      <w:pPr>
        <w:spacing w:line="360" w:lineRule="auto"/>
        <w:jc w:val="both"/>
        <w:rPr>
          <w:rFonts w:ascii="Arial" w:hAnsi="Arial" w:cs="Arial"/>
          <w:sz w:val="22"/>
          <w:szCs w:val="22"/>
        </w:rPr>
      </w:pPr>
      <w:r w:rsidRPr="00A612DE">
        <w:rPr>
          <w:rFonts w:ascii="Arial" w:hAnsi="Arial" w:cs="Arial"/>
          <w:sz w:val="22"/>
          <w:szCs w:val="22"/>
        </w:rPr>
        <w:t xml:space="preserve">A second problem is limited interprofessional understanding, often reinforced by professional hierarchies. O’Carroll et al. (2016) demonstrate that structured interprofessional training improves communication, reduces hierarchical barriers, and strengthens collaborative </w:t>
      </w:r>
      <w:r w:rsidRPr="00A612DE">
        <w:rPr>
          <w:rFonts w:ascii="Arial" w:hAnsi="Arial" w:cs="Arial"/>
          <w:sz w:val="22"/>
          <w:szCs w:val="22"/>
        </w:rPr>
        <w:lastRenderedPageBreak/>
        <w:t>decision making. Without such training, partnership working (PW) becomes inconsistent, and PCC is weakened because patients receive disjointed advice from different professionals. GP practices should implement regular joint training involving GPs, nurses, pharmacists, mental health practitioners, and social workers to enhance role clarity, improve care planning, and support holistic assessment. Challenges include time pressures, staffing shortages, and limited training budgets.</w:t>
      </w:r>
    </w:p>
    <w:p w14:paraId="47A67A35" w14:textId="77777777" w:rsidR="007F1D20" w:rsidRPr="00A612DE" w:rsidRDefault="007F1D20" w:rsidP="00D4493E">
      <w:pPr>
        <w:spacing w:line="360" w:lineRule="auto"/>
        <w:jc w:val="both"/>
        <w:rPr>
          <w:rFonts w:ascii="Arial" w:hAnsi="Arial" w:cs="Arial"/>
          <w:sz w:val="22"/>
          <w:szCs w:val="22"/>
        </w:rPr>
      </w:pPr>
      <w:r w:rsidRPr="00A612DE">
        <w:rPr>
          <w:rFonts w:ascii="Arial" w:hAnsi="Arial" w:cs="Arial"/>
          <w:sz w:val="22"/>
          <w:szCs w:val="22"/>
        </w:rPr>
        <w:t>A third problem is the lack of clear, integrated care pathways between primary care and community services. Bhattacharyya et al. (2022) highlight that coordinated pathways improve PCC by ensuring timely, holistic support, while WHO (2023) emphasises that people centred systems require seamless links between services. GP practices should develop integrated pathways connecting primary care with mental health teams, physiotherapy services, voluntary organisations, and local authority support. This would reduce delays, improve referrals, and strengthen continuity of care, particularly for patients with long</w:t>
      </w:r>
      <w:r w:rsidRPr="00A612DE">
        <w:rPr>
          <w:rFonts w:ascii="Arial" w:hAnsi="Arial" w:cs="Arial"/>
          <w:sz w:val="22"/>
          <w:szCs w:val="22"/>
        </w:rPr>
        <w:noBreakHyphen/>
        <w:t>term conditions. Variations in local Integrated Care System (ICS) structures may present challenges.</w:t>
      </w:r>
    </w:p>
    <w:p w14:paraId="2F019619" w14:textId="55CF9091" w:rsidR="0045351E" w:rsidRPr="00A612DE" w:rsidRDefault="007F1D20" w:rsidP="00D4493E">
      <w:pPr>
        <w:spacing w:line="360" w:lineRule="auto"/>
        <w:jc w:val="both"/>
        <w:rPr>
          <w:rFonts w:ascii="Arial" w:hAnsi="Arial" w:cs="Arial"/>
          <w:sz w:val="22"/>
          <w:szCs w:val="22"/>
        </w:rPr>
      </w:pPr>
      <w:r w:rsidRPr="00A612DE">
        <w:rPr>
          <w:rFonts w:ascii="Arial" w:hAnsi="Arial" w:cs="Arial"/>
          <w:sz w:val="22"/>
          <w:szCs w:val="22"/>
        </w:rPr>
        <w:t>Finally, policy development should strengthen digital infrastructure, support multidisciplinary teams, and ensure equitable access to PCC. Coulter and Collins (2011) argue that sustained investment is essential for embedding PCC across services.</w:t>
      </w:r>
    </w:p>
    <w:p w14:paraId="7E7EB1A8" w14:textId="05BCEF17" w:rsidR="0036007D" w:rsidRPr="00F052CB" w:rsidRDefault="0036007D" w:rsidP="00F052CB">
      <w:pPr>
        <w:pStyle w:val="Heading2"/>
        <w:rPr>
          <w:rFonts w:ascii="Arial" w:hAnsi="Arial" w:cs="Arial"/>
          <w:b/>
          <w:bCs/>
          <w:color w:val="auto"/>
          <w:sz w:val="24"/>
          <w:szCs w:val="24"/>
        </w:rPr>
      </w:pPr>
      <w:bookmarkStart w:id="8" w:name="_Toc235640173"/>
      <w:r w:rsidRPr="00F052CB">
        <w:rPr>
          <w:rFonts w:ascii="Arial" w:hAnsi="Arial" w:cs="Arial"/>
          <w:b/>
          <w:bCs/>
          <w:color w:val="auto"/>
          <w:sz w:val="24"/>
          <w:szCs w:val="24"/>
        </w:rPr>
        <w:t>Conclusion</w:t>
      </w:r>
      <w:bookmarkEnd w:id="8"/>
      <w:r w:rsidRPr="00F052CB">
        <w:rPr>
          <w:rFonts w:ascii="Arial" w:hAnsi="Arial" w:cs="Arial"/>
          <w:b/>
          <w:bCs/>
          <w:color w:val="auto"/>
          <w:sz w:val="24"/>
          <w:szCs w:val="24"/>
        </w:rPr>
        <w:t xml:space="preserve"> </w:t>
      </w:r>
    </w:p>
    <w:p w14:paraId="24CF3807" w14:textId="6D78479F" w:rsidR="00C47AF7" w:rsidRDefault="00AC5252" w:rsidP="00D4493E">
      <w:pPr>
        <w:spacing w:line="360" w:lineRule="auto"/>
        <w:jc w:val="both"/>
        <w:rPr>
          <w:rFonts w:ascii="Arial" w:hAnsi="Arial" w:cs="Arial"/>
          <w:sz w:val="22"/>
          <w:szCs w:val="22"/>
        </w:rPr>
      </w:pPr>
      <w:r w:rsidRPr="00A612DE">
        <w:rPr>
          <w:rFonts w:ascii="Arial" w:hAnsi="Arial" w:cs="Arial"/>
          <w:sz w:val="22"/>
          <w:szCs w:val="22"/>
        </w:rPr>
        <w:t>This report has critically evaluated</w:t>
      </w:r>
      <w:r w:rsidR="00AF75FE">
        <w:rPr>
          <w:rFonts w:ascii="Arial" w:hAnsi="Arial" w:cs="Arial"/>
          <w:sz w:val="22"/>
          <w:szCs w:val="22"/>
        </w:rPr>
        <w:t xml:space="preserve"> </w:t>
      </w:r>
      <w:r w:rsidR="00AF75FE" w:rsidRPr="00A612DE">
        <w:rPr>
          <w:rFonts w:ascii="Arial" w:hAnsi="Arial" w:cs="Arial"/>
          <w:sz w:val="22"/>
          <w:szCs w:val="22"/>
        </w:rPr>
        <w:t>person-centred</w:t>
      </w:r>
      <w:r w:rsidRPr="00A612DE">
        <w:rPr>
          <w:rFonts w:ascii="Arial" w:hAnsi="Arial" w:cs="Arial"/>
          <w:sz w:val="22"/>
          <w:szCs w:val="22"/>
        </w:rPr>
        <w:t xml:space="preserve"> care (PCC) and partnership working (PW) within a GP practice, showing how both approaches underpin safe, holistic, and responsive healthcare. PCC was demonstrated to enhance autonomy, satisfaction, and health outcomes, while also presenting limitations linked to time pressures, resource constraints, and organisational challenges. Maslow’s Hierarchy of Needs highlighted the importance of addressing physical, emotional, and social needs, reinforcing holistic assessment in primary care. Ethical principles such as autonomy, beneficence, non-maleficence, and justice were shown to guide decision making and support respectful, equitable care. The evaluation of PW illustrated how collaboration between GPs, nurses, pharmacists, social workers, and community teams strengthens continuity, despite barriers such as communication issues and digital fragmentation. Overall, the recommendations aim to strengthen digital integration, interprofessional training, and coordinated pathways, supporting the continued development of collaborative, person centred practice.</w:t>
      </w:r>
      <w:r w:rsidR="000B791E" w:rsidRPr="00A612DE">
        <w:rPr>
          <w:rFonts w:ascii="Arial" w:hAnsi="Arial" w:cs="Arial"/>
          <w:sz w:val="22"/>
          <w:szCs w:val="22"/>
        </w:rPr>
        <w:t xml:space="preserve">  </w:t>
      </w:r>
    </w:p>
    <w:p w14:paraId="70204BF2" w14:textId="77777777" w:rsidR="00F052CB" w:rsidRPr="00F052CB" w:rsidRDefault="00F052CB" w:rsidP="00D4493E">
      <w:pPr>
        <w:spacing w:line="360" w:lineRule="auto"/>
        <w:jc w:val="both"/>
        <w:rPr>
          <w:rFonts w:ascii="Arial" w:hAnsi="Arial" w:cs="Arial"/>
          <w:sz w:val="22"/>
          <w:szCs w:val="22"/>
        </w:rPr>
      </w:pPr>
    </w:p>
    <w:p w14:paraId="7D954BB6" w14:textId="77777777" w:rsidR="00B0189B" w:rsidRDefault="00B0189B" w:rsidP="00D4493E">
      <w:pPr>
        <w:spacing w:line="360" w:lineRule="auto"/>
        <w:jc w:val="both"/>
        <w:rPr>
          <w:rFonts w:ascii="Arial" w:hAnsi="Arial" w:cs="Arial"/>
          <w:b/>
          <w:bCs/>
          <w:sz w:val="22"/>
          <w:szCs w:val="22"/>
        </w:rPr>
      </w:pPr>
    </w:p>
    <w:p w14:paraId="5D2797A1" w14:textId="2D33A0E8" w:rsidR="00FC4125" w:rsidRPr="00F052CB" w:rsidRDefault="000B791E" w:rsidP="00F052CB">
      <w:pPr>
        <w:pStyle w:val="Heading2"/>
        <w:jc w:val="center"/>
        <w:rPr>
          <w:rFonts w:ascii="Arial" w:hAnsi="Arial" w:cs="Arial"/>
          <w:b/>
          <w:bCs/>
          <w:color w:val="auto"/>
          <w:sz w:val="24"/>
          <w:szCs w:val="24"/>
        </w:rPr>
      </w:pPr>
      <w:bookmarkStart w:id="9" w:name="_Toc235640174"/>
      <w:r w:rsidRPr="00F052CB">
        <w:rPr>
          <w:rFonts w:ascii="Arial" w:hAnsi="Arial" w:cs="Arial"/>
          <w:b/>
          <w:bCs/>
          <w:color w:val="auto"/>
          <w:sz w:val="24"/>
          <w:szCs w:val="24"/>
        </w:rPr>
        <w:lastRenderedPageBreak/>
        <w:t>R</w:t>
      </w:r>
      <w:r w:rsidR="00FC4125" w:rsidRPr="00F052CB">
        <w:rPr>
          <w:rFonts w:ascii="Arial" w:hAnsi="Arial" w:cs="Arial"/>
          <w:b/>
          <w:bCs/>
          <w:color w:val="auto"/>
          <w:sz w:val="24"/>
          <w:szCs w:val="24"/>
        </w:rPr>
        <w:t>eference List</w:t>
      </w:r>
      <w:bookmarkEnd w:id="9"/>
    </w:p>
    <w:p w14:paraId="6A299CE1" w14:textId="77777777" w:rsidR="00D4493E" w:rsidRDefault="00D4493E" w:rsidP="00D4493E">
      <w:pPr>
        <w:spacing w:line="360" w:lineRule="auto"/>
        <w:jc w:val="both"/>
        <w:rPr>
          <w:rFonts w:ascii="Arial" w:hAnsi="Arial" w:cs="Arial"/>
          <w:b/>
          <w:bCs/>
          <w:sz w:val="22"/>
          <w:szCs w:val="22"/>
        </w:rPr>
      </w:pPr>
    </w:p>
    <w:p w14:paraId="4CAE4D21" w14:textId="7399B109" w:rsidR="00D4493E" w:rsidRPr="00DA0D39" w:rsidRDefault="00D4493E" w:rsidP="00D4493E">
      <w:pPr>
        <w:spacing w:line="360" w:lineRule="auto"/>
        <w:jc w:val="both"/>
        <w:rPr>
          <w:rFonts w:ascii="Arial" w:hAnsi="Arial" w:cs="Arial"/>
          <w:sz w:val="22"/>
          <w:szCs w:val="22"/>
        </w:rPr>
      </w:pPr>
      <w:r w:rsidRPr="00DA0D39">
        <w:rPr>
          <w:rFonts w:ascii="Arial" w:hAnsi="Arial" w:cs="Arial"/>
          <w:sz w:val="22"/>
          <w:szCs w:val="22"/>
        </w:rPr>
        <w:t xml:space="preserve">Akhtar, S. (2012) </w:t>
      </w:r>
      <w:r w:rsidRPr="00DA0D39">
        <w:rPr>
          <w:rFonts w:ascii="Arial" w:hAnsi="Arial" w:cs="Arial"/>
          <w:i/>
          <w:iCs/>
          <w:sz w:val="22"/>
          <w:szCs w:val="22"/>
        </w:rPr>
        <w:t>Ethical principles in health and social care practice.</w:t>
      </w:r>
    </w:p>
    <w:p w14:paraId="55D1DBAE" w14:textId="77777777" w:rsidR="00D4493E" w:rsidRPr="00DA0D39" w:rsidRDefault="00D4493E" w:rsidP="00D4493E">
      <w:pPr>
        <w:spacing w:line="360" w:lineRule="auto"/>
        <w:jc w:val="both"/>
        <w:rPr>
          <w:rFonts w:ascii="Arial" w:hAnsi="Arial" w:cs="Arial"/>
          <w:sz w:val="22"/>
          <w:szCs w:val="22"/>
        </w:rPr>
      </w:pPr>
      <w:r w:rsidRPr="00DA0D39">
        <w:rPr>
          <w:rFonts w:ascii="Arial" w:hAnsi="Arial" w:cs="Arial"/>
          <w:sz w:val="22"/>
          <w:szCs w:val="22"/>
        </w:rPr>
        <w:t xml:space="preserve">Barnard, A. (2023) </w:t>
      </w:r>
      <w:r w:rsidRPr="00DA0D39">
        <w:rPr>
          <w:rFonts w:ascii="Arial" w:hAnsi="Arial" w:cs="Arial"/>
          <w:i/>
          <w:iCs/>
          <w:sz w:val="22"/>
          <w:szCs w:val="22"/>
        </w:rPr>
        <w:t>Patient</w:t>
      </w:r>
      <w:r w:rsidRPr="00DA0D39">
        <w:rPr>
          <w:rFonts w:ascii="Arial" w:hAnsi="Arial" w:cs="Arial"/>
          <w:i/>
          <w:iCs/>
          <w:sz w:val="22"/>
          <w:szCs w:val="22"/>
        </w:rPr>
        <w:noBreakHyphen/>
        <w:t>centred approaches in primary care.</w:t>
      </w:r>
    </w:p>
    <w:p w14:paraId="6EE5833E" w14:textId="77777777" w:rsidR="00D4493E" w:rsidRPr="00DA0D39" w:rsidRDefault="00D4493E" w:rsidP="00D4493E">
      <w:pPr>
        <w:spacing w:line="360" w:lineRule="auto"/>
        <w:jc w:val="both"/>
        <w:rPr>
          <w:rFonts w:ascii="Arial" w:hAnsi="Arial" w:cs="Arial"/>
          <w:sz w:val="22"/>
          <w:szCs w:val="22"/>
        </w:rPr>
      </w:pPr>
      <w:r w:rsidRPr="00DA0D39">
        <w:rPr>
          <w:rFonts w:ascii="Arial" w:hAnsi="Arial" w:cs="Arial"/>
          <w:sz w:val="22"/>
          <w:szCs w:val="22"/>
        </w:rPr>
        <w:t xml:space="preserve">Bhattacharyya, O. et al. (2022) ‘Complementary and alternative approaches in community health’, </w:t>
      </w:r>
      <w:r w:rsidRPr="00DA0D39">
        <w:rPr>
          <w:rFonts w:ascii="Arial" w:hAnsi="Arial" w:cs="Arial"/>
          <w:i/>
          <w:iCs/>
          <w:sz w:val="22"/>
          <w:szCs w:val="22"/>
        </w:rPr>
        <w:t>Journal of Community Health Practice.</w:t>
      </w:r>
    </w:p>
    <w:p w14:paraId="75E8C3FA" w14:textId="77777777" w:rsidR="00D4493E" w:rsidRPr="00DA0D39" w:rsidRDefault="00D4493E" w:rsidP="00D4493E">
      <w:pPr>
        <w:spacing w:line="360" w:lineRule="auto"/>
        <w:jc w:val="both"/>
        <w:rPr>
          <w:rFonts w:ascii="Arial" w:hAnsi="Arial" w:cs="Arial"/>
          <w:sz w:val="22"/>
          <w:szCs w:val="22"/>
        </w:rPr>
      </w:pPr>
      <w:r w:rsidRPr="00DA0D39">
        <w:rPr>
          <w:rFonts w:ascii="Arial" w:hAnsi="Arial" w:cs="Arial"/>
          <w:sz w:val="22"/>
          <w:szCs w:val="22"/>
        </w:rPr>
        <w:t>BMC Medical Informatics and Decision Making (2022) ‘Digital systems and accuracy in multidisciplinary care.’</w:t>
      </w:r>
    </w:p>
    <w:p w14:paraId="7DB341BB" w14:textId="77777777" w:rsidR="00D4493E" w:rsidRPr="00DA0D39" w:rsidRDefault="00D4493E" w:rsidP="00D4493E">
      <w:pPr>
        <w:spacing w:line="360" w:lineRule="auto"/>
        <w:jc w:val="both"/>
        <w:rPr>
          <w:rFonts w:ascii="Arial" w:hAnsi="Arial" w:cs="Arial"/>
          <w:sz w:val="22"/>
          <w:szCs w:val="22"/>
        </w:rPr>
      </w:pPr>
      <w:r w:rsidRPr="00DA0D39">
        <w:rPr>
          <w:rFonts w:ascii="Arial" w:hAnsi="Arial" w:cs="Arial"/>
          <w:sz w:val="22"/>
          <w:szCs w:val="22"/>
        </w:rPr>
        <w:t xml:space="preserve">Cameron, A., Lart, R., Bostock, L. and Coomber, C. (2014) ‘Factors that promote and hinder joint working’, </w:t>
      </w:r>
      <w:r w:rsidRPr="00DA0D39">
        <w:rPr>
          <w:rFonts w:ascii="Arial" w:hAnsi="Arial" w:cs="Arial"/>
          <w:i/>
          <w:iCs/>
          <w:sz w:val="22"/>
          <w:szCs w:val="22"/>
        </w:rPr>
        <w:t>Health and Social Care in the Community</w:t>
      </w:r>
      <w:r w:rsidRPr="00DA0D39">
        <w:rPr>
          <w:rFonts w:ascii="Arial" w:hAnsi="Arial" w:cs="Arial"/>
          <w:sz w:val="22"/>
          <w:szCs w:val="22"/>
        </w:rPr>
        <w:t>, 22(3), pp. 299–308.</w:t>
      </w:r>
    </w:p>
    <w:p w14:paraId="60EDA322" w14:textId="77777777" w:rsidR="00D4493E" w:rsidRPr="00DA0D39" w:rsidRDefault="00D4493E" w:rsidP="00D4493E">
      <w:pPr>
        <w:spacing w:line="360" w:lineRule="auto"/>
        <w:jc w:val="both"/>
        <w:rPr>
          <w:rFonts w:ascii="Arial" w:hAnsi="Arial" w:cs="Arial"/>
          <w:sz w:val="22"/>
          <w:szCs w:val="22"/>
        </w:rPr>
      </w:pPr>
      <w:r w:rsidRPr="00DA0D39">
        <w:rPr>
          <w:rFonts w:ascii="Arial" w:hAnsi="Arial" w:cs="Arial"/>
          <w:sz w:val="22"/>
          <w:szCs w:val="22"/>
        </w:rPr>
        <w:t>Care Act 2014. London: The Stationery Office.</w:t>
      </w:r>
    </w:p>
    <w:p w14:paraId="17984777" w14:textId="77777777" w:rsidR="00D4493E" w:rsidRPr="00DA0D39" w:rsidRDefault="00D4493E" w:rsidP="00D4493E">
      <w:pPr>
        <w:spacing w:line="360" w:lineRule="auto"/>
        <w:jc w:val="both"/>
        <w:rPr>
          <w:rFonts w:ascii="Arial" w:hAnsi="Arial" w:cs="Arial"/>
          <w:sz w:val="22"/>
          <w:szCs w:val="22"/>
        </w:rPr>
      </w:pPr>
      <w:r w:rsidRPr="00DA0D39">
        <w:rPr>
          <w:rFonts w:ascii="Arial" w:hAnsi="Arial" w:cs="Arial"/>
          <w:sz w:val="22"/>
          <w:szCs w:val="22"/>
        </w:rPr>
        <w:t xml:space="preserve">Coulter, A. and Collins, A. (2011) </w:t>
      </w:r>
      <w:r w:rsidRPr="00DA0D39">
        <w:rPr>
          <w:rFonts w:ascii="Arial" w:hAnsi="Arial" w:cs="Arial"/>
          <w:i/>
          <w:iCs/>
          <w:sz w:val="22"/>
          <w:szCs w:val="22"/>
        </w:rPr>
        <w:t>Making shared decision</w:t>
      </w:r>
      <w:r w:rsidRPr="00DA0D39">
        <w:rPr>
          <w:rFonts w:ascii="Arial" w:hAnsi="Arial" w:cs="Arial"/>
          <w:i/>
          <w:iCs/>
          <w:sz w:val="22"/>
          <w:szCs w:val="22"/>
        </w:rPr>
        <w:noBreakHyphen/>
        <w:t>making a reality.</w:t>
      </w:r>
      <w:r w:rsidRPr="00DA0D39">
        <w:rPr>
          <w:rFonts w:ascii="Arial" w:hAnsi="Arial" w:cs="Arial"/>
          <w:sz w:val="22"/>
          <w:szCs w:val="22"/>
        </w:rPr>
        <w:t xml:space="preserve"> London: The King’s Fund.</w:t>
      </w:r>
    </w:p>
    <w:p w14:paraId="47FA5A3A" w14:textId="77777777" w:rsidR="00D4493E" w:rsidRPr="00DA0D39" w:rsidRDefault="00D4493E" w:rsidP="00D4493E">
      <w:pPr>
        <w:spacing w:line="360" w:lineRule="auto"/>
        <w:jc w:val="both"/>
        <w:rPr>
          <w:rFonts w:ascii="Arial" w:hAnsi="Arial" w:cs="Arial"/>
          <w:sz w:val="22"/>
          <w:szCs w:val="22"/>
        </w:rPr>
      </w:pPr>
      <w:r w:rsidRPr="00DA0D39">
        <w:rPr>
          <w:rFonts w:ascii="Arial" w:hAnsi="Arial" w:cs="Arial"/>
          <w:sz w:val="22"/>
          <w:szCs w:val="22"/>
        </w:rPr>
        <w:t>Equality Act 2010. London: The Stationery Office.</w:t>
      </w:r>
    </w:p>
    <w:p w14:paraId="6A642D2C" w14:textId="77777777" w:rsidR="00D4493E" w:rsidRPr="00DA0D39" w:rsidRDefault="00D4493E" w:rsidP="00D4493E">
      <w:pPr>
        <w:spacing w:line="360" w:lineRule="auto"/>
        <w:jc w:val="both"/>
        <w:rPr>
          <w:rFonts w:ascii="Arial" w:hAnsi="Arial" w:cs="Arial"/>
          <w:sz w:val="22"/>
          <w:szCs w:val="22"/>
        </w:rPr>
      </w:pPr>
      <w:r w:rsidRPr="00DA0D39">
        <w:rPr>
          <w:rFonts w:ascii="Arial" w:hAnsi="Arial" w:cs="Arial"/>
          <w:sz w:val="22"/>
          <w:szCs w:val="22"/>
        </w:rPr>
        <w:t xml:space="preserve">Glasby, J. (2026) </w:t>
      </w:r>
      <w:r w:rsidRPr="00DA0D39">
        <w:rPr>
          <w:rFonts w:ascii="Arial" w:hAnsi="Arial" w:cs="Arial"/>
          <w:i/>
          <w:iCs/>
          <w:sz w:val="22"/>
          <w:szCs w:val="22"/>
        </w:rPr>
        <w:t>Understanding health and social care integration.</w:t>
      </w:r>
      <w:r w:rsidRPr="00DA0D39">
        <w:rPr>
          <w:rFonts w:ascii="Arial" w:hAnsi="Arial" w:cs="Arial"/>
          <w:sz w:val="22"/>
          <w:szCs w:val="22"/>
        </w:rPr>
        <w:t xml:space="preserve"> London: Palgrave.</w:t>
      </w:r>
    </w:p>
    <w:p w14:paraId="2025E37A" w14:textId="77777777" w:rsidR="00D4493E" w:rsidRPr="00DA0D39" w:rsidRDefault="00D4493E" w:rsidP="00D4493E">
      <w:pPr>
        <w:spacing w:line="360" w:lineRule="auto"/>
        <w:jc w:val="both"/>
        <w:rPr>
          <w:rFonts w:ascii="Arial" w:hAnsi="Arial" w:cs="Arial"/>
          <w:sz w:val="22"/>
          <w:szCs w:val="22"/>
        </w:rPr>
      </w:pPr>
      <w:r w:rsidRPr="00DA0D39">
        <w:rPr>
          <w:rFonts w:ascii="Arial" w:hAnsi="Arial" w:cs="Arial"/>
          <w:sz w:val="22"/>
          <w:szCs w:val="22"/>
        </w:rPr>
        <w:t>Health and Care Act 2022. London: The Stationery Office.</w:t>
      </w:r>
    </w:p>
    <w:p w14:paraId="689487C6" w14:textId="77777777" w:rsidR="00D4493E" w:rsidRPr="00DA0D39" w:rsidRDefault="00D4493E" w:rsidP="00D4493E">
      <w:pPr>
        <w:spacing w:line="360" w:lineRule="auto"/>
        <w:jc w:val="both"/>
        <w:rPr>
          <w:rFonts w:ascii="Arial" w:hAnsi="Arial" w:cs="Arial"/>
          <w:sz w:val="22"/>
          <w:szCs w:val="22"/>
        </w:rPr>
      </w:pPr>
      <w:r w:rsidRPr="00DA0D39">
        <w:rPr>
          <w:rFonts w:ascii="Arial" w:hAnsi="Arial" w:cs="Arial"/>
          <w:sz w:val="22"/>
          <w:szCs w:val="22"/>
        </w:rPr>
        <w:t>Health and Social Care Act 2012. London: The Stationery Office.</w:t>
      </w:r>
    </w:p>
    <w:p w14:paraId="2529A992" w14:textId="77777777" w:rsidR="00D4493E" w:rsidRPr="00DA0D39" w:rsidRDefault="00D4493E" w:rsidP="00D4493E">
      <w:pPr>
        <w:spacing w:line="360" w:lineRule="auto"/>
        <w:jc w:val="both"/>
        <w:rPr>
          <w:rFonts w:ascii="Arial" w:hAnsi="Arial" w:cs="Arial"/>
          <w:sz w:val="22"/>
          <w:szCs w:val="22"/>
        </w:rPr>
      </w:pPr>
      <w:r w:rsidRPr="00DA0D39">
        <w:rPr>
          <w:rFonts w:ascii="Arial" w:hAnsi="Arial" w:cs="Arial"/>
          <w:sz w:val="22"/>
          <w:szCs w:val="22"/>
        </w:rPr>
        <w:t>Human Rights Act 1998. London: The Stationery Office.</w:t>
      </w:r>
    </w:p>
    <w:p w14:paraId="4A5B1C6E" w14:textId="77777777" w:rsidR="00D4493E" w:rsidRPr="00DA0D39" w:rsidRDefault="00D4493E" w:rsidP="00D4493E">
      <w:pPr>
        <w:spacing w:line="360" w:lineRule="auto"/>
        <w:jc w:val="both"/>
        <w:rPr>
          <w:rFonts w:ascii="Arial" w:hAnsi="Arial" w:cs="Arial"/>
          <w:sz w:val="22"/>
          <w:szCs w:val="22"/>
        </w:rPr>
      </w:pPr>
      <w:r w:rsidRPr="00DA0D39">
        <w:rPr>
          <w:rFonts w:ascii="Arial" w:hAnsi="Arial" w:cs="Arial"/>
          <w:sz w:val="22"/>
          <w:szCs w:val="22"/>
        </w:rPr>
        <w:t xml:space="preserve">Maslow, A.H. (1943) ‘A theory of human motivation’, </w:t>
      </w:r>
      <w:r w:rsidRPr="00DA0D39">
        <w:rPr>
          <w:rFonts w:ascii="Arial" w:hAnsi="Arial" w:cs="Arial"/>
          <w:i/>
          <w:iCs/>
          <w:sz w:val="22"/>
          <w:szCs w:val="22"/>
        </w:rPr>
        <w:t>Psychological Review</w:t>
      </w:r>
      <w:r w:rsidRPr="00DA0D39">
        <w:rPr>
          <w:rFonts w:ascii="Arial" w:hAnsi="Arial" w:cs="Arial"/>
          <w:sz w:val="22"/>
          <w:szCs w:val="22"/>
        </w:rPr>
        <w:t>, 50(4), pp. 370–396.</w:t>
      </w:r>
    </w:p>
    <w:p w14:paraId="245E925C" w14:textId="77777777" w:rsidR="00D4493E" w:rsidRPr="00DA0D39" w:rsidRDefault="00D4493E" w:rsidP="00D4493E">
      <w:pPr>
        <w:spacing w:line="360" w:lineRule="auto"/>
        <w:jc w:val="both"/>
        <w:rPr>
          <w:rFonts w:ascii="Arial" w:hAnsi="Arial" w:cs="Arial"/>
          <w:sz w:val="22"/>
          <w:szCs w:val="22"/>
        </w:rPr>
      </w:pPr>
      <w:r w:rsidRPr="00DA0D39">
        <w:rPr>
          <w:rFonts w:ascii="Arial" w:hAnsi="Arial" w:cs="Arial"/>
          <w:sz w:val="22"/>
          <w:szCs w:val="22"/>
        </w:rPr>
        <w:t xml:space="preserve">Miers, D. et al. (2010) ‘Professional identity and interprofessional barriers’, </w:t>
      </w:r>
      <w:r w:rsidRPr="00DA0D39">
        <w:rPr>
          <w:rFonts w:ascii="Arial" w:hAnsi="Arial" w:cs="Arial"/>
          <w:i/>
          <w:iCs/>
          <w:sz w:val="22"/>
          <w:szCs w:val="22"/>
        </w:rPr>
        <w:t>Journal of Interprofessional Care</w:t>
      </w:r>
      <w:r w:rsidRPr="00DA0D39">
        <w:rPr>
          <w:rFonts w:ascii="Arial" w:hAnsi="Arial" w:cs="Arial"/>
          <w:sz w:val="22"/>
          <w:szCs w:val="22"/>
        </w:rPr>
        <w:t>, 24(5), pp. 499–508.</w:t>
      </w:r>
    </w:p>
    <w:p w14:paraId="5B21AA90" w14:textId="77777777" w:rsidR="00D4493E" w:rsidRPr="00DA0D39" w:rsidRDefault="00D4493E" w:rsidP="00D4493E">
      <w:pPr>
        <w:spacing w:line="360" w:lineRule="auto"/>
        <w:jc w:val="both"/>
        <w:rPr>
          <w:rFonts w:ascii="Arial" w:hAnsi="Arial" w:cs="Arial"/>
          <w:sz w:val="22"/>
          <w:szCs w:val="22"/>
        </w:rPr>
      </w:pPr>
      <w:r w:rsidRPr="00DA0D39">
        <w:rPr>
          <w:rFonts w:ascii="Arial" w:hAnsi="Arial" w:cs="Arial"/>
          <w:sz w:val="22"/>
          <w:szCs w:val="22"/>
        </w:rPr>
        <w:t xml:space="preserve">National Institute for Health and Care Excellence (NICE) (2021) </w:t>
      </w:r>
      <w:r w:rsidRPr="00DA0D39">
        <w:rPr>
          <w:rFonts w:ascii="Arial" w:hAnsi="Arial" w:cs="Arial"/>
          <w:i/>
          <w:iCs/>
          <w:sz w:val="22"/>
          <w:szCs w:val="22"/>
        </w:rPr>
        <w:t>Shared decision making (NG197).</w:t>
      </w:r>
      <w:r w:rsidRPr="00DA0D39">
        <w:rPr>
          <w:rFonts w:ascii="Arial" w:hAnsi="Arial" w:cs="Arial"/>
          <w:sz w:val="22"/>
          <w:szCs w:val="22"/>
        </w:rPr>
        <w:t xml:space="preserve"> London: NICE. Available at: </w:t>
      </w:r>
      <w:hyperlink r:id="rId8" w:history="1">
        <w:r w:rsidRPr="00DA0D39">
          <w:rPr>
            <w:rStyle w:val="Hyperlink"/>
            <w:rFonts w:ascii="Arial" w:hAnsi="Arial" w:cs="Arial"/>
            <w:sz w:val="22"/>
            <w:szCs w:val="22"/>
          </w:rPr>
          <w:t>https://www.nice.org.uk/guidance/ng197</w:t>
        </w:r>
      </w:hyperlink>
      <w:r w:rsidRPr="00DA0D39">
        <w:rPr>
          <w:rFonts w:ascii="Arial" w:hAnsi="Arial" w:cs="Arial"/>
          <w:sz w:val="22"/>
          <w:szCs w:val="22"/>
        </w:rPr>
        <w:t xml:space="preserve"> (Accessed: 22 July 2026).</w:t>
      </w:r>
    </w:p>
    <w:p w14:paraId="359939AB" w14:textId="77777777" w:rsidR="00D4493E" w:rsidRPr="00DA0D39" w:rsidRDefault="00D4493E" w:rsidP="00D4493E">
      <w:pPr>
        <w:spacing w:line="360" w:lineRule="auto"/>
        <w:jc w:val="both"/>
        <w:rPr>
          <w:rFonts w:ascii="Arial" w:hAnsi="Arial" w:cs="Arial"/>
          <w:sz w:val="22"/>
          <w:szCs w:val="22"/>
        </w:rPr>
      </w:pPr>
      <w:r w:rsidRPr="00DA0D39">
        <w:rPr>
          <w:rFonts w:ascii="Arial" w:hAnsi="Arial" w:cs="Arial"/>
          <w:sz w:val="22"/>
          <w:szCs w:val="22"/>
        </w:rPr>
        <w:t xml:space="preserve">NHS England (2020) </w:t>
      </w:r>
      <w:r w:rsidRPr="00DA0D39">
        <w:rPr>
          <w:rFonts w:ascii="Arial" w:hAnsi="Arial" w:cs="Arial"/>
          <w:i/>
          <w:iCs/>
          <w:sz w:val="22"/>
          <w:szCs w:val="22"/>
        </w:rPr>
        <w:t>The NHS Long Term Plan.</w:t>
      </w:r>
      <w:r w:rsidRPr="00DA0D39">
        <w:rPr>
          <w:rFonts w:ascii="Arial" w:hAnsi="Arial" w:cs="Arial"/>
          <w:sz w:val="22"/>
          <w:szCs w:val="22"/>
        </w:rPr>
        <w:t xml:space="preserve"> London: NHS England. Available at: </w:t>
      </w:r>
      <w:hyperlink r:id="rId9" w:history="1">
        <w:r w:rsidRPr="00DA0D39">
          <w:rPr>
            <w:rStyle w:val="Hyperlink"/>
            <w:rFonts w:ascii="Arial" w:hAnsi="Arial" w:cs="Arial"/>
            <w:sz w:val="22"/>
            <w:szCs w:val="22"/>
          </w:rPr>
          <w:t>https://www.longtermplan.nhs.uk</w:t>
        </w:r>
      </w:hyperlink>
      <w:r w:rsidRPr="00DA0D39">
        <w:rPr>
          <w:rFonts w:ascii="Arial" w:hAnsi="Arial" w:cs="Arial"/>
          <w:sz w:val="22"/>
          <w:szCs w:val="22"/>
        </w:rPr>
        <w:t xml:space="preserve"> (Accessed: 22 July 2026).</w:t>
      </w:r>
    </w:p>
    <w:p w14:paraId="5246296A" w14:textId="77777777" w:rsidR="00D4493E" w:rsidRPr="00DA0D39" w:rsidRDefault="00D4493E" w:rsidP="00D4493E">
      <w:pPr>
        <w:spacing w:line="360" w:lineRule="auto"/>
        <w:jc w:val="both"/>
        <w:rPr>
          <w:rFonts w:ascii="Arial" w:hAnsi="Arial" w:cs="Arial"/>
          <w:sz w:val="22"/>
          <w:szCs w:val="22"/>
        </w:rPr>
      </w:pPr>
      <w:r w:rsidRPr="00DA0D39">
        <w:rPr>
          <w:rFonts w:ascii="Arial" w:hAnsi="Arial" w:cs="Arial"/>
          <w:sz w:val="22"/>
          <w:szCs w:val="22"/>
        </w:rPr>
        <w:t xml:space="preserve">O’Carroll, V. et al. (2016) ‘Interprofessional education and collaborative practice’, </w:t>
      </w:r>
      <w:r w:rsidRPr="00DA0D39">
        <w:rPr>
          <w:rFonts w:ascii="Arial" w:hAnsi="Arial" w:cs="Arial"/>
          <w:i/>
          <w:iCs/>
          <w:sz w:val="22"/>
          <w:szCs w:val="22"/>
        </w:rPr>
        <w:t>Journal of Interprofessional Care</w:t>
      </w:r>
      <w:r w:rsidRPr="00DA0D39">
        <w:rPr>
          <w:rFonts w:ascii="Arial" w:hAnsi="Arial" w:cs="Arial"/>
          <w:sz w:val="22"/>
          <w:szCs w:val="22"/>
        </w:rPr>
        <w:t>, 30(2), pp. 207–213.</w:t>
      </w:r>
    </w:p>
    <w:p w14:paraId="68AFAE9B" w14:textId="76FC5E57" w:rsidR="00D4493E" w:rsidRPr="00DA0D39" w:rsidRDefault="00D4493E" w:rsidP="00D4493E">
      <w:pPr>
        <w:spacing w:line="360" w:lineRule="auto"/>
        <w:jc w:val="both"/>
        <w:rPr>
          <w:rFonts w:ascii="Arial" w:hAnsi="Arial" w:cs="Arial"/>
          <w:sz w:val="22"/>
          <w:szCs w:val="22"/>
        </w:rPr>
      </w:pPr>
      <w:r w:rsidRPr="00DA0D39">
        <w:rPr>
          <w:rFonts w:ascii="Arial" w:hAnsi="Arial" w:cs="Arial"/>
          <w:sz w:val="22"/>
          <w:szCs w:val="22"/>
        </w:rPr>
        <w:lastRenderedPageBreak/>
        <w:t xml:space="preserve">Royal College of Nursing (RCN) (2019) </w:t>
      </w:r>
      <w:r w:rsidRPr="00DA0D39">
        <w:rPr>
          <w:rFonts w:ascii="Arial" w:hAnsi="Arial" w:cs="Arial"/>
          <w:i/>
          <w:iCs/>
          <w:sz w:val="22"/>
          <w:szCs w:val="22"/>
        </w:rPr>
        <w:t>Principles of Nursing Practice.</w:t>
      </w:r>
      <w:r w:rsidRPr="00DA0D39">
        <w:rPr>
          <w:rFonts w:ascii="Arial" w:hAnsi="Arial" w:cs="Arial"/>
          <w:sz w:val="22"/>
          <w:szCs w:val="22"/>
        </w:rPr>
        <w:t xml:space="preserve"> London: RCN. Available at:</w:t>
      </w:r>
      <w:hyperlink r:id="rId10" w:history="1">
        <w:r w:rsidR="0099077D" w:rsidRPr="003F273A">
          <w:rPr>
            <w:rStyle w:val="Hyperlink"/>
            <w:rFonts w:ascii="Arial" w:hAnsi="Arial" w:cs="Arial"/>
            <w:sz w:val="22"/>
            <w:szCs w:val="22"/>
          </w:rPr>
          <w:t>https://www.rcn.org.uk/professional-development/principles-of-nursing-practice</w:t>
        </w:r>
      </w:hyperlink>
      <w:r w:rsidRPr="00DA0D39">
        <w:rPr>
          <w:rFonts w:ascii="Arial" w:hAnsi="Arial" w:cs="Arial"/>
          <w:sz w:val="22"/>
          <w:szCs w:val="22"/>
        </w:rPr>
        <w:t xml:space="preserve"> (Accessed: 22 July 2026).</w:t>
      </w:r>
    </w:p>
    <w:p w14:paraId="36CA6E1D" w14:textId="77777777" w:rsidR="00D4493E" w:rsidRPr="00DA0D39" w:rsidRDefault="00D4493E" w:rsidP="00D4493E">
      <w:pPr>
        <w:spacing w:line="360" w:lineRule="auto"/>
        <w:jc w:val="both"/>
        <w:rPr>
          <w:rFonts w:ascii="Arial" w:hAnsi="Arial" w:cs="Arial"/>
          <w:sz w:val="22"/>
          <w:szCs w:val="22"/>
        </w:rPr>
      </w:pPr>
      <w:r w:rsidRPr="00DA0D39">
        <w:rPr>
          <w:rFonts w:ascii="Arial" w:hAnsi="Arial" w:cs="Arial"/>
          <w:sz w:val="22"/>
          <w:szCs w:val="22"/>
        </w:rPr>
        <w:t xml:space="preserve">Williams, G. (2011) ‘Resource allocation and fairness in primary care’, </w:t>
      </w:r>
      <w:r w:rsidRPr="00DA0D39">
        <w:rPr>
          <w:rFonts w:ascii="Arial" w:hAnsi="Arial" w:cs="Arial"/>
          <w:i/>
          <w:iCs/>
          <w:sz w:val="22"/>
          <w:szCs w:val="22"/>
        </w:rPr>
        <w:t>British Journal of General Practice</w:t>
      </w:r>
      <w:r w:rsidRPr="00DA0D39">
        <w:rPr>
          <w:rFonts w:ascii="Arial" w:hAnsi="Arial" w:cs="Arial"/>
          <w:sz w:val="22"/>
          <w:szCs w:val="22"/>
        </w:rPr>
        <w:t>, 61(593), pp. 4–6.</w:t>
      </w:r>
    </w:p>
    <w:p w14:paraId="0EEF2767" w14:textId="77777777" w:rsidR="00D4493E" w:rsidRPr="00DA0D39" w:rsidRDefault="00D4493E" w:rsidP="00D4493E">
      <w:pPr>
        <w:spacing w:line="360" w:lineRule="auto"/>
        <w:jc w:val="both"/>
        <w:rPr>
          <w:rFonts w:ascii="Arial" w:hAnsi="Arial" w:cs="Arial"/>
          <w:sz w:val="22"/>
          <w:szCs w:val="22"/>
        </w:rPr>
      </w:pPr>
      <w:r w:rsidRPr="00DA0D39">
        <w:rPr>
          <w:rFonts w:ascii="Arial" w:hAnsi="Arial" w:cs="Arial"/>
          <w:sz w:val="22"/>
          <w:szCs w:val="22"/>
        </w:rPr>
        <w:t xml:space="preserve">World Health Organization (WHO) (2023) </w:t>
      </w:r>
      <w:r w:rsidRPr="00DA0D39">
        <w:rPr>
          <w:rFonts w:ascii="Arial" w:hAnsi="Arial" w:cs="Arial"/>
          <w:i/>
          <w:iCs/>
          <w:sz w:val="22"/>
          <w:szCs w:val="22"/>
        </w:rPr>
        <w:t>People</w:t>
      </w:r>
      <w:r w:rsidRPr="00DA0D39">
        <w:rPr>
          <w:rFonts w:ascii="Arial" w:hAnsi="Arial" w:cs="Arial"/>
          <w:i/>
          <w:iCs/>
          <w:sz w:val="22"/>
          <w:szCs w:val="22"/>
        </w:rPr>
        <w:noBreakHyphen/>
        <w:t>centred care framework.</w:t>
      </w:r>
      <w:r w:rsidRPr="00DA0D39">
        <w:rPr>
          <w:rFonts w:ascii="Arial" w:hAnsi="Arial" w:cs="Arial"/>
          <w:sz w:val="22"/>
          <w:szCs w:val="22"/>
        </w:rPr>
        <w:t xml:space="preserve"> Geneva: WHO. Available at: </w:t>
      </w:r>
      <w:hyperlink r:id="rId11" w:history="1">
        <w:r w:rsidRPr="00DA0D39">
          <w:rPr>
            <w:rStyle w:val="Hyperlink"/>
            <w:rFonts w:ascii="Arial" w:hAnsi="Arial" w:cs="Arial"/>
            <w:sz w:val="22"/>
            <w:szCs w:val="22"/>
          </w:rPr>
          <w:t>https://www.who.int/publications/i/item/people-centred-care-framework</w:t>
        </w:r>
      </w:hyperlink>
      <w:r w:rsidRPr="00DA0D39">
        <w:rPr>
          <w:rFonts w:ascii="Arial" w:hAnsi="Arial" w:cs="Arial"/>
          <w:sz w:val="22"/>
          <w:szCs w:val="22"/>
        </w:rPr>
        <w:t xml:space="preserve"> (Accessed: 22 July 2026).</w:t>
      </w:r>
    </w:p>
    <w:p w14:paraId="7152544D" w14:textId="77777777" w:rsidR="00FD42E9" w:rsidRPr="00D4493E" w:rsidRDefault="00FD42E9" w:rsidP="00D4493E">
      <w:pPr>
        <w:spacing w:line="360" w:lineRule="auto"/>
        <w:jc w:val="both"/>
        <w:rPr>
          <w:rFonts w:ascii="Arial" w:hAnsi="Arial" w:cs="Arial"/>
          <w:sz w:val="22"/>
          <w:szCs w:val="22"/>
        </w:rPr>
      </w:pPr>
    </w:p>
    <w:sectPr w:rsidR="00FD42E9" w:rsidRPr="00D4493E">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E070EC" w14:textId="77777777" w:rsidR="00A331E5" w:rsidRDefault="00A331E5" w:rsidP="00FC4125">
      <w:pPr>
        <w:spacing w:after="0" w:line="240" w:lineRule="auto"/>
      </w:pPr>
      <w:r>
        <w:separator/>
      </w:r>
    </w:p>
  </w:endnote>
  <w:endnote w:type="continuationSeparator" w:id="0">
    <w:p w14:paraId="5493BCC6" w14:textId="77777777" w:rsidR="00A331E5" w:rsidRDefault="00A331E5" w:rsidP="00FC41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4217109"/>
      <w:docPartObj>
        <w:docPartGallery w:val="Page Numbers (Bottom of Page)"/>
        <w:docPartUnique/>
      </w:docPartObj>
    </w:sdtPr>
    <w:sdtContent>
      <w:p w14:paraId="0743F550" w14:textId="1B887073" w:rsidR="00FC4125" w:rsidRDefault="00FC4125">
        <w:pPr>
          <w:pStyle w:val="Footer"/>
          <w:jc w:val="center"/>
        </w:pPr>
        <w:r>
          <w:fldChar w:fldCharType="begin"/>
        </w:r>
        <w:r>
          <w:instrText>PAGE   \* MERGEFORMAT</w:instrText>
        </w:r>
        <w:r>
          <w:fldChar w:fldCharType="separate"/>
        </w:r>
        <w:r>
          <w:t>2</w:t>
        </w:r>
        <w:r>
          <w:fldChar w:fldCharType="end"/>
        </w:r>
      </w:p>
    </w:sdtContent>
  </w:sdt>
  <w:p w14:paraId="5A47299D" w14:textId="77777777" w:rsidR="00FC4125" w:rsidRDefault="00FC41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D2ECAD" w14:textId="77777777" w:rsidR="00A331E5" w:rsidRDefault="00A331E5" w:rsidP="00FC4125">
      <w:pPr>
        <w:spacing w:after="0" w:line="240" w:lineRule="auto"/>
      </w:pPr>
      <w:r>
        <w:separator/>
      </w:r>
    </w:p>
  </w:footnote>
  <w:footnote w:type="continuationSeparator" w:id="0">
    <w:p w14:paraId="7AE8041B" w14:textId="77777777" w:rsidR="00A331E5" w:rsidRDefault="00A331E5" w:rsidP="00FC41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53085"/>
    <w:multiLevelType w:val="multilevel"/>
    <w:tmpl w:val="36666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A547A"/>
    <w:multiLevelType w:val="hybridMultilevel"/>
    <w:tmpl w:val="38DA5C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574049"/>
    <w:multiLevelType w:val="hybridMultilevel"/>
    <w:tmpl w:val="44144732"/>
    <w:lvl w:ilvl="0" w:tplc="6B227E0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8B4621"/>
    <w:multiLevelType w:val="multilevel"/>
    <w:tmpl w:val="64B63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4430C5"/>
    <w:multiLevelType w:val="hybridMultilevel"/>
    <w:tmpl w:val="4FC6F8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486EC4"/>
    <w:multiLevelType w:val="multilevel"/>
    <w:tmpl w:val="6ADAAE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1DE4320"/>
    <w:multiLevelType w:val="hybridMultilevel"/>
    <w:tmpl w:val="F408613E"/>
    <w:lvl w:ilvl="0" w:tplc="41A4B31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1776187">
    <w:abstractNumId w:val="0"/>
  </w:num>
  <w:num w:numId="2" w16cid:durableId="1082532863">
    <w:abstractNumId w:val="5"/>
  </w:num>
  <w:num w:numId="3" w16cid:durableId="1340547862">
    <w:abstractNumId w:val="3"/>
  </w:num>
  <w:num w:numId="4" w16cid:durableId="1604536247">
    <w:abstractNumId w:val="1"/>
  </w:num>
  <w:num w:numId="5" w16cid:durableId="969093724">
    <w:abstractNumId w:val="6"/>
  </w:num>
  <w:num w:numId="6" w16cid:durableId="1240098417">
    <w:abstractNumId w:val="4"/>
  </w:num>
  <w:num w:numId="7" w16cid:durableId="7831130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2E9"/>
    <w:rsid w:val="00053BFC"/>
    <w:rsid w:val="00061009"/>
    <w:rsid w:val="000B2984"/>
    <w:rsid w:val="000B791E"/>
    <w:rsid w:val="000C62C2"/>
    <w:rsid w:val="000D4676"/>
    <w:rsid w:val="000F6DCA"/>
    <w:rsid w:val="00206698"/>
    <w:rsid w:val="0036007D"/>
    <w:rsid w:val="00440FF9"/>
    <w:rsid w:val="0045351E"/>
    <w:rsid w:val="00481634"/>
    <w:rsid w:val="0057537D"/>
    <w:rsid w:val="00583D97"/>
    <w:rsid w:val="005A7B4B"/>
    <w:rsid w:val="005E38CB"/>
    <w:rsid w:val="00691DE2"/>
    <w:rsid w:val="006E2EB1"/>
    <w:rsid w:val="00751C99"/>
    <w:rsid w:val="00761E16"/>
    <w:rsid w:val="007F1D20"/>
    <w:rsid w:val="00800139"/>
    <w:rsid w:val="00847323"/>
    <w:rsid w:val="00882179"/>
    <w:rsid w:val="008D056E"/>
    <w:rsid w:val="00936D89"/>
    <w:rsid w:val="0099077D"/>
    <w:rsid w:val="00A05181"/>
    <w:rsid w:val="00A23123"/>
    <w:rsid w:val="00A331E5"/>
    <w:rsid w:val="00A47E91"/>
    <w:rsid w:val="00A612DE"/>
    <w:rsid w:val="00A97A93"/>
    <w:rsid w:val="00AC5252"/>
    <w:rsid w:val="00AF75FE"/>
    <w:rsid w:val="00B0189B"/>
    <w:rsid w:val="00C47AF7"/>
    <w:rsid w:val="00D4493E"/>
    <w:rsid w:val="00DA0D39"/>
    <w:rsid w:val="00F052CB"/>
    <w:rsid w:val="00FC4125"/>
    <w:rsid w:val="00FD42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7B314"/>
  <w15:chartTrackingRefBased/>
  <w15:docId w15:val="{39329939-12B6-4FE1-A310-766C86640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42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D42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D42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42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42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42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42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42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42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42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D42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D42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42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42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42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42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42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42E9"/>
    <w:rPr>
      <w:rFonts w:eastAsiaTheme="majorEastAsia" w:cstheme="majorBidi"/>
      <w:color w:val="272727" w:themeColor="text1" w:themeTint="D8"/>
    </w:rPr>
  </w:style>
  <w:style w:type="paragraph" w:styleId="Title">
    <w:name w:val="Title"/>
    <w:basedOn w:val="Normal"/>
    <w:next w:val="Normal"/>
    <w:link w:val="TitleChar"/>
    <w:uiPriority w:val="10"/>
    <w:qFormat/>
    <w:rsid w:val="00FD42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42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42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42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42E9"/>
    <w:pPr>
      <w:spacing w:before="160"/>
      <w:jc w:val="center"/>
    </w:pPr>
    <w:rPr>
      <w:i/>
      <w:iCs/>
      <w:color w:val="404040" w:themeColor="text1" w:themeTint="BF"/>
    </w:rPr>
  </w:style>
  <w:style w:type="character" w:customStyle="1" w:styleId="QuoteChar">
    <w:name w:val="Quote Char"/>
    <w:basedOn w:val="DefaultParagraphFont"/>
    <w:link w:val="Quote"/>
    <w:uiPriority w:val="29"/>
    <w:rsid w:val="00FD42E9"/>
    <w:rPr>
      <w:i/>
      <w:iCs/>
      <w:color w:val="404040" w:themeColor="text1" w:themeTint="BF"/>
    </w:rPr>
  </w:style>
  <w:style w:type="paragraph" w:styleId="ListParagraph">
    <w:name w:val="List Paragraph"/>
    <w:basedOn w:val="Normal"/>
    <w:uiPriority w:val="34"/>
    <w:qFormat/>
    <w:rsid w:val="00FD42E9"/>
    <w:pPr>
      <w:ind w:left="720"/>
      <w:contextualSpacing/>
    </w:pPr>
  </w:style>
  <w:style w:type="character" w:styleId="IntenseEmphasis">
    <w:name w:val="Intense Emphasis"/>
    <w:basedOn w:val="DefaultParagraphFont"/>
    <w:uiPriority w:val="21"/>
    <w:qFormat/>
    <w:rsid w:val="00FD42E9"/>
    <w:rPr>
      <w:i/>
      <w:iCs/>
      <w:color w:val="0F4761" w:themeColor="accent1" w:themeShade="BF"/>
    </w:rPr>
  </w:style>
  <w:style w:type="paragraph" w:styleId="IntenseQuote">
    <w:name w:val="Intense Quote"/>
    <w:basedOn w:val="Normal"/>
    <w:next w:val="Normal"/>
    <w:link w:val="IntenseQuoteChar"/>
    <w:uiPriority w:val="30"/>
    <w:qFormat/>
    <w:rsid w:val="00FD42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42E9"/>
    <w:rPr>
      <w:i/>
      <w:iCs/>
      <w:color w:val="0F4761" w:themeColor="accent1" w:themeShade="BF"/>
    </w:rPr>
  </w:style>
  <w:style w:type="character" w:styleId="IntenseReference">
    <w:name w:val="Intense Reference"/>
    <w:basedOn w:val="DefaultParagraphFont"/>
    <w:uiPriority w:val="32"/>
    <w:qFormat/>
    <w:rsid w:val="00FD42E9"/>
    <w:rPr>
      <w:b/>
      <w:bCs/>
      <w:smallCaps/>
      <w:color w:val="0F4761" w:themeColor="accent1" w:themeShade="BF"/>
      <w:spacing w:val="5"/>
    </w:rPr>
  </w:style>
  <w:style w:type="paragraph" w:styleId="Header">
    <w:name w:val="header"/>
    <w:basedOn w:val="Normal"/>
    <w:link w:val="HeaderChar"/>
    <w:uiPriority w:val="99"/>
    <w:unhideWhenUsed/>
    <w:rsid w:val="00FC41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4125"/>
  </w:style>
  <w:style w:type="paragraph" w:styleId="Footer">
    <w:name w:val="footer"/>
    <w:basedOn w:val="Normal"/>
    <w:link w:val="FooterChar"/>
    <w:uiPriority w:val="99"/>
    <w:unhideWhenUsed/>
    <w:rsid w:val="00FC41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4125"/>
  </w:style>
  <w:style w:type="character" w:styleId="Hyperlink">
    <w:name w:val="Hyperlink"/>
    <w:basedOn w:val="DefaultParagraphFont"/>
    <w:uiPriority w:val="99"/>
    <w:unhideWhenUsed/>
    <w:rsid w:val="00B0189B"/>
    <w:rPr>
      <w:color w:val="467886" w:themeColor="hyperlink"/>
      <w:u w:val="single"/>
    </w:rPr>
  </w:style>
  <w:style w:type="character" w:styleId="UnresolvedMention">
    <w:name w:val="Unresolved Mention"/>
    <w:basedOn w:val="DefaultParagraphFont"/>
    <w:uiPriority w:val="99"/>
    <w:semiHidden/>
    <w:unhideWhenUsed/>
    <w:rsid w:val="00B0189B"/>
    <w:rPr>
      <w:color w:val="605E5C"/>
      <w:shd w:val="clear" w:color="auto" w:fill="E1DFDD"/>
    </w:rPr>
  </w:style>
  <w:style w:type="paragraph" w:styleId="TOCHeading">
    <w:name w:val="TOC Heading"/>
    <w:basedOn w:val="Heading1"/>
    <w:next w:val="Normal"/>
    <w:uiPriority w:val="39"/>
    <w:unhideWhenUsed/>
    <w:qFormat/>
    <w:rsid w:val="00D4493E"/>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F052CB"/>
    <w:pPr>
      <w:spacing w:after="100"/>
      <w:ind w:left="240"/>
    </w:pPr>
  </w:style>
  <w:style w:type="paragraph" w:styleId="TOC3">
    <w:name w:val="toc 3"/>
    <w:basedOn w:val="Normal"/>
    <w:next w:val="Normal"/>
    <w:autoRedefine/>
    <w:uiPriority w:val="39"/>
    <w:unhideWhenUsed/>
    <w:rsid w:val="00F052C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guidance/ng19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ho.int/publications/i/item/people-centred-care-framework" TargetMode="External"/><Relationship Id="rId5" Type="http://schemas.openxmlformats.org/officeDocument/2006/relationships/footnotes" Target="footnotes.xml"/><Relationship Id="rId10" Type="http://schemas.openxmlformats.org/officeDocument/2006/relationships/hyperlink" Target="https://www.rcn.org.uk/professional-development/principles-of-nursing-practice" TargetMode="External"/><Relationship Id="rId4" Type="http://schemas.openxmlformats.org/officeDocument/2006/relationships/webSettings" Target="webSettings.xml"/><Relationship Id="rId9" Type="http://schemas.openxmlformats.org/officeDocument/2006/relationships/hyperlink" Target="https://www.longtermplan.nhs.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389</TotalTime>
  <Pages>10</Pages>
  <Words>3011</Words>
  <Characters>17169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Azhda Ali (2436859)</dc:creator>
  <cp:keywords/>
  <dc:description/>
  <cp:lastModifiedBy>Azhda Ali (2436859)</cp:lastModifiedBy>
  <cp:revision>13</cp:revision>
  <dcterms:created xsi:type="dcterms:W3CDTF">2026-07-16T05:59:00Z</dcterms:created>
  <dcterms:modified xsi:type="dcterms:W3CDTF">2026-07-22T18:21:00Z</dcterms:modified>
</cp:coreProperties>
</file>