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31012179"/>
        <w:docPartObj>
          <w:docPartGallery w:val="Cover Pages"/>
          <w:docPartUnique/>
        </w:docPartObj>
      </w:sdtPr>
      <w:sdtContent>
        <w:p w14:paraId="539DF14B" w14:textId="0BFDE137" w:rsidR="00525FE9" w:rsidRDefault="00525FE9">
          <w:r>
            <w:rPr>
              <w:noProof/>
            </w:rPr>
            <mc:AlternateContent>
              <mc:Choice Requires="wpg">
                <w:drawing>
                  <wp:anchor distT="0" distB="0" distL="114300" distR="114300" simplePos="0" relativeHeight="251662336" behindDoc="0" locked="0" layoutInCell="1" allowOverlap="1" wp14:anchorId="6D3EAF06" wp14:editId="204E9E70">
                    <wp:simplePos x="0" y="0"/>
                    <wp:positionH relativeFrom="page">
                      <wp:posOffset>222885</wp:posOffset>
                    </wp:positionH>
                    <wp:positionV relativeFrom="page">
                      <wp:posOffset>822048</wp:posOffset>
                    </wp:positionV>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27FA68" id="Group 157" o:spid="_x0000_s1026" style="position:absolute;margin-left:17.55pt;margin-top:64.75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LK8dSLeAAAACwEAAA8AAABkcnMvZG93&#10;bnJldi54bWxMj81ugzAQhO+V8g7WVuqtMdDmj2KipFIfoElV5ejgDaDgNcEmgT59N6f2uDOjmW+z&#10;9WAbccXO144UxNMIBFLhTE2lgq/9x/MShA+ajG4coYIRPazzyUOmU+Nu9InXXSgFl5BPtYIqhDaV&#10;0hcVWu2nrkVi7+Q6qwOfXSlNp29cbhuZRNFcWl0TL1S6xfcKi/Out7x7SLZ9/DOOJA/f5207zi/9&#10;60Wpp8dh8wYi4BD+wnDHZ3TImenoejJeNApeZjEnWU9WMxD3QLxcsHRkK4lWIPNM/v8h/wU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0B45673" w14:textId="25B5BAE5" w:rsidR="00525FE9" w:rsidRDefault="001E2896">
          <w:pPr>
            <w:rPr>
              <w:rFonts w:asciiTheme="majorHAnsi" w:eastAsiaTheme="majorEastAsia" w:hAnsiTheme="majorHAnsi" w:cstheme="majorBidi"/>
              <w:color w:val="0F4761" w:themeColor="accent1" w:themeShade="BF"/>
              <w:kern w:val="0"/>
              <w:sz w:val="32"/>
              <w:szCs w:val="32"/>
              <w:lang w:val="en-US"/>
              <w14:ligatures w14:val="none"/>
            </w:rPr>
          </w:pPr>
          <w:r>
            <w:rPr>
              <w:noProof/>
            </w:rPr>
            <mc:AlternateContent>
              <mc:Choice Requires="wps">
                <w:drawing>
                  <wp:anchor distT="0" distB="0" distL="114300" distR="114300" simplePos="0" relativeHeight="251659264" behindDoc="0" locked="0" layoutInCell="1" allowOverlap="1" wp14:anchorId="358684F2" wp14:editId="71B612AC">
                    <wp:simplePos x="0" y="0"/>
                    <wp:positionH relativeFrom="page">
                      <wp:posOffset>268605</wp:posOffset>
                    </wp:positionH>
                    <wp:positionV relativeFrom="page">
                      <wp:posOffset>2231214</wp:posOffset>
                    </wp:positionV>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FCEA1E" w14:textId="210E3980" w:rsidR="00525FE9" w:rsidRPr="001E2896" w:rsidRDefault="00000000" w:rsidP="001E2896">
                                <w:pPr>
                                  <w:spacing w:line="360" w:lineRule="auto"/>
                                  <w:rPr>
                                    <w:rFonts w:ascii="Arial" w:hAnsi="Arial" w:cs="Arial"/>
                                    <w:b/>
                                    <w:bCs/>
                                    <w:sz w:val="56"/>
                                    <w:szCs w:val="56"/>
                                  </w:rPr>
                                </w:pPr>
                                <w:sdt>
                                  <w:sdtPr>
                                    <w:rPr>
                                      <w:rFonts w:ascii="Arial" w:hAnsi="Arial" w:cs="Arial"/>
                                      <w:b/>
                                      <w:bCs/>
                                      <w:caps/>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E2896" w:rsidRPr="001E2896">
                                      <w:rPr>
                                        <w:rFonts w:ascii="Arial" w:hAnsi="Arial" w:cs="Arial"/>
                                        <w:b/>
                                        <w:bCs/>
                                        <w:caps/>
                                        <w:sz w:val="56"/>
                                        <w:szCs w:val="56"/>
                                      </w:rPr>
                                      <w:t>Reflective Report</w:t>
                                    </w:r>
                                  </w:sdtContent>
                                </w:sdt>
                              </w:p>
                              <w:sdt>
                                <w:sdtPr>
                                  <w:rPr>
                                    <w:rFonts w:ascii="Arial" w:hAnsi="Arial" w:cs="Arial"/>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AE6E98" w14:textId="28143DBD" w:rsidR="00525FE9" w:rsidRPr="001E2896" w:rsidRDefault="001E2896" w:rsidP="001E2896">
                                    <w:pPr>
                                      <w:spacing w:line="360" w:lineRule="auto"/>
                                      <w:rPr>
                                        <w:rFonts w:ascii="Arial" w:hAnsi="Arial" w:cs="Arial"/>
                                        <w:smallCaps/>
                                        <w:sz w:val="32"/>
                                        <w:szCs w:val="32"/>
                                      </w:rPr>
                                    </w:pPr>
                                    <w:r w:rsidRPr="001E2896">
                                      <w:rPr>
                                        <w:rFonts w:ascii="Arial" w:hAnsi="Arial" w:cs="Arial"/>
                                        <w:sz w:val="32"/>
                                        <w:szCs w:val="32"/>
                                      </w:rPr>
                                      <w:t>Coaching and Mentoring Skills for the Workplace BMSW6105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58684F2" id="_x0000_t202" coordsize="21600,21600" o:spt="202" path="m,l,21600r21600,l21600,xe">
                    <v:stroke joinstyle="miter"/>
                    <v:path gradientshapeok="t" o:connecttype="rect"/>
                  </v:shapetype>
                  <v:shape id="Text Box 163" o:spid="_x0000_s1026" type="#_x0000_t202" style="position:absolute;margin-left:21.15pt;margin-top:175.7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" filled="f" stroked="f" strokeweight=".5pt">
                    <v:textbox inset="126pt,0,54pt,0">
                      <w:txbxContent>
                        <w:p w14:paraId="48FCEA1E" w14:textId="210E3980" w:rsidR="00525FE9" w:rsidRPr="001E2896" w:rsidRDefault="00000000" w:rsidP="001E2896">
                          <w:pPr>
                            <w:spacing w:line="360" w:lineRule="auto"/>
                            <w:rPr>
                              <w:rFonts w:ascii="Arial" w:hAnsi="Arial" w:cs="Arial"/>
                              <w:b/>
                              <w:bCs/>
                              <w:sz w:val="56"/>
                              <w:szCs w:val="56"/>
                            </w:rPr>
                          </w:pPr>
                          <w:sdt>
                            <w:sdtPr>
                              <w:rPr>
                                <w:rFonts w:ascii="Arial" w:hAnsi="Arial" w:cs="Arial"/>
                                <w:b/>
                                <w:bCs/>
                                <w:caps/>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E2896" w:rsidRPr="001E2896">
                                <w:rPr>
                                  <w:rFonts w:ascii="Arial" w:hAnsi="Arial" w:cs="Arial"/>
                                  <w:b/>
                                  <w:bCs/>
                                  <w:caps/>
                                  <w:sz w:val="56"/>
                                  <w:szCs w:val="56"/>
                                </w:rPr>
                                <w:t>Reflective Report</w:t>
                              </w:r>
                            </w:sdtContent>
                          </w:sdt>
                        </w:p>
                        <w:sdt>
                          <w:sdtPr>
                            <w:rPr>
                              <w:rFonts w:ascii="Arial" w:hAnsi="Arial" w:cs="Arial"/>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AE6E98" w14:textId="28143DBD" w:rsidR="00525FE9" w:rsidRPr="001E2896" w:rsidRDefault="001E2896" w:rsidP="001E2896">
                              <w:pPr>
                                <w:spacing w:line="360" w:lineRule="auto"/>
                                <w:rPr>
                                  <w:rFonts w:ascii="Arial" w:hAnsi="Arial" w:cs="Arial"/>
                                  <w:smallCaps/>
                                  <w:sz w:val="32"/>
                                  <w:szCs w:val="32"/>
                                </w:rPr>
                              </w:pPr>
                              <w:r w:rsidRPr="001E2896">
                                <w:rPr>
                                  <w:rFonts w:ascii="Arial" w:hAnsi="Arial" w:cs="Arial"/>
                                  <w:sz w:val="32"/>
                                  <w:szCs w:val="32"/>
                                </w:rPr>
                                <w:t>Coaching and Mentoring Skills for the Workplace BMSW6105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9BA0430" wp14:editId="25256507">
                    <wp:simplePos x="0" y="0"/>
                    <wp:positionH relativeFrom="page">
                      <wp:posOffset>222885</wp:posOffset>
                    </wp:positionH>
                    <wp:positionV relativeFrom="page">
                      <wp:posOffset>8423126</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6C72BC2" w14:textId="25A7D672" w:rsidR="00525FE9" w:rsidRPr="001E2896" w:rsidRDefault="001E2896">
                                    <w:pPr>
                                      <w:pStyle w:val="NoSpacing"/>
                                      <w:jc w:val="right"/>
                                      <w:rPr>
                                        <w:rFonts w:ascii="Arial" w:hAnsi="Arial" w:cs="Arial"/>
                                        <w:sz w:val="24"/>
                                        <w:szCs w:val="24"/>
                                      </w:rPr>
                                    </w:pPr>
                                    <w:r w:rsidRPr="001E2896">
                                      <w:rPr>
                                        <w:rFonts w:ascii="Arial" w:hAnsi="Arial" w:cs="Arial"/>
                                        <w:sz w:val="24"/>
                                        <w:szCs w:val="24"/>
                                      </w:rPr>
                                      <w:t xml:space="preserve">Student: </w:t>
                                    </w:r>
                                    <w:r w:rsidR="00525FE9" w:rsidRPr="001E2896">
                                      <w:rPr>
                                        <w:rFonts w:ascii="Arial" w:hAnsi="Arial" w:cs="Arial"/>
                                        <w:sz w:val="24"/>
                                        <w:szCs w:val="24"/>
                                      </w:rPr>
                                      <w:t xml:space="preserve">Livia </w:t>
                                    </w:r>
                                    <w:r w:rsidRPr="001E2896">
                                      <w:rPr>
                                        <w:rFonts w:ascii="Arial" w:hAnsi="Arial" w:cs="Arial"/>
                                        <w:sz w:val="24"/>
                                        <w:szCs w:val="24"/>
                                      </w:rPr>
                                      <w:t xml:space="preserve">Monica </w:t>
                                    </w:r>
                                    <w:r w:rsidR="00525FE9" w:rsidRPr="001E2896">
                                      <w:rPr>
                                        <w:rFonts w:ascii="Arial" w:hAnsi="Arial" w:cs="Arial"/>
                                        <w:sz w:val="24"/>
                                        <w:szCs w:val="24"/>
                                      </w:rPr>
                                      <w:t>Dragan (2130234)</w:t>
                                    </w:r>
                                  </w:p>
                                </w:sdtContent>
                              </w:sdt>
                              <w:p w14:paraId="51E6A6BD" w14:textId="321AA68C" w:rsidR="00525FE9" w:rsidRPr="001E2896" w:rsidRDefault="00000000" w:rsidP="001E2896">
                                <w:pPr>
                                  <w:pStyle w:val="NoSpacing"/>
                                  <w:jc w:val="right"/>
                                  <w:rPr>
                                    <w:rFonts w:ascii="Arial" w:hAnsi="Arial" w:cs="Arial"/>
                                    <w:sz w:val="24"/>
                                    <w:szCs w:val="24"/>
                                  </w:rPr>
                                </w:pPr>
                                <w:sdt>
                                  <w:sdtPr>
                                    <w:rPr>
                                      <w:rFonts w:ascii="Arial" w:hAnsi="Arial" w:cs="Arial"/>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1E2896" w:rsidRPr="001E2896">
                                      <w:rPr>
                                        <w:rFonts w:ascii="Arial" w:hAnsi="Arial" w:cs="Arial"/>
                                        <w:sz w:val="24"/>
                                        <w:szCs w:val="24"/>
                                      </w:rPr>
                                      <w:t>Lecturer: Prof. Dennis Pepple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9BA0430" id="Text Box 159" o:spid="_x0000_s1027" type="#_x0000_t202" style="position:absolute;margin-left:17.55pt;margin-top:663.2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" filled="f" stroked="f" strokeweight=".5pt">
                    <v:textbox inset="126pt,0,54pt,0">
                      <w:txbxContent>
                        <w:sdt>
                          <w:sdtPr>
                            <w:rPr>
                              <w:rFonts w:ascii="Arial" w:hAnsi="Arial" w:cs="Arial"/>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6C72BC2" w14:textId="25A7D672" w:rsidR="00525FE9" w:rsidRPr="001E2896" w:rsidRDefault="001E2896">
                              <w:pPr>
                                <w:pStyle w:val="NoSpacing"/>
                                <w:jc w:val="right"/>
                                <w:rPr>
                                  <w:rFonts w:ascii="Arial" w:hAnsi="Arial" w:cs="Arial"/>
                                  <w:sz w:val="24"/>
                                  <w:szCs w:val="24"/>
                                </w:rPr>
                              </w:pPr>
                              <w:r w:rsidRPr="001E2896">
                                <w:rPr>
                                  <w:rFonts w:ascii="Arial" w:hAnsi="Arial" w:cs="Arial"/>
                                  <w:sz w:val="24"/>
                                  <w:szCs w:val="24"/>
                                </w:rPr>
                                <w:t xml:space="preserve">Student: </w:t>
                              </w:r>
                              <w:r w:rsidR="00525FE9" w:rsidRPr="001E2896">
                                <w:rPr>
                                  <w:rFonts w:ascii="Arial" w:hAnsi="Arial" w:cs="Arial"/>
                                  <w:sz w:val="24"/>
                                  <w:szCs w:val="24"/>
                                </w:rPr>
                                <w:t xml:space="preserve">Livia </w:t>
                              </w:r>
                              <w:r w:rsidRPr="001E2896">
                                <w:rPr>
                                  <w:rFonts w:ascii="Arial" w:hAnsi="Arial" w:cs="Arial"/>
                                  <w:sz w:val="24"/>
                                  <w:szCs w:val="24"/>
                                </w:rPr>
                                <w:t xml:space="preserve">Monica </w:t>
                              </w:r>
                              <w:r w:rsidR="00525FE9" w:rsidRPr="001E2896">
                                <w:rPr>
                                  <w:rFonts w:ascii="Arial" w:hAnsi="Arial" w:cs="Arial"/>
                                  <w:sz w:val="24"/>
                                  <w:szCs w:val="24"/>
                                </w:rPr>
                                <w:t>Dragan (2130234)</w:t>
                              </w:r>
                            </w:p>
                          </w:sdtContent>
                        </w:sdt>
                        <w:p w14:paraId="51E6A6BD" w14:textId="321AA68C" w:rsidR="00525FE9" w:rsidRPr="001E2896" w:rsidRDefault="00000000" w:rsidP="001E2896">
                          <w:pPr>
                            <w:pStyle w:val="NoSpacing"/>
                            <w:jc w:val="right"/>
                            <w:rPr>
                              <w:rFonts w:ascii="Arial" w:hAnsi="Arial" w:cs="Arial"/>
                              <w:sz w:val="24"/>
                              <w:szCs w:val="24"/>
                            </w:rPr>
                          </w:pPr>
                          <w:sdt>
                            <w:sdtPr>
                              <w:rPr>
                                <w:rFonts w:ascii="Arial" w:hAnsi="Arial" w:cs="Arial"/>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1E2896" w:rsidRPr="001E2896">
                                <w:rPr>
                                  <w:rFonts w:ascii="Arial" w:hAnsi="Arial" w:cs="Arial"/>
                                  <w:sz w:val="24"/>
                                  <w:szCs w:val="24"/>
                                </w:rPr>
                                <w:t>Lecturer: Prof. Dennis Pepple</w:t>
                              </w:r>
                            </w:sdtContent>
                          </w:sdt>
                        </w:p>
                      </w:txbxContent>
                    </v:textbox>
                    <w10:wrap type="square" anchorx="page" anchory="page"/>
                  </v:shape>
                </w:pict>
              </mc:Fallback>
            </mc:AlternateContent>
          </w:r>
          <w:r w:rsidR="00525FE9">
            <w:br w:type="page"/>
          </w:r>
        </w:p>
      </w:sdtContent>
    </w:sdt>
    <w:sdt>
      <w:sdtPr>
        <w:rPr>
          <w:rFonts w:asciiTheme="minorHAnsi" w:eastAsiaTheme="minorHAnsi" w:hAnsiTheme="minorHAnsi" w:cstheme="minorBidi"/>
          <w:color w:val="auto"/>
          <w:kern w:val="2"/>
          <w:sz w:val="22"/>
          <w:szCs w:val="22"/>
          <w:lang w:val="en-GB"/>
          <w14:ligatures w14:val="standardContextual"/>
        </w:rPr>
        <w:id w:val="1245224499"/>
        <w:docPartObj>
          <w:docPartGallery w:val="Table of Contents"/>
          <w:docPartUnique/>
        </w:docPartObj>
      </w:sdtPr>
      <w:sdtEndPr>
        <w:rPr>
          <w:b/>
          <w:bCs/>
          <w:noProof/>
        </w:rPr>
      </w:sdtEndPr>
      <w:sdtContent>
        <w:p w14:paraId="0C122A9C" w14:textId="569F19F9" w:rsidR="00E83A39" w:rsidRDefault="00E83A39" w:rsidP="00E83A39">
          <w:pPr>
            <w:pStyle w:val="TOCHeading"/>
            <w:spacing w:line="360" w:lineRule="auto"/>
            <w:rPr>
              <w:rFonts w:ascii="Arial" w:hAnsi="Arial" w:cs="Arial"/>
              <w:b/>
              <w:bCs/>
              <w:color w:val="auto"/>
              <w:sz w:val="22"/>
              <w:szCs w:val="22"/>
            </w:rPr>
          </w:pPr>
          <w:r w:rsidRPr="00E83A39">
            <w:rPr>
              <w:rFonts w:ascii="Arial" w:hAnsi="Arial" w:cs="Arial"/>
              <w:b/>
              <w:bCs/>
              <w:color w:val="auto"/>
              <w:sz w:val="22"/>
              <w:szCs w:val="22"/>
            </w:rPr>
            <w:t>Table of Contents</w:t>
          </w:r>
        </w:p>
        <w:p w14:paraId="4C3908A1" w14:textId="77777777" w:rsidR="00E83A39" w:rsidRPr="00E83A39" w:rsidRDefault="00E83A39" w:rsidP="00E83A39">
          <w:pPr>
            <w:rPr>
              <w:lang w:val="en-US"/>
            </w:rPr>
          </w:pPr>
        </w:p>
        <w:p w14:paraId="20F9E132" w14:textId="6911A90C" w:rsidR="00673E90" w:rsidRDefault="00E83A39">
          <w:pPr>
            <w:pStyle w:val="TOC1"/>
            <w:tabs>
              <w:tab w:val="right" w:leader="dot" w:pos="9016"/>
            </w:tabs>
            <w:rPr>
              <w:rFonts w:eastAsiaTheme="minorEastAsia"/>
              <w:noProof/>
              <w:sz w:val="24"/>
              <w:szCs w:val="24"/>
              <w:lang w:eastAsia="en-GB"/>
            </w:rPr>
          </w:pPr>
          <w:r w:rsidRPr="00E83A39">
            <w:rPr>
              <w:rFonts w:ascii="Arial" w:hAnsi="Arial" w:cs="Arial"/>
            </w:rPr>
            <w:fldChar w:fldCharType="begin"/>
          </w:r>
          <w:r w:rsidRPr="00E83A39">
            <w:rPr>
              <w:rFonts w:ascii="Arial" w:hAnsi="Arial" w:cs="Arial"/>
            </w:rPr>
            <w:instrText xml:space="preserve"> TOC \o "1-3" \h \z \u </w:instrText>
          </w:r>
          <w:r w:rsidRPr="00E83A39">
            <w:rPr>
              <w:rFonts w:ascii="Arial" w:hAnsi="Arial" w:cs="Arial"/>
            </w:rPr>
            <w:fldChar w:fldCharType="separate"/>
          </w:r>
          <w:hyperlink w:anchor="_Toc193572820" w:history="1">
            <w:r w:rsidR="00673E90" w:rsidRPr="009803B1">
              <w:rPr>
                <w:rStyle w:val="Hyperlink"/>
                <w:rFonts w:ascii="Arial" w:hAnsi="Arial" w:cs="Arial"/>
                <w:b/>
                <w:bCs/>
                <w:noProof/>
              </w:rPr>
              <w:t>Introduction</w:t>
            </w:r>
            <w:r w:rsidR="00673E90">
              <w:rPr>
                <w:noProof/>
                <w:webHidden/>
              </w:rPr>
              <w:tab/>
            </w:r>
            <w:r w:rsidR="00673E90">
              <w:rPr>
                <w:noProof/>
                <w:webHidden/>
              </w:rPr>
              <w:fldChar w:fldCharType="begin"/>
            </w:r>
            <w:r w:rsidR="00673E90">
              <w:rPr>
                <w:noProof/>
                <w:webHidden/>
              </w:rPr>
              <w:instrText xml:space="preserve"> PAGEREF _Toc193572820 \h </w:instrText>
            </w:r>
            <w:r w:rsidR="00673E90">
              <w:rPr>
                <w:noProof/>
                <w:webHidden/>
              </w:rPr>
            </w:r>
            <w:r w:rsidR="00673E90">
              <w:rPr>
                <w:noProof/>
                <w:webHidden/>
              </w:rPr>
              <w:fldChar w:fldCharType="separate"/>
            </w:r>
            <w:r w:rsidR="00673E90">
              <w:rPr>
                <w:noProof/>
                <w:webHidden/>
              </w:rPr>
              <w:t>1</w:t>
            </w:r>
            <w:r w:rsidR="00673E90">
              <w:rPr>
                <w:noProof/>
                <w:webHidden/>
              </w:rPr>
              <w:fldChar w:fldCharType="end"/>
            </w:r>
          </w:hyperlink>
        </w:p>
        <w:p w14:paraId="2D410DF6" w14:textId="117BFED0" w:rsidR="00673E90" w:rsidRDefault="00673E90">
          <w:pPr>
            <w:pStyle w:val="TOC1"/>
            <w:tabs>
              <w:tab w:val="right" w:leader="dot" w:pos="9016"/>
            </w:tabs>
            <w:rPr>
              <w:rFonts w:eastAsiaTheme="minorEastAsia"/>
              <w:noProof/>
              <w:sz w:val="24"/>
              <w:szCs w:val="24"/>
              <w:lang w:eastAsia="en-GB"/>
            </w:rPr>
          </w:pPr>
          <w:hyperlink w:anchor="_Toc193572821" w:history="1">
            <w:r w:rsidRPr="009803B1">
              <w:rPr>
                <w:rStyle w:val="Hyperlink"/>
                <w:rFonts w:ascii="Arial" w:hAnsi="Arial" w:cs="Arial"/>
                <w:b/>
                <w:bCs/>
                <w:noProof/>
              </w:rPr>
              <w:t>Critical Evaluation of the Purpose of Coaching and Mentoring within a Workplace</w:t>
            </w:r>
            <w:r>
              <w:rPr>
                <w:noProof/>
                <w:webHidden/>
              </w:rPr>
              <w:tab/>
            </w:r>
            <w:r>
              <w:rPr>
                <w:noProof/>
                <w:webHidden/>
              </w:rPr>
              <w:fldChar w:fldCharType="begin"/>
            </w:r>
            <w:r>
              <w:rPr>
                <w:noProof/>
                <w:webHidden/>
              </w:rPr>
              <w:instrText xml:space="preserve"> PAGEREF _Toc193572821 \h </w:instrText>
            </w:r>
            <w:r>
              <w:rPr>
                <w:noProof/>
                <w:webHidden/>
              </w:rPr>
            </w:r>
            <w:r>
              <w:rPr>
                <w:noProof/>
                <w:webHidden/>
              </w:rPr>
              <w:fldChar w:fldCharType="separate"/>
            </w:r>
            <w:r>
              <w:rPr>
                <w:noProof/>
                <w:webHidden/>
              </w:rPr>
              <w:t>1</w:t>
            </w:r>
            <w:r>
              <w:rPr>
                <w:noProof/>
                <w:webHidden/>
              </w:rPr>
              <w:fldChar w:fldCharType="end"/>
            </w:r>
          </w:hyperlink>
        </w:p>
        <w:p w14:paraId="33C16531" w14:textId="6E6FC60D" w:rsidR="00673E90" w:rsidRDefault="00673E90">
          <w:pPr>
            <w:pStyle w:val="TOC1"/>
            <w:tabs>
              <w:tab w:val="right" w:leader="dot" w:pos="9016"/>
            </w:tabs>
            <w:rPr>
              <w:rFonts w:eastAsiaTheme="minorEastAsia"/>
              <w:noProof/>
              <w:sz w:val="24"/>
              <w:szCs w:val="24"/>
              <w:lang w:eastAsia="en-GB"/>
            </w:rPr>
          </w:pPr>
          <w:hyperlink w:anchor="_Toc193572822" w:history="1">
            <w:r w:rsidRPr="009803B1">
              <w:rPr>
                <w:rStyle w:val="Hyperlink"/>
                <w:rFonts w:ascii="Arial" w:hAnsi="Arial" w:cs="Arial"/>
                <w:b/>
                <w:bCs/>
                <w:noProof/>
              </w:rPr>
              <w:t>Critical Analysis of the GROW Model</w:t>
            </w:r>
            <w:r>
              <w:rPr>
                <w:noProof/>
                <w:webHidden/>
              </w:rPr>
              <w:tab/>
            </w:r>
            <w:r>
              <w:rPr>
                <w:noProof/>
                <w:webHidden/>
              </w:rPr>
              <w:fldChar w:fldCharType="begin"/>
            </w:r>
            <w:r>
              <w:rPr>
                <w:noProof/>
                <w:webHidden/>
              </w:rPr>
              <w:instrText xml:space="preserve"> PAGEREF _Toc193572822 \h </w:instrText>
            </w:r>
            <w:r>
              <w:rPr>
                <w:noProof/>
                <w:webHidden/>
              </w:rPr>
            </w:r>
            <w:r>
              <w:rPr>
                <w:noProof/>
                <w:webHidden/>
              </w:rPr>
              <w:fldChar w:fldCharType="separate"/>
            </w:r>
            <w:r>
              <w:rPr>
                <w:noProof/>
                <w:webHidden/>
              </w:rPr>
              <w:t>3</w:t>
            </w:r>
            <w:r>
              <w:rPr>
                <w:noProof/>
                <w:webHidden/>
              </w:rPr>
              <w:fldChar w:fldCharType="end"/>
            </w:r>
          </w:hyperlink>
        </w:p>
        <w:p w14:paraId="1D53E5F0" w14:textId="6FDCAE69" w:rsidR="00673E90" w:rsidRDefault="00673E90">
          <w:pPr>
            <w:pStyle w:val="TOC1"/>
            <w:tabs>
              <w:tab w:val="right" w:leader="dot" w:pos="9016"/>
            </w:tabs>
            <w:rPr>
              <w:rFonts w:eastAsiaTheme="minorEastAsia"/>
              <w:noProof/>
              <w:sz w:val="24"/>
              <w:szCs w:val="24"/>
              <w:lang w:eastAsia="en-GB"/>
            </w:rPr>
          </w:pPr>
          <w:hyperlink w:anchor="_Toc193572823" w:history="1">
            <w:r w:rsidRPr="009803B1">
              <w:rPr>
                <w:rStyle w:val="Hyperlink"/>
                <w:rFonts w:ascii="Arial" w:hAnsi="Arial" w:cs="Arial"/>
                <w:b/>
                <w:bCs/>
                <w:noProof/>
              </w:rPr>
              <w:t>Reflection on Peer Coaching Using Gibb's Reflective Model</w:t>
            </w:r>
            <w:r>
              <w:rPr>
                <w:noProof/>
                <w:webHidden/>
              </w:rPr>
              <w:tab/>
            </w:r>
            <w:r>
              <w:rPr>
                <w:noProof/>
                <w:webHidden/>
              </w:rPr>
              <w:fldChar w:fldCharType="begin"/>
            </w:r>
            <w:r>
              <w:rPr>
                <w:noProof/>
                <w:webHidden/>
              </w:rPr>
              <w:instrText xml:space="preserve"> PAGEREF _Toc193572823 \h </w:instrText>
            </w:r>
            <w:r>
              <w:rPr>
                <w:noProof/>
                <w:webHidden/>
              </w:rPr>
            </w:r>
            <w:r>
              <w:rPr>
                <w:noProof/>
                <w:webHidden/>
              </w:rPr>
              <w:fldChar w:fldCharType="separate"/>
            </w:r>
            <w:r>
              <w:rPr>
                <w:noProof/>
                <w:webHidden/>
              </w:rPr>
              <w:t>4</w:t>
            </w:r>
            <w:r>
              <w:rPr>
                <w:noProof/>
                <w:webHidden/>
              </w:rPr>
              <w:fldChar w:fldCharType="end"/>
            </w:r>
          </w:hyperlink>
        </w:p>
        <w:p w14:paraId="36A8F98F" w14:textId="19348590" w:rsidR="00673E90" w:rsidRDefault="00673E90">
          <w:pPr>
            <w:pStyle w:val="TOC1"/>
            <w:tabs>
              <w:tab w:val="right" w:leader="dot" w:pos="9016"/>
            </w:tabs>
            <w:rPr>
              <w:rFonts w:eastAsiaTheme="minorEastAsia"/>
              <w:noProof/>
              <w:sz w:val="24"/>
              <w:szCs w:val="24"/>
              <w:lang w:eastAsia="en-GB"/>
            </w:rPr>
          </w:pPr>
          <w:hyperlink w:anchor="_Toc193572824" w:history="1">
            <w:r w:rsidRPr="009803B1">
              <w:rPr>
                <w:rStyle w:val="Hyperlink"/>
                <w:rFonts w:ascii="Arial" w:hAnsi="Arial" w:cs="Arial"/>
                <w:b/>
                <w:bCs/>
                <w:noProof/>
              </w:rPr>
              <w:t>Reflection on Peer Mentoring Using Gibb's Reflective Model</w:t>
            </w:r>
            <w:r>
              <w:rPr>
                <w:noProof/>
                <w:webHidden/>
              </w:rPr>
              <w:tab/>
            </w:r>
            <w:r>
              <w:rPr>
                <w:noProof/>
                <w:webHidden/>
              </w:rPr>
              <w:fldChar w:fldCharType="begin"/>
            </w:r>
            <w:r>
              <w:rPr>
                <w:noProof/>
                <w:webHidden/>
              </w:rPr>
              <w:instrText xml:space="preserve"> PAGEREF _Toc193572824 \h </w:instrText>
            </w:r>
            <w:r>
              <w:rPr>
                <w:noProof/>
                <w:webHidden/>
              </w:rPr>
            </w:r>
            <w:r>
              <w:rPr>
                <w:noProof/>
                <w:webHidden/>
              </w:rPr>
              <w:fldChar w:fldCharType="separate"/>
            </w:r>
            <w:r>
              <w:rPr>
                <w:noProof/>
                <w:webHidden/>
              </w:rPr>
              <w:t>6</w:t>
            </w:r>
            <w:r>
              <w:rPr>
                <w:noProof/>
                <w:webHidden/>
              </w:rPr>
              <w:fldChar w:fldCharType="end"/>
            </w:r>
          </w:hyperlink>
        </w:p>
        <w:p w14:paraId="0B7AC6D5" w14:textId="5BC18724" w:rsidR="00673E90" w:rsidRDefault="00673E90">
          <w:pPr>
            <w:pStyle w:val="TOC1"/>
            <w:tabs>
              <w:tab w:val="right" w:leader="dot" w:pos="9016"/>
            </w:tabs>
            <w:rPr>
              <w:rFonts w:eastAsiaTheme="minorEastAsia"/>
              <w:noProof/>
              <w:sz w:val="24"/>
              <w:szCs w:val="24"/>
              <w:lang w:eastAsia="en-GB"/>
            </w:rPr>
          </w:pPr>
          <w:hyperlink w:anchor="_Toc193572825" w:history="1">
            <w:r w:rsidRPr="009803B1">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_Toc193572825 \h </w:instrText>
            </w:r>
            <w:r>
              <w:rPr>
                <w:noProof/>
                <w:webHidden/>
              </w:rPr>
            </w:r>
            <w:r>
              <w:rPr>
                <w:noProof/>
                <w:webHidden/>
              </w:rPr>
              <w:fldChar w:fldCharType="separate"/>
            </w:r>
            <w:r>
              <w:rPr>
                <w:noProof/>
                <w:webHidden/>
              </w:rPr>
              <w:t>7</w:t>
            </w:r>
            <w:r>
              <w:rPr>
                <w:noProof/>
                <w:webHidden/>
              </w:rPr>
              <w:fldChar w:fldCharType="end"/>
            </w:r>
          </w:hyperlink>
        </w:p>
        <w:p w14:paraId="002A91BB" w14:textId="46BBD0A2" w:rsidR="00673E90" w:rsidRDefault="00673E90">
          <w:pPr>
            <w:pStyle w:val="TOC1"/>
            <w:tabs>
              <w:tab w:val="right" w:leader="dot" w:pos="9016"/>
            </w:tabs>
            <w:rPr>
              <w:rFonts w:eastAsiaTheme="minorEastAsia"/>
              <w:noProof/>
              <w:sz w:val="24"/>
              <w:szCs w:val="24"/>
              <w:lang w:eastAsia="en-GB"/>
            </w:rPr>
          </w:pPr>
          <w:hyperlink w:anchor="_Toc193572826" w:history="1">
            <w:r w:rsidRPr="009803B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_Toc193572826 \h </w:instrText>
            </w:r>
            <w:r>
              <w:rPr>
                <w:noProof/>
                <w:webHidden/>
              </w:rPr>
            </w:r>
            <w:r>
              <w:rPr>
                <w:noProof/>
                <w:webHidden/>
              </w:rPr>
              <w:fldChar w:fldCharType="separate"/>
            </w:r>
            <w:r>
              <w:rPr>
                <w:noProof/>
                <w:webHidden/>
              </w:rPr>
              <w:t>9</w:t>
            </w:r>
            <w:r>
              <w:rPr>
                <w:noProof/>
                <w:webHidden/>
              </w:rPr>
              <w:fldChar w:fldCharType="end"/>
            </w:r>
          </w:hyperlink>
        </w:p>
        <w:p w14:paraId="2FF96642" w14:textId="7C2556D2" w:rsidR="00E83A39" w:rsidRDefault="00E83A39" w:rsidP="00E83A39">
          <w:pPr>
            <w:spacing w:line="360" w:lineRule="auto"/>
          </w:pPr>
          <w:r w:rsidRPr="00E83A39">
            <w:rPr>
              <w:rFonts w:ascii="Arial" w:hAnsi="Arial" w:cs="Arial"/>
              <w:b/>
              <w:bCs/>
              <w:noProof/>
            </w:rPr>
            <w:fldChar w:fldCharType="end"/>
          </w:r>
        </w:p>
      </w:sdtContent>
    </w:sdt>
    <w:p w14:paraId="2C8FE115" w14:textId="77777777" w:rsidR="00401AA0" w:rsidRDefault="00401AA0" w:rsidP="00A40F1A">
      <w:pPr>
        <w:pStyle w:val="Heading1"/>
        <w:spacing w:line="360" w:lineRule="auto"/>
        <w:jc w:val="both"/>
        <w:rPr>
          <w:rFonts w:ascii="Arial" w:hAnsi="Arial" w:cs="Arial"/>
          <w:b/>
          <w:bCs/>
          <w:color w:val="auto"/>
          <w:sz w:val="22"/>
          <w:szCs w:val="22"/>
        </w:rPr>
        <w:sectPr w:rsidR="00401AA0" w:rsidSect="00525FE9">
          <w:footerReference w:type="default" r:id="rId11"/>
          <w:pgSz w:w="11906" w:h="16838"/>
          <w:pgMar w:top="1440" w:right="1440" w:bottom="1440" w:left="1440" w:header="708" w:footer="708" w:gutter="0"/>
          <w:pgNumType w:start="0"/>
          <w:cols w:space="708"/>
          <w:titlePg/>
          <w:docGrid w:linePitch="360"/>
        </w:sectPr>
      </w:pPr>
    </w:p>
    <w:p w14:paraId="3040761B" w14:textId="5B642943" w:rsidR="005D6482" w:rsidRPr="00D64BBA" w:rsidRDefault="001B0D8D" w:rsidP="00A40F1A">
      <w:pPr>
        <w:pStyle w:val="Heading1"/>
        <w:spacing w:line="360" w:lineRule="auto"/>
        <w:jc w:val="both"/>
        <w:rPr>
          <w:rFonts w:ascii="Arial" w:hAnsi="Arial" w:cs="Arial"/>
          <w:b/>
          <w:bCs/>
          <w:color w:val="auto"/>
          <w:sz w:val="22"/>
          <w:szCs w:val="22"/>
        </w:rPr>
      </w:pPr>
      <w:bookmarkStart w:id="0" w:name="_Toc193572820"/>
      <w:r w:rsidRPr="00D64BBA">
        <w:rPr>
          <w:rFonts w:ascii="Arial" w:hAnsi="Arial" w:cs="Arial"/>
          <w:b/>
          <w:bCs/>
          <w:color w:val="auto"/>
          <w:sz w:val="22"/>
          <w:szCs w:val="22"/>
        </w:rPr>
        <w:lastRenderedPageBreak/>
        <w:t>Introduction</w:t>
      </w:r>
      <w:bookmarkEnd w:id="0"/>
    </w:p>
    <w:p w14:paraId="39F48240" w14:textId="5DF58D74" w:rsidR="001B0D8D" w:rsidRPr="001C2CB4" w:rsidRDefault="001B0D8D" w:rsidP="00A40F1A">
      <w:pPr>
        <w:spacing w:line="360" w:lineRule="auto"/>
        <w:jc w:val="both"/>
        <w:rPr>
          <w:rFonts w:ascii="Arial" w:hAnsi="Arial" w:cs="Arial"/>
        </w:rPr>
      </w:pPr>
      <w:r w:rsidRPr="001C2CB4">
        <w:rPr>
          <w:rFonts w:ascii="Arial" w:hAnsi="Arial" w:cs="Arial"/>
        </w:rPr>
        <w:t>This reflective report explores my experiences and insights gained from completing peer coaching sessions and peer mentoring sessions, focusing on the purpose and application of coaching and mentoring in the workplace. The report is structured using Gibbs’ Reflective Model (1988), a widely recognised framework for reflective practice that encourages a systematic analysis of experiences through six stages: description, feelings, evaluation, analysis, conclusion, and action plan. This model provides a structured approach to critically evaluate my learning and identify areas for professional growth.</w:t>
      </w:r>
    </w:p>
    <w:p w14:paraId="4808B903" w14:textId="72164A3F" w:rsidR="001B0D8D" w:rsidRPr="001C2CB4" w:rsidRDefault="001B0D8D" w:rsidP="00A40F1A">
      <w:pPr>
        <w:spacing w:line="360" w:lineRule="auto"/>
        <w:jc w:val="both"/>
        <w:rPr>
          <w:rFonts w:ascii="Arial" w:hAnsi="Arial" w:cs="Arial"/>
        </w:rPr>
      </w:pPr>
      <w:r w:rsidRPr="001C2CB4">
        <w:rPr>
          <w:rFonts w:ascii="Arial" w:hAnsi="Arial" w:cs="Arial"/>
        </w:rPr>
        <w:t xml:space="preserve">Coaching and mentoring are distinct yet complementary practices that play a pivotal role in personal and professional development. Coaching </w:t>
      </w:r>
      <w:r w:rsidR="008E0E26" w:rsidRPr="001C2CB4">
        <w:rPr>
          <w:rFonts w:ascii="Arial" w:hAnsi="Arial" w:cs="Arial"/>
        </w:rPr>
        <w:t>is</w:t>
      </w:r>
      <w:r w:rsidRPr="001C2CB4">
        <w:rPr>
          <w:rFonts w:ascii="Arial" w:hAnsi="Arial" w:cs="Arial"/>
        </w:rPr>
        <w:t xml:space="preserve"> a goal-oriented process that facilitates learning, development, and performance improvement through structured conversations and feedback.</w:t>
      </w:r>
      <w:r w:rsidR="00407A2B" w:rsidRPr="001C2CB4">
        <w:rPr>
          <w:rFonts w:ascii="Arial" w:hAnsi="Arial" w:cs="Arial"/>
        </w:rPr>
        <w:t xml:space="preserve"> It emphasises the significance of self-awareness and accountability in coaching, which is consistent with my practical coaching sessions</w:t>
      </w:r>
      <w:r w:rsidR="003845E6" w:rsidRPr="001C2CB4">
        <w:rPr>
          <w:rFonts w:ascii="Arial" w:hAnsi="Arial" w:cs="Arial"/>
        </w:rPr>
        <w:t xml:space="preserve"> whe</w:t>
      </w:r>
      <w:r w:rsidR="008E0E26" w:rsidRPr="001C2CB4">
        <w:rPr>
          <w:rFonts w:ascii="Arial" w:hAnsi="Arial" w:cs="Arial"/>
        </w:rPr>
        <w:t>re</w:t>
      </w:r>
      <w:r w:rsidR="003845E6" w:rsidRPr="001C2CB4">
        <w:rPr>
          <w:rFonts w:ascii="Arial" w:hAnsi="Arial" w:cs="Arial"/>
        </w:rPr>
        <w:t xml:space="preserve"> the </w:t>
      </w:r>
      <w:proofErr w:type="spellStart"/>
      <w:r w:rsidR="00407A2B" w:rsidRPr="001C2CB4">
        <w:rPr>
          <w:rFonts w:ascii="Arial" w:hAnsi="Arial" w:cs="Arial"/>
        </w:rPr>
        <w:t>coachee</w:t>
      </w:r>
      <w:proofErr w:type="spellEnd"/>
      <w:r w:rsidR="00407A2B" w:rsidRPr="001C2CB4">
        <w:rPr>
          <w:rFonts w:ascii="Arial" w:hAnsi="Arial" w:cs="Arial"/>
        </w:rPr>
        <w:t xml:space="preserve"> </w:t>
      </w:r>
      <w:r w:rsidR="003845E6" w:rsidRPr="001C2CB4">
        <w:rPr>
          <w:rFonts w:ascii="Arial" w:hAnsi="Arial" w:cs="Arial"/>
        </w:rPr>
        <w:t xml:space="preserve">was prompted </w:t>
      </w:r>
      <w:r w:rsidR="00407A2B" w:rsidRPr="001C2CB4">
        <w:rPr>
          <w:rFonts w:ascii="Arial" w:hAnsi="Arial" w:cs="Arial"/>
        </w:rPr>
        <w:t>to contemplate their circumstances and formulate concrete plans of action</w:t>
      </w:r>
      <w:r w:rsidR="003845E6" w:rsidRPr="001C2CB4">
        <w:rPr>
          <w:rFonts w:ascii="Arial" w:hAnsi="Arial" w:cs="Arial"/>
        </w:rPr>
        <w:t xml:space="preserve"> (Ives, 2008)</w:t>
      </w:r>
      <w:r w:rsidR="00407A2B" w:rsidRPr="001C2CB4">
        <w:rPr>
          <w:rFonts w:ascii="Arial" w:hAnsi="Arial" w:cs="Arial"/>
        </w:rPr>
        <w:t xml:space="preserve">. </w:t>
      </w:r>
      <w:r w:rsidRPr="001C2CB4">
        <w:rPr>
          <w:rFonts w:ascii="Arial" w:hAnsi="Arial" w:cs="Arial"/>
        </w:rPr>
        <w:t>In contrast, mentoring is a longer-term relationship focused on guiding and supporting an individual’s career and personal growth, often drawing on the mentor’s experience and expertise (Clutterbuck, 20</w:t>
      </w:r>
      <w:r w:rsidR="0081418A" w:rsidRPr="001C2CB4">
        <w:rPr>
          <w:rFonts w:ascii="Arial" w:hAnsi="Arial" w:cs="Arial"/>
        </w:rPr>
        <w:t>01</w:t>
      </w:r>
      <w:r w:rsidRPr="001C2CB4">
        <w:rPr>
          <w:rFonts w:ascii="Arial" w:hAnsi="Arial" w:cs="Arial"/>
        </w:rPr>
        <w:t>). While coaching is typically task-specific and short-term, mentoring involves a deeper, more holistic relationship. Both require key attributes such as active listening, empathy, effective communication, and the ability to build trust (Rogers, 2</w:t>
      </w:r>
      <w:r w:rsidR="003B3630" w:rsidRPr="001C2CB4">
        <w:rPr>
          <w:rFonts w:ascii="Arial" w:hAnsi="Arial" w:cs="Arial"/>
        </w:rPr>
        <w:t>024</w:t>
      </w:r>
      <w:r w:rsidRPr="001C2CB4">
        <w:rPr>
          <w:rFonts w:ascii="Arial" w:hAnsi="Arial" w:cs="Arial"/>
        </w:rPr>
        <w:t>).</w:t>
      </w:r>
    </w:p>
    <w:p w14:paraId="702B4894" w14:textId="77777777" w:rsidR="001B0D8D" w:rsidRPr="001C2CB4" w:rsidRDefault="001B0D8D" w:rsidP="00A40F1A">
      <w:pPr>
        <w:spacing w:line="360" w:lineRule="auto"/>
        <w:jc w:val="both"/>
        <w:rPr>
          <w:rFonts w:ascii="Arial" w:hAnsi="Arial" w:cs="Arial"/>
        </w:rPr>
      </w:pPr>
      <w:r w:rsidRPr="001C2CB4">
        <w:rPr>
          <w:rFonts w:ascii="Arial" w:hAnsi="Arial" w:cs="Arial"/>
        </w:rPr>
        <w:t xml:space="preserve">In this report, I will critically evaluate the purpose of coaching and mentoring in the workplace, supported by relevant literature and theoretical models. I will also reflect on my practical experiences, analysing the effectiveness of the coaching model and mentoring tool I employed, and how these experiences have enhanced my understanding of these practices. Finally, I will discuss how these insights will contribute to my future professional development and employability. </w:t>
      </w:r>
    </w:p>
    <w:p w14:paraId="1C3E8650" w14:textId="03E285BF" w:rsidR="00DA2619" w:rsidRPr="00D64BBA" w:rsidRDefault="00DA2619" w:rsidP="00A40F1A">
      <w:pPr>
        <w:pStyle w:val="Heading1"/>
        <w:spacing w:line="360" w:lineRule="auto"/>
        <w:jc w:val="both"/>
        <w:rPr>
          <w:rFonts w:ascii="Arial" w:hAnsi="Arial" w:cs="Arial"/>
          <w:b/>
          <w:bCs/>
          <w:color w:val="auto"/>
          <w:sz w:val="22"/>
          <w:szCs w:val="22"/>
        </w:rPr>
      </w:pPr>
      <w:bookmarkStart w:id="1" w:name="_Toc193572821"/>
      <w:r w:rsidRPr="00D64BBA">
        <w:rPr>
          <w:rFonts w:ascii="Arial" w:hAnsi="Arial" w:cs="Arial"/>
          <w:b/>
          <w:bCs/>
          <w:color w:val="auto"/>
          <w:sz w:val="22"/>
          <w:szCs w:val="22"/>
        </w:rPr>
        <w:t>Critical Evaluation of the Purpose of Coaching and Mentoring within a Workplace</w:t>
      </w:r>
      <w:bookmarkEnd w:id="1"/>
    </w:p>
    <w:p w14:paraId="2039ED25" w14:textId="30B5F21B" w:rsidR="00BB1E7D" w:rsidRDefault="00AB1187" w:rsidP="00A40F1A">
      <w:pPr>
        <w:spacing w:line="360" w:lineRule="auto"/>
        <w:jc w:val="both"/>
        <w:rPr>
          <w:rFonts w:ascii="Arial" w:hAnsi="Arial" w:cs="Arial"/>
        </w:rPr>
      </w:pPr>
      <w:r w:rsidRPr="001C2CB4">
        <w:rPr>
          <w:rFonts w:ascii="Arial" w:hAnsi="Arial" w:cs="Arial"/>
        </w:rPr>
        <w:t>Coaching and mentoring are widely recognised as valuable tools for fostering professional development, enhancing performance, and supporting organisational growth. Although they share some similarities, their purposes, applications, and outcomes differ significantly. This section critically evaluates the roles of coaching and mentoring in the workplace. Effective performance appraisal systems integrate coaching and mentoring, where supervisors provide feedback and support to enhance employee development. This fosters a supportive environment, aligning personal goals with organisational objectives and contributing to both intrinsic and extrinsic job satisfaction.</w:t>
      </w:r>
    </w:p>
    <w:p w14:paraId="7E4ED107" w14:textId="77777777" w:rsidR="00BB1E7D" w:rsidRDefault="00AB1187" w:rsidP="00A40F1A">
      <w:pPr>
        <w:spacing w:line="360" w:lineRule="auto"/>
        <w:jc w:val="both"/>
        <w:rPr>
          <w:rFonts w:ascii="Arial" w:hAnsi="Arial" w:cs="Arial"/>
        </w:rPr>
      </w:pPr>
      <w:r w:rsidRPr="001C2CB4">
        <w:rPr>
          <w:rFonts w:ascii="Arial" w:hAnsi="Arial" w:cs="Arial"/>
        </w:rPr>
        <w:lastRenderedPageBreak/>
        <w:t xml:space="preserve">Research by Pepple and </w:t>
      </w:r>
      <w:proofErr w:type="spellStart"/>
      <w:r w:rsidRPr="001C2CB4">
        <w:rPr>
          <w:rFonts w:ascii="Arial" w:hAnsi="Arial" w:cs="Arial"/>
        </w:rPr>
        <w:t>Ambilichu</w:t>
      </w:r>
      <w:proofErr w:type="spellEnd"/>
      <w:r w:rsidRPr="001C2CB4">
        <w:rPr>
          <w:rFonts w:ascii="Arial" w:hAnsi="Arial" w:cs="Arial"/>
        </w:rPr>
        <w:t xml:space="preserve"> (2023) indicates that fair and accurate performance appraisals boost employee commitment, with intrinsic job satisfaction—stemming from feelings of accomplishment—having a greater impact than extrinsic factors like pay. This highlights the role of mentoring in addressing motivational needs and fostering loyalty, while coaching focuses on structured feedback and goal setting, creating a comprehensive approach to employee development. The primary purpose of coaching in the workplace is to facilitate individual and organisational growth by improving performance, developing skills, and achieving specific goals.</w:t>
      </w:r>
    </w:p>
    <w:p w14:paraId="5F23C98A" w14:textId="77777777" w:rsidR="00BB1E7D" w:rsidRDefault="00AB1187" w:rsidP="00A40F1A">
      <w:pPr>
        <w:spacing w:line="360" w:lineRule="auto"/>
        <w:jc w:val="both"/>
        <w:rPr>
          <w:rFonts w:ascii="Arial" w:hAnsi="Arial" w:cs="Arial"/>
        </w:rPr>
      </w:pPr>
      <w:r w:rsidRPr="001C2CB4">
        <w:rPr>
          <w:rFonts w:ascii="Arial" w:hAnsi="Arial" w:cs="Arial"/>
        </w:rPr>
        <w:t xml:space="preserve">According to Whitmore (2017), coaching is a goal-oriented process that empowers individuals to unlock their potential and maximise their performance. </w:t>
      </w:r>
      <w:r w:rsidR="00E34910" w:rsidRPr="001C2CB4">
        <w:rPr>
          <w:rFonts w:ascii="Arial" w:hAnsi="Arial" w:cs="Arial"/>
        </w:rPr>
        <w:t>Coaching</w:t>
      </w:r>
      <w:r w:rsidRPr="001C2CB4">
        <w:rPr>
          <w:rFonts w:ascii="Arial" w:hAnsi="Arial" w:cs="Arial"/>
        </w:rPr>
        <w:t xml:space="preserve"> </w:t>
      </w:r>
      <w:r w:rsidR="00E34910" w:rsidRPr="001C2CB4">
        <w:rPr>
          <w:rFonts w:ascii="Arial" w:hAnsi="Arial" w:cs="Arial"/>
        </w:rPr>
        <w:t>often addresses</w:t>
      </w:r>
      <w:r w:rsidRPr="001C2CB4">
        <w:rPr>
          <w:rFonts w:ascii="Arial" w:hAnsi="Arial" w:cs="Arial"/>
        </w:rPr>
        <w:t xml:space="preserve"> specific challenges, such as improving leadership skills, enhancing communication, or managing change</w:t>
      </w:r>
      <w:r w:rsidR="00DC40C9" w:rsidRPr="001C2CB4">
        <w:rPr>
          <w:rFonts w:ascii="Arial" w:hAnsi="Arial" w:cs="Arial"/>
        </w:rPr>
        <w:t xml:space="preserve">. </w:t>
      </w:r>
      <w:r w:rsidRPr="001C2CB4">
        <w:rPr>
          <w:rFonts w:ascii="Arial" w:hAnsi="Arial" w:cs="Arial"/>
        </w:rPr>
        <w:t xml:space="preserve">Particularly effective for developing self-awareness and self-efficacy, coaching helps individuals accept responsibility for their growth. In a workplace setting, for instance, coaching can assist staff members in overcoming performance constraints, adjusting to new responsibilities, or navigating challenging projects. </w:t>
      </w:r>
      <w:r w:rsidR="00E34910" w:rsidRPr="001C2CB4">
        <w:rPr>
          <w:rFonts w:ascii="Arial" w:hAnsi="Arial" w:cs="Arial"/>
        </w:rPr>
        <w:t>It is also an excellent tool</w:t>
      </w:r>
      <w:r w:rsidRPr="001C2CB4">
        <w:rPr>
          <w:rFonts w:ascii="Arial" w:hAnsi="Arial" w:cs="Arial"/>
        </w:rPr>
        <w:t xml:space="preserve"> </w:t>
      </w:r>
      <w:r w:rsidR="00E34910" w:rsidRPr="001C2CB4">
        <w:rPr>
          <w:rFonts w:ascii="Arial" w:hAnsi="Arial" w:cs="Arial"/>
        </w:rPr>
        <w:t xml:space="preserve">for </w:t>
      </w:r>
      <w:r w:rsidRPr="001C2CB4">
        <w:rPr>
          <w:rFonts w:ascii="Arial" w:hAnsi="Arial" w:cs="Arial"/>
        </w:rPr>
        <w:t>promot</w:t>
      </w:r>
      <w:r w:rsidR="00E34910" w:rsidRPr="001C2CB4">
        <w:rPr>
          <w:rFonts w:ascii="Arial" w:hAnsi="Arial" w:cs="Arial"/>
        </w:rPr>
        <w:t>ing</w:t>
      </w:r>
      <w:r w:rsidRPr="001C2CB4">
        <w:rPr>
          <w:rFonts w:ascii="Arial" w:hAnsi="Arial" w:cs="Arial"/>
        </w:rPr>
        <w:t xml:space="preserve"> critical thinking and reflective practice, which aids in leader development. Conversely, mentoring is more oriented towards long-term personal and professional progress.</w:t>
      </w:r>
    </w:p>
    <w:p w14:paraId="7AE04F1F" w14:textId="77777777" w:rsidR="00BB1E7D" w:rsidRDefault="00427838" w:rsidP="00A40F1A">
      <w:pPr>
        <w:spacing w:line="360" w:lineRule="auto"/>
        <w:jc w:val="both"/>
        <w:rPr>
          <w:rFonts w:ascii="Arial" w:hAnsi="Arial" w:cs="Arial"/>
        </w:rPr>
      </w:pPr>
      <w:r w:rsidRPr="001C2CB4">
        <w:rPr>
          <w:rFonts w:ascii="Arial" w:hAnsi="Arial" w:cs="Arial"/>
        </w:rPr>
        <w:t>Typically,</w:t>
      </w:r>
      <w:r w:rsidR="00E34910" w:rsidRPr="001C2CB4">
        <w:rPr>
          <w:rFonts w:ascii="Arial" w:hAnsi="Arial" w:cs="Arial"/>
        </w:rPr>
        <w:t xml:space="preserve"> a mentor,</w:t>
      </w:r>
      <w:r w:rsidR="00AB1187" w:rsidRPr="001C2CB4">
        <w:rPr>
          <w:rFonts w:ascii="Arial" w:hAnsi="Arial" w:cs="Arial"/>
        </w:rPr>
        <w:t xml:space="preserve"> someone with more experience, guides, supports and counsels a mentee in a more comprehensive relationship (Kram, 1985). The purpose of mentoring is to facilitate career progression, build networks, and enhance organisational knowledge transfer. Mentoring relationships often concentrate on broader goals, such as career planning, leadership development, and navigating organisational culture. For instance, mentoring can help new employees integrate into the workplace, develop confidence, and gain insights into organisational dynamics. It also serves as a means for succession planning, thereby ensuring that knowledge and experience will be passed on to the next leaders (Clutterbuck, 20</w:t>
      </w:r>
      <w:r w:rsidR="0081418A" w:rsidRPr="001C2CB4">
        <w:rPr>
          <w:rFonts w:ascii="Arial" w:hAnsi="Arial" w:cs="Arial"/>
        </w:rPr>
        <w:t>01</w:t>
      </w:r>
      <w:r w:rsidR="00AB1187" w:rsidRPr="001C2CB4">
        <w:rPr>
          <w:rFonts w:ascii="Arial" w:hAnsi="Arial" w:cs="Arial"/>
        </w:rPr>
        <w:t>).</w:t>
      </w:r>
    </w:p>
    <w:p w14:paraId="66CD6C72" w14:textId="77777777" w:rsidR="00BB1E7D" w:rsidRDefault="00AB1187" w:rsidP="00A40F1A">
      <w:pPr>
        <w:spacing w:line="360" w:lineRule="auto"/>
        <w:jc w:val="both"/>
        <w:rPr>
          <w:rFonts w:ascii="Arial" w:hAnsi="Arial" w:cs="Arial"/>
        </w:rPr>
      </w:pPr>
      <w:r w:rsidRPr="001C2CB4">
        <w:rPr>
          <w:rFonts w:ascii="Arial" w:hAnsi="Arial" w:cs="Arial"/>
        </w:rPr>
        <w:t>Although both mentoring and coaching seek to enhance organisational and personal growth, they differ in scope, duration, and emphasis. While mentoring is long-term, relationship-oriented, and development-focused, coaching is typically task-specific, short-term, and performance-driven. Whereas mentoring relies on the mentor's expertise and insight to guide the mentee, coaching often involves structured dialogues and feedback. Furthermore, mentoring relationships are generally informal and based on mutual trust, whereas coaching is typically conducted by qualified professionals</w:t>
      </w:r>
      <w:r w:rsidR="003B3630" w:rsidRPr="001C2CB4">
        <w:rPr>
          <w:rFonts w:ascii="Arial" w:hAnsi="Arial" w:cs="Arial"/>
        </w:rPr>
        <w:t>.</w:t>
      </w:r>
    </w:p>
    <w:p w14:paraId="19AF9C75" w14:textId="13EF84FC" w:rsidR="00DA2619" w:rsidRPr="001C2CB4" w:rsidRDefault="00AB1187" w:rsidP="00A40F1A">
      <w:pPr>
        <w:spacing w:line="360" w:lineRule="auto"/>
        <w:jc w:val="both"/>
        <w:rPr>
          <w:rFonts w:ascii="Arial" w:hAnsi="Arial" w:cs="Arial"/>
        </w:rPr>
      </w:pPr>
      <w:r w:rsidRPr="001C2CB4">
        <w:rPr>
          <w:rFonts w:ascii="Arial" w:hAnsi="Arial" w:cs="Arial"/>
        </w:rPr>
        <w:t>Despite their advantages, both coaching and mentoring have limitations. Coaching can be resource-intensive, requiring skilled practitioners and time commitments, which may not be feasible for all organisations</w:t>
      </w:r>
      <w:r w:rsidR="00DC40C9" w:rsidRPr="001C2CB4">
        <w:rPr>
          <w:rFonts w:ascii="Arial" w:hAnsi="Arial" w:cs="Arial"/>
        </w:rPr>
        <w:t>.</w:t>
      </w:r>
      <w:r w:rsidRPr="001C2CB4">
        <w:rPr>
          <w:rFonts w:ascii="Arial" w:hAnsi="Arial" w:cs="Arial"/>
        </w:rPr>
        <w:t xml:space="preserve"> It is also less effective if the </w:t>
      </w:r>
      <w:proofErr w:type="spellStart"/>
      <w:r w:rsidRPr="001C2CB4">
        <w:rPr>
          <w:rFonts w:ascii="Arial" w:hAnsi="Arial" w:cs="Arial"/>
        </w:rPr>
        <w:t>coachee</w:t>
      </w:r>
      <w:proofErr w:type="spellEnd"/>
      <w:r w:rsidRPr="001C2CB4">
        <w:rPr>
          <w:rFonts w:ascii="Arial" w:hAnsi="Arial" w:cs="Arial"/>
        </w:rPr>
        <w:t xml:space="preserve"> lacks motivation or clarity </w:t>
      </w:r>
      <w:r w:rsidRPr="001C2CB4">
        <w:rPr>
          <w:rFonts w:ascii="Arial" w:hAnsi="Arial" w:cs="Arial"/>
        </w:rPr>
        <w:lastRenderedPageBreak/>
        <w:t>regarding their goals</w:t>
      </w:r>
      <w:r w:rsidR="00A916ED" w:rsidRPr="001C2CB4">
        <w:rPr>
          <w:rFonts w:ascii="Arial" w:hAnsi="Arial" w:cs="Arial"/>
        </w:rPr>
        <w:t xml:space="preserve"> (Connor, Pokora, 2012)</w:t>
      </w:r>
      <w:r w:rsidRPr="001C2CB4">
        <w:rPr>
          <w:rFonts w:ascii="Arial" w:hAnsi="Arial" w:cs="Arial"/>
        </w:rPr>
        <w:t>. Although helpful, mismatched mentor-mentee relationships, power imbalances, or lack of commitment from either party can hinder the mentoring process</w:t>
      </w:r>
      <w:r w:rsidR="00E34910" w:rsidRPr="001C2CB4">
        <w:rPr>
          <w:rFonts w:ascii="Arial" w:hAnsi="Arial" w:cs="Arial"/>
        </w:rPr>
        <w:t>.</w:t>
      </w:r>
      <w:r w:rsidRPr="001C2CB4">
        <w:rPr>
          <w:rFonts w:ascii="Arial" w:hAnsi="Arial" w:cs="Arial"/>
        </w:rPr>
        <w:t xml:space="preserve"> Moreover, overly dependent mentoring relationships could impair the mentee's ability to develop autonomous problem-solving skills. To ensure their success, both approaches demand careful preparation, well-defined goals, and ongoing assessment.</w:t>
      </w:r>
    </w:p>
    <w:p w14:paraId="5944871C" w14:textId="57992D78" w:rsidR="00141121" w:rsidRPr="00D64BBA" w:rsidRDefault="00141121" w:rsidP="00A40F1A">
      <w:pPr>
        <w:pStyle w:val="Heading1"/>
        <w:spacing w:line="360" w:lineRule="auto"/>
        <w:jc w:val="both"/>
        <w:rPr>
          <w:rFonts w:ascii="Arial" w:hAnsi="Arial" w:cs="Arial"/>
          <w:b/>
          <w:bCs/>
          <w:color w:val="auto"/>
          <w:sz w:val="22"/>
          <w:szCs w:val="22"/>
        </w:rPr>
      </w:pPr>
      <w:bookmarkStart w:id="2" w:name="_Toc193572822"/>
      <w:r w:rsidRPr="00D64BBA">
        <w:rPr>
          <w:rFonts w:ascii="Arial" w:hAnsi="Arial" w:cs="Arial"/>
          <w:b/>
          <w:bCs/>
          <w:color w:val="auto"/>
          <w:sz w:val="22"/>
          <w:szCs w:val="22"/>
        </w:rPr>
        <w:t xml:space="preserve">Critical Analysis </w:t>
      </w:r>
      <w:r w:rsidR="00A141E5" w:rsidRPr="00D64BBA">
        <w:rPr>
          <w:rFonts w:ascii="Arial" w:hAnsi="Arial" w:cs="Arial"/>
          <w:b/>
          <w:bCs/>
          <w:color w:val="auto"/>
          <w:sz w:val="22"/>
          <w:szCs w:val="22"/>
        </w:rPr>
        <w:t xml:space="preserve">of </w:t>
      </w:r>
      <w:r w:rsidRPr="00D64BBA">
        <w:rPr>
          <w:rFonts w:ascii="Arial" w:hAnsi="Arial" w:cs="Arial"/>
          <w:b/>
          <w:bCs/>
          <w:color w:val="auto"/>
          <w:sz w:val="22"/>
          <w:szCs w:val="22"/>
        </w:rPr>
        <w:t>the GROW Model</w:t>
      </w:r>
      <w:bookmarkEnd w:id="2"/>
    </w:p>
    <w:p w14:paraId="34EA368D" w14:textId="77777777" w:rsidR="00A4620A" w:rsidRDefault="00A4620A" w:rsidP="00A40F1A">
      <w:pPr>
        <w:spacing w:line="360" w:lineRule="auto"/>
        <w:jc w:val="both"/>
        <w:rPr>
          <w:rFonts w:ascii="Arial" w:hAnsi="Arial" w:cs="Arial"/>
        </w:rPr>
      </w:pPr>
      <w:r>
        <w:rPr>
          <w:rFonts w:ascii="Arial" w:hAnsi="Arial" w:cs="Arial"/>
        </w:rPr>
        <w:t>The GROW model, developed by Sir John Whitmore in 1992, is a prominent framework in coaching, offering a systematic approach to facilitate discussions and promote personal growth. It empowers individuals to take responsibility for their development by navigating four essential stages: Goal, Reality, Options, and Will (or Way Forward). This introspective process begins with the establishment of clear, achievable objectives, moves on to an honest evaluation of current circumstances and the exploration of potential strategies, and culminates in a commitment to specific, practical activities.</w:t>
      </w:r>
    </w:p>
    <w:p w14:paraId="1CBF729F" w14:textId="77777777" w:rsidR="00A4620A" w:rsidRDefault="00A4620A" w:rsidP="00A40F1A">
      <w:pPr>
        <w:spacing w:line="360" w:lineRule="auto"/>
        <w:jc w:val="both"/>
        <w:rPr>
          <w:rFonts w:ascii="Arial" w:hAnsi="Arial" w:cs="Arial"/>
        </w:rPr>
      </w:pPr>
      <w:r>
        <w:rPr>
          <w:rFonts w:ascii="Arial" w:hAnsi="Arial" w:cs="Arial"/>
        </w:rPr>
        <w:t xml:space="preserve">Grounded in self-awareness, accountability, and empowerment, the GROW model serves as a flexible and broadly applicable coaching tool in diverse business environments. This analysis evaluates its strengths, weaknesses, and practical applicability. The principal advantage of the GROW model is its simplicity and clarity. Its straightforward, four-stage framework acts as an accessible guide, beneficial for both inexperienced and seasoned trainers (Alexander, 2006). By prioritising </w:t>
      </w:r>
      <w:proofErr w:type="gramStart"/>
      <w:r>
        <w:rPr>
          <w:rFonts w:ascii="Arial" w:hAnsi="Arial" w:cs="Arial"/>
        </w:rPr>
        <w:t>goal-setting</w:t>
      </w:r>
      <w:proofErr w:type="gramEnd"/>
      <w:r>
        <w:rPr>
          <w:rFonts w:ascii="Arial" w:hAnsi="Arial" w:cs="Arial"/>
        </w:rPr>
        <w:t xml:space="preserve">, the model ensures that sessions remain focused and results-driven, which is crucial in time-restricted business settings. Furthermore, it promotes self-directed learning, encouraging </w:t>
      </w:r>
      <w:proofErr w:type="spellStart"/>
      <w:r>
        <w:rPr>
          <w:rFonts w:ascii="Arial" w:hAnsi="Arial" w:cs="Arial"/>
        </w:rPr>
        <w:t>coachees</w:t>
      </w:r>
      <w:proofErr w:type="spellEnd"/>
      <w:r>
        <w:rPr>
          <w:rFonts w:ascii="Arial" w:hAnsi="Arial" w:cs="Arial"/>
        </w:rPr>
        <w:t xml:space="preserve"> to reflect on their situations, devise solutions, and assume responsibility for their progress.</w:t>
      </w:r>
    </w:p>
    <w:p w14:paraId="22337401" w14:textId="77777777" w:rsidR="00A4620A" w:rsidRDefault="00A4620A" w:rsidP="00A40F1A">
      <w:pPr>
        <w:spacing w:line="360" w:lineRule="auto"/>
        <w:jc w:val="both"/>
        <w:rPr>
          <w:rFonts w:ascii="Arial" w:hAnsi="Arial" w:cs="Arial"/>
        </w:rPr>
      </w:pPr>
      <w:r>
        <w:rPr>
          <w:rFonts w:ascii="Arial" w:hAnsi="Arial" w:cs="Arial"/>
        </w:rPr>
        <w:t>This approach fosters accountability and facilitates lasting behavioural changes. The model's versatility enhances its appeal, demonstrating effectiveness across various domains such as performance improvement, career development, problem-solving, and decision-making. It can assist employees in setting career milestones, overcoming workplace challenges, or refining leadership skills, making it a valuable resource across numerous industries and levels of seniority. Despite its strengths, the GROW model has some inherent limitations.</w:t>
      </w:r>
    </w:p>
    <w:p w14:paraId="2A157BA2" w14:textId="77777777" w:rsidR="00A4620A" w:rsidRDefault="00A4620A" w:rsidP="00A40F1A">
      <w:pPr>
        <w:spacing w:line="360" w:lineRule="auto"/>
        <w:jc w:val="both"/>
        <w:rPr>
          <w:rFonts w:ascii="Arial" w:hAnsi="Arial" w:cs="Arial"/>
        </w:rPr>
      </w:pPr>
      <w:r>
        <w:rPr>
          <w:rFonts w:ascii="Arial" w:hAnsi="Arial" w:cs="Arial"/>
        </w:rPr>
        <w:t xml:space="preserve">Critics argue that its linear structure may oversimplify complex or emotionally nuanced scenarios, as </w:t>
      </w:r>
      <w:proofErr w:type="spellStart"/>
      <w:r>
        <w:rPr>
          <w:rFonts w:ascii="Arial" w:hAnsi="Arial" w:cs="Arial"/>
        </w:rPr>
        <w:t>coachees</w:t>
      </w:r>
      <w:proofErr w:type="spellEnd"/>
      <w:r>
        <w:rPr>
          <w:rFonts w:ascii="Arial" w:hAnsi="Arial" w:cs="Arial"/>
        </w:rPr>
        <w:t xml:space="preserve"> facing deep-seated issues like low self-esteem or personal challenges may find the model's rigid framework inadequate for addressing underlying psychological barriers. Additionally, its effectiveness relies on a </w:t>
      </w:r>
      <w:proofErr w:type="spellStart"/>
      <w:r>
        <w:rPr>
          <w:rFonts w:ascii="Arial" w:hAnsi="Arial" w:cs="Arial"/>
        </w:rPr>
        <w:t>coachee's</w:t>
      </w:r>
      <w:proofErr w:type="spellEnd"/>
      <w:r>
        <w:rPr>
          <w:rFonts w:ascii="Arial" w:hAnsi="Arial" w:cs="Arial"/>
        </w:rPr>
        <w:t xml:space="preserve"> ability to clearly state objectives and assess their current situation. Without adequate self-awareness or clarity, growth may stall prematurely (Passmore et al., 2013). The model's emphasis on short-term, goal-specific </w:t>
      </w:r>
      <w:r>
        <w:rPr>
          <w:rFonts w:ascii="Arial" w:hAnsi="Arial" w:cs="Arial"/>
        </w:rPr>
        <w:lastRenderedPageBreak/>
        <w:t>outcomes can limit its applicability for long-term developmental coaching, necessitating coaches to incorporate additional methods to achieve comprehensive growth objectives.</w:t>
      </w:r>
    </w:p>
    <w:p w14:paraId="6258FC08" w14:textId="77777777" w:rsidR="00A4620A" w:rsidRDefault="00A4620A" w:rsidP="00A40F1A">
      <w:pPr>
        <w:spacing w:line="360" w:lineRule="auto"/>
        <w:jc w:val="both"/>
        <w:rPr>
          <w:rFonts w:ascii="Arial" w:hAnsi="Arial" w:cs="Arial"/>
        </w:rPr>
      </w:pPr>
      <w:r>
        <w:rPr>
          <w:rFonts w:ascii="Arial" w:hAnsi="Arial" w:cs="Arial"/>
        </w:rPr>
        <w:t>The GROW model is particularly effective when explicit objectives and measurable outcomes are essential. It proves especially useful in performance coaching, helping employees refine specific skills or achieve defined goals, as well as in leadership coaching, where it encourages reflection and innovative problem-solving. A manager aiming to enhance team productivity can utilise the GROW model to set objectives, evaluate current dynamics, explore strategies, and commit to actions. However, the model may be insufficient in more complex or emotionally charged situations, such as addressing burnout or interpersonal conflicts, unless combined with techniques like solution-focused coaching or cognitive-behavioural therapies (Passmore, 2006).</w:t>
      </w:r>
    </w:p>
    <w:p w14:paraId="47D12AD9" w14:textId="7665417B" w:rsidR="00AB1187" w:rsidRPr="001C2CB4" w:rsidRDefault="00A4620A" w:rsidP="00A40F1A">
      <w:pPr>
        <w:spacing w:line="360" w:lineRule="auto"/>
        <w:jc w:val="both"/>
        <w:rPr>
          <w:rFonts w:ascii="Arial" w:hAnsi="Arial" w:cs="Arial"/>
        </w:rPr>
      </w:pPr>
      <w:r>
        <w:rPr>
          <w:rFonts w:ascii="Arial" w:hAnsi="Arial" w:cs="Arial"/>
        </w:rPr>
        <w:t>Ultimately, while the GROW model offers a robust and accessible framework for goal-oriented coaching, its effectiveness is maximised when tailored to the specific needs of the coach and supplemented with additional tools, as required by the complexities involved. This balance ensures that it remains a foundational aspect of coaching practice while also adapting to the varied challenges of the workplace.</w:t>
      </w:r>
    </w:p>
    <w:p w14:paraId="3ED1F2F9" w14:textId="115A1480" w:rsidR="00A141E5" w:rsidRPr="00A40F1A" w:rsidRDefault="00680C1E" w:rsidP="00A40F1A">
      <w:pPr>
        <w:pStyle w:val="Heading1"/>
        <w:spacing w:line="360" w:lineRule="auto"/>
        <w:rPr>
          <w:rFonts w:ascii="Arial" w:hAnsi="Arial" w:cs="Arial"/>
          <w:b/>
          <w:bCs/>
          <w:color w:val="auto"/>
          <w:sz w:val="22"/>
          <w:szCs w:val="22"/>
        </w:rPr>
      </w:pPr>
      <w:bookmarkStart w:id="3" w:name="_Toc193572823"/>
      <w:r w:rsidRPr="00A40F1A">
        <w:rPr>
          <w:rFonts w:ascii="Arial" w:hAnsi="Arial" w:cs="Arial"/>
          <w:b/>
          <w:bCs/>
          <w:color w:val="auto"/>
          <w:sz w:val="22"/>
          <w:szCs w:val="22"/>
        </w:rPr>
        <w:t>Reflection on Peer Coaching Using Gibb's Reflective Model</w:t>
      </w:r>
      <w:bookmarkEnd w:id="3"/>
    </w:p>
    <w:p w14:paraId="06284F0F" w14:textId="77777777" w:rsidR="00A4620A" w:rsidRDefault="00A4620A" w:rsidP="00A40F1A">
      <w:pPr>
        <w:spacing w:line="360" w:lineRule="auto"/>
        <w:jc w:val="both"/>
        <w:rPr>
          <w:rFonts w:ascii="Arial" w:hAnsi="Arial" w:cs="Arial"/>
        </w:rPr>
      </w:pPr>
      <w:r>
        <w:rPr>
          <w:rFonts w:ascii="Arial" w:hAnsi="Arial" w:cs="Arial"/>
        </w:rPr>
        <w:t>Description.</w:t>
      </w:r>
    </w:p>
    <w:p w14:paraId="699F1849" w14:textId="77777777" w:rsidR="00A4620A" w:rsidRDefault="00A4620A" w:rsidP="00A40F1A">
      <w:pPr>
        <w:spacing w:line="360" w:lineRule="auto"/>
        <w:jc w:val="both"/>
        <w:rPr>
          <w:rFonts w:ascii="Arial" w:hAnsi="Arial" w:cs="Arial"/>
        </w:rPr>
      </w:pPr>
      <w:r>
        <w:rPr>
          <w:rFonts w:ascii="Arial" w:hAnsi="Arial" w:cs="Arial"/>
        </w:rPr>
        <w:t xml:space="preserve">In my coaching session, I assisted a </w:t>
      </w:r>
      <w:proofErr w:type="spellStart"/>
      <w:r>
        <w:rPr>
          <w:rFonts w:ascii="Arial" w:hAnsi="Arial" w:cs="Arial"/>
        </w:rPr>
        <w:t>coachee</w:t>
      </w:r>
      <w:proofErr w:type="spellEnd"/>
      <w:r>
        <w:rPr>
          <w:rFonts w:ascii="Arial" w:hAnsi="Arial" w:cs="Arial"/>
        </w:rPr>
        <w:t xml:space="preserve"> in shifting from a factory operator to a quality auditor. Employing the GROW model, I focused on the reality phase to evaluate her circumstances and delineate actions towards her objective. We clarified her purpose and outlined her current duties, which included quality control responsibilities. We highlighted gaps in her knowledge of formal auditing and explored potential activities, such as enrolling in </w:t>
      </w:r>
      <w:proofErr w:type="gramStart"/>
      <w:r>
        <w:rPr>
          <w:rFonts w:ascii="Arial" w:hAnsi="Arial" w:cs="Arial"/>
        </w:rPr>
        <w:t>a</w:t>
      </w:r>
      <w:proofErr w:type="gramEnd"/>
      <w:r>
        <w:rPr>
          <w:rFonts w:ascii="Arial" w:hAnsi="Arial" w:cs="Arial"/>
        </w:rPr>
        <w:t xml:space="preserve"> ISO 9001 course and researching Six Sigma. For practical experience, I suggested she consult her manager about shadowing an auditor. The meeting concluded with an agreement to reconvene in a month for further discussion regarding the action plan.</w:t>
      </w:r>
    </w:p>
    <w:p w14:paraId="4AAC77EC" w14:textId="77777777" w:rsidR="00A4620A" w:rsidRDefault="00A4620A" w:rsidP="00A40F1A">
      <w:pPr>
        <w:spacing w:line="360" w:lineRule="auto"/>
        <w:jc w:val="both"/>
        <w:rPr>
          <w:rFonts w:ascii="Arial" w:hAnsi="Arial" w:cs="Arial"/>
        </w:rPr>
      </w:pPr>
      <w:r>
        <w:rPr>
          <w:rFonts w:ascii="Arial" w:hAnsi="Arial" w:cs="Arial"/>
        </w:rPr>
        <w:t>Feelings.</w:t>
      </w:r>
    </w:p>
    <w:p w14:paraId="43288C4A" w14:textId="77777777" w:rsidR="00A4620A" w:rsidRDefault="00A4620A" w:rsidP="00A40F1A">
      <w:pPr>
        <w:spacing w:line="360" w:lineRule="auto"/>
        <w:jc w:val="both"/>
        <w:rPr>
          <w:rFonts w:ascii="Arial" w:hAnsi="Arial" w:cs="Arial"/>
        </w:rPr>
      </w:pPr>
      <w:r>
        <w:rPr>
          <w:rFonts w:ascii="Arial" w:hAnsi="Arial" w:cs="Arial"/>
        </w:rPr>
        <w:t xml:space="preserve">Initially, I was concerned about applying the GROW model in a live coaching setting as I wanted to ensure the </w:t>
      </w:r>
      <w:proofErr w:type="spellStart"/>
      <w:r>
        <w:rPr>
          <w:rFonts w:ascii="Arial" w:hAnsi="Arial" w:cs="Arial"/>
        </w:rPr>
        <w:t>coachee</w:t>
      </w:r>
      <w:proofErr w:type="spellEnd"/>
      <w:r>
        <w:rPr>
          <w:rFonts w:ascii="Arial" w:hAnsi="Arial" w:cs="Arial"/>
        </w:rPr>
        <w:t xml:space="preserve"> felt supported. I gained confidence as the session progressed, particularly as she responded positively to my inquiries and seemed engaged. When the professor complimented my ability to articulate objectives and listen with empathy, I felt proud. At the same time, I was uncertain whether I had adequately addressed her concerns regarding </w:t>
      </w:r>
      <w:r>
        <w:rPr>
          <w:rFonts w:ascii="Arial" w:hAnsi="Arial" w:cs="Arial"/>
        </w:rPr>
        <w:lastRenderedPageBreak/>
        <w:t>her lack of formal auditing experience. I left with a sense of accomplishment from the session, but it also inspired a desire to further refine my approach.</w:t>
      </w:r>
    </w:p>
    <w:p w14:paraId="1D4DF6A9" w14:textId="77777777" w:rsidR="00A4620A" w:rsidRDefault="00A4620A" w:rsidP="00A40F1A">
      <w:pPr>
        <w:spacing w:line="360" w:lineRule="auto"/>
        <w:jc w:val="both"/>
        <w:rPr>
          <w:rFonts w:ascii="Arial" w:hAnsi="Arial" w:cs="Arial"/>
        </w:rPr>
      </w:pPr>
      <w:r>
        <w:rPr>
          <w:rFonts w:ascii="Arial" w:hAnsi="Arial" w:cs="Arial"/>
        </w:rPr>
        <w:t>Evaluation.</w:t>
      </w:r>
    </w:p>
    <w:p w14:paraId="1E80C378" w14:textId="77777777" w:rsidR="00A4620A" w:rsidRDefault="00A4620A" w:rsidP="00A40F1A">
      <w:pPr>
        <w:spacing w:line="360" w:lineRule="auto"/>
        <w:jc w:val="both"/>
        <w:rPr>
          <w:rFonts w:ascii="Arial" w:hAnsi="Arial" w:cs="Arial"/>
        </w:rPr>
      </w:pPr>
      <w:r>
        <w:rPr>
          <w:rFonts w:ascii="Arial" w:hAnsi="Arial" w:cs="Arial"/>
        </w:rPr>
        <w:t xml:space="preserve">The session had notable strengths. I established a clear goal to provide focus and direction. My emphasis on the reality phase of the GROW model facilitated the </w:t>
      </w:r>
      <w:proofErr w:type="spellStart"/>
      <w:r>
        <w:rPr>
          <w:rFonts w:ascii="Arial" w:hAnsi="Arial" w:cs="Arial"/>
        </w:rPr>
        <w:t>coachee's</w:t>
      </w:r>
      <w:proofErr w:type="spellEnd"/>
      <w:r>
        <w:rPr>
          <w:rFonts w:ascii="Arial" w:hAnsi="Arial" w:cs="Arial"/>
        </w:rPr>
        <w:t xml:space="preserve"> deep reflection on her situation and the identification of knowledge gaps. The professor highlighted my empathic listening and supportive remarks, such as, “That’s a proactive step,” which enhanced her trust. The action plan, which included the ISO 9001 training and a shadowing idea, was practical and aligned with her goals. However, I could have devoted more time to establishing rapport at the outset to foster a more trusting environment. Furthermore, I did not define the GROW model succinctly at the beginning, which might have aided her understanding of the session's framework.</w:t>
      </w:r>
    </w:p>
    <w:p w14:paraId="082D1971" w14:textId="77777777" w:rsidR="00A4620A" w:rsidRDefault="00A4620A" w:rsidP="00A40F1A">
      <w:pPr>
        <w:spacing w:line="360" w:lineRule="auto"/>
        <w:jc w:val="both"/>
        <w:rPr>
          <w:rFonts w:ascii="Arial" w:hAnsi="Arial" w:cs="Arial"/>
        </w:rPr>
      </w:pPr>
      <w:r>
        <w:rPr>
          <w:rFonts w:ascii="Arial" w:hAnsi="Arial" w:cs="Arial"/>
        </w:rPr>
        <w:t>Analysis.</w:t>
      </w:r>
    </w:p>
    <w:p w14:paraId="20F10799" w14:textId="77777777" w:rsidR="00A4620A" w:rsidRDefault="00A4620A" w:rsidP="00A40F1A">
      <w:pPr>
        <w:spacing w:line="360" w:lineRule="auto"/>
        <w:jc w:val="both"/>
        <w:rPr>
          <w:rFonts w:ascii="Arial" w:hAnsi="Arial" w:cs="Arial"/>
        </w:rPr>
      </w:pPr>
      <w:r>
        <w:rPr>
          <w:rFonts w:ascii="Arial" w:hAnsi="Arial" w:cs="Arial"/>
        </w:rPr>
        <w:t xml:space="preserve">Based on the feedback, my systematic approach worked well but may have been improved with a stronger initial connection. The GROW model was successful in promoting self-directed learning, and my supportive demeanour fostered a positive environment—an important aspect of successful coaching. Nonetheless, I could have done more to address the </w:t>
      </w:r>
      <w:proofErr w:type="spellStart"/>
      <w:r>
        <w:rPr>
          <w:rFonts w:ascii="Arial" w:hAnsi="Arial" w:cs="Arial"/>
        </w:rPr>
        <w:t>coachee's</w:t>
      </w:r>
      <w:proofErr w:type="spellEnd"/>
      <w:r>
        <w:rPr>
          <w:rFonts w:ascii="Arial" w:hAnsi="Arial" w:cs="Arial"/>
        </w:rPr>
        <w:t xml:space="preserve"> concerns about transitioning into a new area. For instance, I could have suggested specific resources, such as professional networks or online classes, to help her feel more comfortable with auditing practices.</w:t>
      </w:r>
    </w:p>
    <w:p w14:paraId="4CE223FF" w14:textId="77777777" w:rsidR="00A4620A" w:rsidRDefault="00A4620A" w:rsidP="00A40F1A">
      <w:pPr>
        <w:spacing w:line="360" w:lineRule="auto"/>
        <w:jc w:val="both"/>
        <w:rPr>
          <w:rFonts w:ascii="Arial" w:hAnsi="Arial" w:cs="Arial"/>
        </w:rPr>
      </w:pPr>
      <w:r>
        <w:rPr>
          <w:rFonts w:ascii="Arial" w:hAnsi="Arial" w:cs="Arial"/>
        </w:rPr>
        <w:t>Conclusion.</w:t>
      </w:r>
    </w:p>
    <w:p w14:paraId="0E11DF38" w14:textId="77777777" w:rsidR="00A4620A" w:rsidRDefault="00A4620A" w:rsidP="00A40F1A">
      <w:pPr>
        <w:spacing w:line="360" w:lineRule="auto"/>
        <w:jc w:val="both"/>
        <w:rPr>
          <w:rFonts w:ascii="Arial" w:hAnsi="Arial" w:cs="Arial"/>
        </w:rPr>
      </w:pPr>
      <w:r>
        <w:rPr>
          <w:rFonts w:ascii="Arial" w:hAnsi="Arial" w:cs="Arial"/>
        </w:rPr>
        <w:t>Overall, the session was a beneficial learning experience. I demonstrated effective questioning and listening skills, successfully implemented the GROW model, and developed a practical action plan. However, I need to enhance my ability to provide more comprehensive advice and address the needs of individuals entering a new domain. Identifying these areas for development will enable me to improve my coaching approach in the future.</w:t>
      </w:r>
    </w:p>
    <w:p w14:paraId="314CA313" w14:textId="77777777" w:rsidR="00A4620A" w:rsidRDefault="00A4620A" w:rsidP="00A40F1A">
      <w:pPr>
        <w:spacing w:line="360" w:lineRule="auto"/>
        <w:jc w:val="both"/>
        <w:rPr>
          <w:rFonts w:ascii="Arial" w:hAnsi="Arial" w:cs="Arial"/>
        </w:rPr>
      </w:pPr>
      <w:r>
        <w:rPr>
          <w:rFonts w:ascii="Arial" w:hAnsi="Arial" w:cs="Arial"/>
        </w:rPr>
        <w:t>Action Plan.</w:t>
      </w:r>
    </w:p>
    <w:p w14:paraId="43E87F59" w14:textId="2A33968D" w:rsidR="001221EF" w:rsidRPr="001C2CB4" w:rsidRDefault="00A4620A" w:rsidP="00A40F1A">
      <w:pPr>
        <w:spacing w:line="360" w:lineRule="auto"/>
        <w:jc w:val="both"/>
        <w:rPr>
          <w:rFonts w:ascii="Arial" w:hAnsi="Arial" w:cs="Arial"/>
        </w:rPr>
      </w:pPr>
      <w:r>
        <w:rPr>
          <w:rFonts w:ascii="Arial" w:hAnsi="Arial" w:cs="Arial"/>
        </w:rPr>
        <w:t>In the future, I intend to build rapport by asking open-ended questions and engaging in casual dialogue. Additionally, I will clarify any coaching models I employ at the beginning of each session. To further develop my coaching skills, I plan to practice simulated scenarios and seek regular feedback from peers and mentors.</w:t>
      </w:r>
    </w:p>
    <w:p w14:paraId="0B59603C" w14:textId="77777777" w:rsidR="001C2CB4" w:rsidRPr="00A40F1A" w:rsidRDefault="00680C1E" w:rsidP="00A40F1A">
      <w:pPr>
        <w:pStyle w:val="Heading1"/>
        <w:spacing w:line="360" w:lineRule="auto"/>
        <w:rPr>
          <w:rFonts w:ascii="Arial" w:hAnsi="Arial" w:cs="Arial"/>
          <w:b/>
          <w:bCs/>
          <w:color w:val="auto"/>
          <w:sz w:val="22"/>
          <w:szCs w:val="22"/>
        </w:rPr>
      </w:pPr>
      <w:bookmarkStart w:id="4" w:name="_Toc193572824"/>
      <w:r w:rsidRPr="00A40F1A">
        <w:rPr>
          <w:rFonts w:ascii="Arial" w:hAnsi="Arial" w:cs="Arial"/>
          <w:b/>
          <w:bCs/>
          <w:color w:val="auto"/>
          <w:sz w:val="22"/>
          <w:szCs w:val="22"/>
        </w:rPr>
        <w:lastRenderedPageBreak/>
        <w:t xml:space="preserve">Reflection on Peer Mentoring </w:t>
      </w:r>
      <w:r w:rsidR="001C2CB4" w:rsidRPr="00A40F1A">
        <w:rPr>
          <w:rFonts w:ascii="Arial" w:hAnsi="Arial" w:cs="Arial"/>
          <w:b/>
          <w:bCs/>
          <w:color w:val="auto"/>
          <w:sz w:val="22"/>
          <w:szCs w:val="22"/>
        </w:rPr>
        <w:t>Using Gibb's Reflective Model</w:t>
      </w:r>
      <w:bookmarkEnd w:id="4"/>
    </w:p>
    <w:p w14:paraId="0DE92D72" w14:textId="77777777" w:rsidR="00A4620A" w:rsidRDefault="00A4620A" w:rsidP="00A40F1A">
      <w:pPr>
        <w:spacing w:line="360" w:lineRule="auto"/>
        <w:jc w:val="both"/>
        <w:rPr>
          <w:rFonts w:ascii="Arial" w:hAnsi="Arial" w:cs="Arial"/>
        </w:rPr>
      </w:pPr>
      <w:r>
        <w:rPr>
          <w:rFonts w:ascii="Arial" w:hAnsi="Arial" w:cs="Arial"/>
        </w:rPr>
        <w:t>Description.</w:t>
      </w:r>
    </w:p>
    <w:p w14:paraId="0D3AB1AF" w14:textId="77777777" w:rsidR="00A4620A" w:rsidRDefault="00A4620A" w:rsidP="00A40F1A">
      <w:pPr>
        <w:spacing w:line="360" w:lineRule="auto"/>
        <w:jc w:val="both"/>
        <w:rPr>
          <w:rFonts w:ascii="Arial" w:hAnsi="Arial" w:cs="Arial"/>
        </w:rPr>
      </w:pPr>
      <w:r>
        <w:rPr>
          <w:rFonts w:ascii="Arial" w:hAnsi="Arial" w:cs="Arial"/>
        </w:rPr>
        <w:t>In my peer mentoring session, I supported a colleague who was contemplating a career transition from her position as a quality operator. We connected and outlined her objectives, focusing on recognising her strengths and exploring new career opportunities. I introduced the Johari Window model to highlight her strengths, particularly her keen attention to detail, which could be beneficial in data analysis or auditing. I suggested that she enrol in a beginner's course in data analysis on LinkedIn as an initial step. The session concluded with a well-defined action plan and an agreement to monitor her progress moving forward.</w:t>
      </w:r>
    </w:p>
    <w:p w14:paraId="0733EA1D" w14:textId="77777777" w:rsidR="00A4620A" w:rsidRDefault="00A4620A" w:rsidP="00A40F1A">
      <w:pPr>
        <w:spacing w:line="360" w:lineRule="auto"/>
        <w:jc w:val="both"/>
        <w:rPr>
          <w:rFonts w:ascii="Arial" w:hAnsi="Arial" w:cs="Arial"/>
        </w:rPr>
      </w:pPr>
      <w:r>
        <w:rPr>
          <w:rFonts w:ascii="Arial" w:hAnsi="Arial" w:cs="Arial"/>
        </w:rPr>
        <w:t>Feelings.</w:t>
      </w:r>
    </w:p>
    <w:p w14:paraId="4FD1F306" w14:textId="77777777" w:rsidR="00A4620A" w:rsidRDefault="00A4620A" w:rsidP="00A40F1A">
      <w:pPr>
        <w:spacing w:line="360" w:lineRule="auto"/>
        <w:jc w:val="both"/>
        <w:rPr>
          <w:rFonts w:ascii="Arial" w:hAnsi="Arial" w:cs="Arial"/>
        </w:rPr>
      </w:pPr>
      <w:r>
        <w:rPr>
          <w:rFonts w:ascii="Arial" w:hAnsi="Arial" w:cs="Arial"/>
        </w:rPr>
        <w:t>Initially, I felt some anxiety regarding the application of the Johari model during the mentoring process. As it progressed, I developed confidence, especially when the mentee reacted positively to my enquiries. I felt a sense of pride when the professor acknowledged my abilities in clarifying goals and practising empathetic listening. I also offered supportive follow-up remarks that boosted the mentee's confidence. Nonetheless, I recognised that finding the right balance between providing guidance and allowing for self-reflection was an area where I could improve my approach.</w:t>
      </w:r>
    </w:p>
    <w:p w14:paraId="712D2F1C" w14:textId="77777777" w:rsidR="00A4620A" w:rsidRDefault="00A4620A" w:rsidP="00A40F1A">
      <w:pPr>
        <w:spacing w:line="360" w:lineRule="auto"/>
        <w:jc w:val="both"/>
        <w:rPr>
          <w:rFonts w:ascii="Arial" w:hAnsi="Arial" w:cs="Arial"/>
        </w:rPr>
      </w:pPr>
      <w:r>
        <w:rPr>
          <w:rFonts w:ascii="Arial" w:hAnsi="Arial" w:cs="Arial"/>
        </w:rPr>
        <w:t>Evaluation.</w:t>
      </w:r>
    </w:p>
    <w:p w14:paraId="46E46B96" w14:textId="77777777" w:rsidR="00A4620A" w:rsidRDefault="00A4620A" w:rsidP="00A40F1A">
      <w:pPr>
        <w:spacing w:line="360" w:lineRule="auto"/>
        <w:jc w:val="both"/>
        <w:rPr>
          <w:rFonts w:ascii="Arial" w:hAnsi="Arial" w:cs="Arial"/>
        </w:rPr>
      </w:pPr>
      <w:r>
        <w:rPr>
          <w:rFonts w:ascii="Arial" w:hAnsi="Arial" w:cs="Arial"/>
        </w:rPr>
        <w:t>The session highlighted several strengths. I established a rapport early on, fostering an accepting atmosphere for the mentee. The mentee embraced the Johari model positively, which helped her to recognise her strengths. My effective questioning skills encouraged her to reflect on her abilities and career options. The professor acknowledged my attentive listening and supportive remarks, which enhanced her confidence. I also suggested a practical action plan—enrolling in a beginner data analysis course on LinkedIn—that aligned with her objectives.</w:t>
      </w:r>
    </w:p>
    <w:p w14:paraId="56033DF5" w14:textId="77777777" w:rsidR="00A4620A" w:rsidRDefault="00A4620A" w:rsidP="00A40F1A">
      <w:pPr>
        <w:spacing w:line="360" w:lineRule="auto"/>
        <w:jc w:val="both"/>
        <w:rPr>
          <w:rFonts w:ascii="Arial" w:hAnsi="Arial" w:cs="Arial"/>
        </w:rPr>
      </w:pPr>
      <w:r>
        <w:rPr>
          <w:rFonts w:ascii="Arial" w:hAnsi="Arial" w:cs="Arial"/>
        </w:rPr>
        <w:t>Analysis.</w:t>
      </w:r>
    </w:p>
    <w:p w14:paraId="0E0CE9C8" w14:textId="77777777" w:rsidR="00A4620A" w:rsidRDefault="00A4620A" w:rsidP="00A40F1A">
      <w:pPr>
        <w:spacing w:line="360" w:lineRule="auto"/>
        <w:jc w:val="both"/>
        <w:rPr>
          <w:rFonts w:ascii="Arial" w:hAnsi="Arial" w:cs="Arial"/>
        </w:rPr>
      </w:pPr>
      <w:r>
        <w:rPr>
          <w:rFonts w:ascii="Arial" w:hAnsi="Arial" w:cs="Arial"/>
        </w:rPr>
        <w:t>The professor's feedback underscored the importance of establishing rapport and clarifying goals, which I accomplished effectively. The Johari model served as a valuable tool in aiding the mentee to identify her strengths, especially since they were recognised by others too (Luft, 1961). This aligns with the model's aim of enhancing self-awareness and building trust in mentoring relationships. My reassuring comments and empathetic listening created a positive and supportive environment, which is essential for effective mentoring.</w:t>
      </w:r>
    </w:p>
    <w:p w14:paraId="37174C41" w14:textId="77777777" w:rsidR="00ED3FE4" w:rsidRDefault="00ED3FE4" w:rsidP="00A40F1A">
      <w:pPr>
        <w:spacing w:line="360" w:lineRule="auto"/>
        <w:jc w:val="both"/>
        <w:rPr>
          <w:rFonts w:ascii="Arial" w:hAnsi="Arial" w:cs="Arial"/>
        </w:rPr>
      </w:pPr>
    </w:p>
    <w:p w14:paraId="3650B661" w14:textId="77C0B61C" w:rsidR="00A4620A" w:rsidRDefault="00A4620A" w:rsidP="00A40F1A">
      <w:pPr>
        <w:spacing w:line="360" w:lineRule="auto"/>
        <w:jc w:val="both"/>
        <w:rPr>
          <w:rFonts w:ascii="Arial" w:hAnsi="Arial" w:cs="Arial"/>
        </w:rPr>
      </w:pPr>
      <w:r>
        <w:rPr>
          <w:rFonts w:ascii="Arial" w:hAnsi="Arial" w:cs="Arial"/>
        </w:rPr>
        <w:lastRenderedPageBreak/>
        <w:t>Conclusion.</w:t>
      </w:r>
    </w:p>
    <w:p w14:paraId="3AE06E4D" w14:textId="77777777" w:rsidR="00A4620A" w:rsidRDefault="00A4620A" w:rsidP="00A40F1A">
      <w:pPr>
        <w:spacing w:line="360" w:lineRule="auto"/>
        <w:jc w:val="both"/>
        <w:rPr>
          <w:rFonts w:ascii="Arial" w:hAnsi="Arial" w:cs="Arial"/>
        </w:rPr>
      </w:pPr>
      <w:r>
        <w:rPr>
          <w:rFonts w:ascii="Arial" w:hAnsi="Arial" w:cs="Arial"/>
        </w:rPr>
        <w:t>The session was an enriching learning experience. I effectively employed the Johari model, showcased my questioning and listening abilities, and presented a practical action plan that included a recommendation for a LinkedIn course in data analysis. Nonetheless, I must enhance my capacity to provide greater opportunities for the mentee’s reflection. Identifying these areas for development will enable me to improve my mentoring approach.</w:t>
      </w:r>
    </w:p>
    <w:p w14:paraId="7593B3CF" w14:textId="77777777" w:rsidR="00A4620A" w:rsidRDefault="00A4620A" w:rsidP="00A40F1A">
      <w:pPr>
        <w:spacing w:line="360" w:lineRule="auto"/>
        <w:jc w:val="both"/>
        <w:rPr>
          <w:rFonts w:ascii="Arial" w:hAnsi="Arial" w:cs="Arial"/>
        </w:rPr>
      </w:pPr>
      <w:r>
        <w:rPr>
          <w:rFonts w:ascii="Arial" w:hAnsi="Arial" w:cs="Arial"/>
        </w:rPr>
        <w:t>Action Plan.</w:t>
      </w:r>
    </w:p>
    <w:p w14:paraId="3065B2C8" w14:textId="2F58498D" w:rsidR="008D61ED" w:rsidRPr="001C2CB4" w:rsidRDefault="00A4620A" w:rsidP="00A40F1A">
      <w:pPr>
        <w:spacing w:line="360" w:lineRule="auto"/>
        <w:jc w:val="both"/>
        <w:rPr>
          <w:rFonts w:ascii="Arial" w:hAnsi="Arial" w:cs="Arial"/>
        </w:rPr>
      </w:pPr>
      <w:r>
        <w:rPr>
          <w:rFonts w:ascii="Arial" w:hAnsi="Arial" w:cs="Arial"/>
        </w:rPr>
        <w:t>In the future, I will implement techniques to offer clients more reflective space, including the use of strategic pauses following important questions. I plan to continue using positive encouragement through follow-up affirmations, as this technique helps enhance the mentee’s confidence and participation. I will seek opportunities for mentoring conversations and read relevant books on coaching and mentoring strategies to expand my knowledge of successful mentoring techniques to develop my mentoring abilities further.</w:t>
      </w:r>
    </w:p>
    <w:p w14:paraId="30594DF4" w14:textId="5B566B95" w:rsidR="00DF6323" w:rsidRPr="00A40F1A" w:rsidRDefault="00DF6323" w:rsidP="00A40F1A">
      <w:pPr>
        <w:pStyle w:val="Heading1"/>
        <w:spacing w:line="360" w:lineRule="auto"/>
        <w:rPr>
          <w:rFonts w:ascii="Arial" w:hAnsi="Arial" w:cs="Arial"/>
          <w:b/>
          <w:bCs/>
          <w:sz w:val="22"/>
          <w:szCs w:val="22"/>
        </w:rPr>
      </w:pPr>
      <w:bookmarkStart w:id="5" w:name="_Toc193572825"/>
      <w:r w:rsidRPr="00A40F1A">
        <w:rPr>
          <w:rFonts w:ascii="Arial" w:hAnsi="Arial" w:cs="Arial"/>
          <w:b/>
          <w:bCs/>
          <w:color w:val="auto"/>
          <w:sz w:val="22"/>
          <w:szCs w:val="22"/>
        </w:rPr>
        <w:t>Conclusion</w:t>
      </w:r>
      <w:bookmarkEnd w:id="5"/>
    </w:p>
    <w:p w14:paraId="21D4E742" w14:textId="093A0526" w:rsidR="00A647BD" w:rsidRDefault="00A647BD" w:rsidP="00555E82">
      <w:pPr>
        <w:spacing w:line="360" w:lineRule="auto"/>
        <w:jc w:val="both"/>
        <w:rPr>
          <w:rFonts w:ascii="Arial" w:hAnsi="Arial" w:cs="Arial"/>
        </w:rPr>
      </w:pPr>
      <w:r>
        <w:rPr>
          <w:rFonts w:ascii="Arial" w:hAnsi="Arial" w:cs="Arial"/>
        </w:rPr>
        <w:t>This reflective report examines the purpose and application of coaching and mentoring in organisational contexts, referencing significant theories and models such as the GROW model and the Johari Window, which have demonstrated their efficacy as frameworks for coaching and mentoring (Whitmore, 2017; Luft, 1961). The GROW model's emphasis on goal setting, self-reflection, and accountability will enhance my future coaching practice, enabling me to assist others in achieving their objectives. The Johari Window's focus on self-awareness and communication will strengthen my mentoring relationships, fostering trust and mutual understanding. These theories, along with practical experiences, have provided me with vital skills, including active listening, empathy, and effective questioning. Moving forward, I shall apply these lessons by creating supportive environments that empower individuals to reach their fullest potential and promote both organisational and personal success.</w:t>
      </w:r>
    </w:p>
    <w:p w14:paraId="069D3FF8" w14:textId="1581E349" w:rsidR="00401AA0" w:rsidRDefault="00A647BD" w:rsidP="00555E82">
      <w:pPr>
        <w:spacing w:line="360" w:lineRule="auto"/>
        <w:jc w:val="both"/>
        <w:rPr>
          <w:rFonts w:ascii="Arial" w:hAnsi="Arial" w:cs="Arial"/>
        </w:rPr>
      </w:pPr>
      <w:r>
        <w:rPr>
          <w:rFonts w:ascii="Arial" w:hAnsi="Arial" w:cs="Arial"/>
        </w:rPr>
        <w:t xml:space="preserve">Coaching and mentoring serve different purposes but complement each other: coaching concentrates on immediate, goal-driven performance enhancement, while mentoring prioritises long-term career development and relationship-building. Beyond short-term objectives, both approaches focus on nurturing essential skills that enable individuals to navigate the complexities of the workplace effectively. Coaching underscores the importance of tackling challenges and encouraging self-directed learning, which empowers individuals to take charge of their growth. Mentoring enhances communication and conflict resolution skills, both of which are vital for fostering collaborative relationships. By integrating these skills, I can help individuals achieve their goals while promoting resilience and adaptability for sustained </w:t>
      </w:r>
      <w:r>
        <w:rPr>
          <w:rFonts w:ascii="Arial" w:hAnsi="Arial" w:cs="Arial"/>
        </w:rPr>
        <w:lastRenderedPageBreak/>
        <w:t>success. Coaching and mentoring skills such as effective questioning, active listening, and goal setting will enhance my leadership and teamwork capabilities and increase my employability.</w:t>
      </w:r>
      <w:r w:rsidR="00401AA0">
        <w:rPr>
          <w:rFonts w:ascii="Arial" w:hAnsi="Arial" w:cs="Arial"/>
        </w:rPr>
        <w:br w:type="page"/>
      </w:r>
    </w:p>
    <w:p w14:paraId="103AA031" w14:textId="01E69810" w:rsidR="00915B25" w:rsidRPr="001C2CB4" w:rsidRDefault="00915B25" w:rsidP="00A40F1A">
      <w:pPr>
        <w:spacing w:line="360" w:lineRule="auto"/>
        <w:jc w:val="both"/>
        <w:rPr>
          <w:rFonts w:ascii="Arial" w:hAnsi="Arial" w:cs="Arial"/>
        </w:rPr>
      </w:pPr>
      <w:bookmarkStart w:id="6" w:name="_Toc193572826"/>
      <w:r w:rsidRPr="00A40F1A">
        <w:rPr>
          <w:rStyle w:val="Heading1Char"/>
          <w:rFonts w:ascii="Arial" w:hAnsi="Arial" w:cs="Arial"/>
          <w:b/>
          <w:bCs/>
          <w:color w:val="auto"/>
          <w:sz w:val="22"/>
          <w:szCs w:val="22"/>
        </w:rPr>
        <w:lastRenderedPageBreak/>
        <w:t>References</w:t>
      </w:r>
      <w:bookmarkEnd w:id="6"/>
      <w:r w:rsidRPr="001C2CB4">
        <w:rPr>
          <w:rFonts w:ascii="Arial" w:hAnsi="Arial" w:cs="Arial"/>
        </w:rPr>
        <w:t>:</w:t>
      </w:r>
    </w:p>
    <w:p w14:paraId="35360CBD" w14:textId="77777777" w:rsidR="00413B0F" w:rsidRPr="001C2CB4" w:rsidRDefault="00413B0F" w:rsidP="00A40F1A">
      <w:pPr>
        <w:spacing w:line="360" w:lineRule="auto"/>
        <w:jc w:val="both"/>
        <w:rPr>
          <w:rFonts w:ascii="Arial" w:hAnsi="Arial" w:cs="Arial"/>
        </w:rPr>
      </w:pPr>
      <w:r w:rsidRPr="001C2CB4">
        <w:rPr>
          <w:rFonts w:ascii="Arial" w:hAnsi="Arial" w:cs="Arial"/>
        </w:rPr>
        <w:t xml:space="preserve">Alexander, G. (2006). GROW coaching. In Passmore, J. (Ed). </w:t>
      </w:r>
      <w:r w:rsidRPr="001C2CB4">
        <w:rPr>
          <w:rFonts w:ascii="Arial" w:hAnsi="Arial" w:cs="Arial"/>
          <w:i/>
          <w:iCs/>
        </w:rPr>
        <w:t>Excellence In coaching:</w:t>
      </w:r>
      <w:r w:rsidRPr="001C2CB4">
        <w:rPr>
          <w:rFonts w:ascii="Arial" w:hAnsi="Arial" w:cs="Arial"/>
        </w:rPr>
        <w:t xml:space="preserve"> </w:t>
      </w:r>
      <w:r w:rsidRPr="001C2CB4">
        <w:rPr>
          <w:rFonts w:ascii="Arial" w:hAnsi="Arial" w:cs="Arial"/>
          <w:i/>
          <w:iCs/>
        </w:rPr>
        <w:t>The industry guide</w:t>
      </w:r>
      <w:r w:rsidRPr="001C2CB4">
        <w:rPr>
          <w:rFonts w:ascii="Arial" w:hAnsi="Arial" w:cs="Arial"/>
        </w:rPr>
        <w:t>. London: Kogan Page.</w:t>
      </w:r>
    </w:p>
    <w:p w14:paraId="7593819A" w14:textId="77777777" w:rsidR="00413B0F" w:rsidRPr="001C2CB4" w:rsidRDefault="00413B0F" w:rsidP="00A40F1A">
      <w:pPr>
        <w:spacing w:line="360" w:lineRule="auto"/>
        <w:jc w:val="both"/>
        <w:rPr>
          <w:rFonts w:ascii="Arial" w:hAnsi="Arial" w:cs="Arial"/>
        </w:rPr>
      </w:pPr>
      <w:r w:rsidRPr="001C2CB4">
        <w:rPr>
          <w:rFonts w:ascii="Arial" w:hAnsi="Arial" w:cs="Arial"/>
        </w:rPr>
        <w:t xml:space="preserve">Clutterbuck, D. (2001) </w:t>
      </w:r>
      <w:r w:rsidRPr="001C2CB4">
        <w:rPr>
          <w:rFonts w:ascii="Arial" w:hAnsi="Arial" w:cs="Arial"/>
          <w:i/>
          <w:iCs/>
        </w:rPr>
        <w:t>Everyone Needs a Mentor: Fostering Talent in Your Organisation</w:t>
      </w:r>
      <w:r w:rsidRPr="001C2CB4">
        <w:rPr>
          <w:rFonts w:ascii="Arial" w:hAnsi="Arial" w:cs="Arial"/>
        </w:rPr>
        <w:t>. 5th ed. London: CIPD.</w:t>
      </w:r>
    </w:p>
    <w:p w14:paraId="36DFF412" w14:textId="77777777" w:rsidR="00413B0F" w:rsidRPr="001C2CB4" w:rsidRDefault="00413B0F" w:rsidP="00A40F1A">
      <w:pPr>
        <w:spacing w:line="360" w:lineRule="auto"/>
        <w:jc w:val="both"/>
        <w:rPr>
          <w:rFonts w:ascii="Arial" w:hAnsi="Arial" w:cs="Arial"/>
        </w:rPr>
      </w:pPr>
      <w:r w:rsidRPr="001C2CB4">
        <w:rPr>
          <w:rFonts w:ascii="Arial" w:hAnsi="Arial" w:cs="Arial"/>
        </w:rPr>
        <w:t xml:space="preserve">Connor, M. and Pokora, J. (2012) </w:t>
      </w:r>
      <w:r w:rsidRPr="001C2CB4">
        <w:rPr>
          <w:rFonts w:ascii="Arial" w:hAnsi="Arial" w:cs="Arial"/>
          <w:i/>
          <w:iCs/>
        </w:rPr>
        <w:t>Coaching and mentoring at work: developing effective practice.</w:t>
      </w:r>
      <w:r w:rsidRPr="001C2CB4">
        <w:rPr>
          <w:rFonts w:ascii="Arial" w:hAnsi="Arial" w:cs="Arial"/>
        </w:rPr>
        <w:t xml:space="preserve"> 2nd ed. Berkshire, England: McGraw-Hill.</w:t>
      </w:r>
    </w:p>
    <w:p w14:paraId="48A32B95" w14:textId="4DF06DB4" w:rsidR="00413B0F" w:rsidRPr="001C2CB4" w:rsidRDefault="00413B0F" w:rsidP="00A40F1A">
      <w:pPr>
        <w:spacing w:line="360" w:lineRule="auto"/>
        <w:jc w:val="both"/>
        <w:rPr>
          <w:rFonts w:ascii="Arial" w:hAnsi="Arial" w:cs="Arial"/>
        </w:rPr>
      </w:pPr>
      <w:r w:rsidRPr="001C2CB4">
        <w:rPr>
          <w:rFonts w:ascii="Arial" w:hAnsi="Arial" w:cs="Arial"/>
        </w:rPr>
        <w:t xml:space="preserve">Dexter, J., Dexter, G. and Irving, J., (2011). An Introduction to Coaching. London: SAGE Publications Ltd. Available at: </w:t>
      </w:r>
      <w:hyperlink r:id="rId12" w:history="1">
        <w:r w:rsidRPr="00F46044">
          <w:rPr>
            <w:rStyle w:val="Hyperlink"/>
            <w:rFonts w:ascii="Arial" w:hAnsi="Arial" w:cs="Arial"/>
            <w:color w:val="auto"/>
            <w:u w:val="none"/>
          </w:rPr>
          <w:t>https://dx.doi.org/10.4135/9781446251867</w:t>
        </w:r>
      </w:hyperlink>
    </w:p>
    <w:p w14:paraId="36CBD330" w14:textId="77777777" w:rsidR="00413B0F" w:rsidRPr="001C2CB4" w:rsidRDefault="00413B0F" w:rsidP="00A40F1A">
      <w:pPr>
        <w:spacing w:line="360" w:lineRule="auto"/>
        <w:jc w:val="both"/>
        <w:rPr>
          <w:rFonts w:ascii="Arial" w:hAnsi="Arial" w:cs="Arial"/>
        </w:rPr>
      </w:pPr>
      <w:r w:rsidRPr="001C2CB4">
        <w:rPr>
          <w:rFonts w:ascii="Arial" w:hAnsi="Arial" w:cs="Arial"/>
        </w:rPr>
        <w:t xml:space="preserve">Gibbs, G. (1998) </w:t>
      </w:r>
      <w:r w:rsidRPr="001C2CB4">
        <w:rPr>
          <w:rFonts w:ascii="Arial" w:hAnsi="Arial" w:cs="Arial"/>
          <w:i/>
          <w:iCs/>
        </w:rPr>
        <w:t>Learning by Doing: A guide to teaching and learning methods</w:t>
      </w:r>
      <w:r w:rsidRPr="001C2CB4">
        <w:rPr>
          <w:rFonts w:ascii="Arial" w:hAnsi="Arial" w:cs="Arial"/>
        </w:rPr>
        <w:t>, Oxford: Further Education Unit, Oxford Polytechnic</w:t>
      </w:r>
      <w:r>
        <w:rPr>
          <w:rFonts w:ascii="Arial" w:hAnsi="Arial" w:cs="Arial"/>
        </w:rPr>
        <w:t>.</w:t>
      </w:r>
    </w:p>
    <w:p w14:paraId="4471AD08" w14:textId="77777777" w:rsidR="00413B0F" w:rsidRPr="001C2CB4" w:rsidRDefault="00413B0F" w:rsidP="00A40F1A">
      <w:pPr>
        <w:spacing w:line="360" w:lineRule="auto"/>
        <w:jc w:val="both"/>
        <w:rPr>
          <w:rFonts w:ascii="Arial" w:hAnsi="Arial" w:cs="Arial"/>
        </w:rPr>
      </w:pPr>
      <w:r w:rsidRPr="001C2CB4">
        <w:rPr>
          <w:rFonts w:ascii="Arial" w:hAnsi="Arial" w:cs="Arial"/>
        </w:rPr>
        <w:t xml:space="preserve">Ives, Y (2008) ‘What is “Coaching”? An Exploration of Conflicting Paradigms’, </w:t>
      </w:r>
      <w:r w:rsidRPr="001C2CB4">
        <w:rPr>
          <w:rFonts w:ascii="Arial" w:hAnsi="Arial" w:cs="Arial"/>
          <w:i/>
          <w:iCs/>
        </w:rPr>
        <w:t>International Journal of Evidence-based Coaching and Mentoring</w:t>
      </w:r>
      <w:r w:rsidRPr="001C2CB4">
        <w:rPr>
          <w:rFonts w:ascii="Arial" w:hAnsi="Arial" w:cs="Arial"/>
        </w:rPr>
        <w:t>, 6(2), pp. 100–113.</w:t>
      </w:r>
    </w:p>
    <w:p w14:paraId="5807E884" w14:textId="77777777" w:rsidR="00413B0F" w:rsidRPr="001C2CB4" w:rsidRDefault="00413B0F" w:rsidP="00A40F1A">
      <w:pPr>
        <w:spacing w:line="360" w:lineRule="auto"/>
        <w:jc w:val="both"/>
        <w:rPr>
          <w:rFonts w:ascii="Arial" w:hAnsi="Arial" w:cs="Arial"/>
        </w:rPr>
      </w:pPr>
      <w:r w:rsidRPr="001C2CB4">
        <w:rPr>
          <w:rFonts w:ascii="Arial" w:hAnsi="Arial" w:cs="Arial"/>
        </w:rPr>
        <w:t xml:space="preserve">Kram, K.E. (1985) </w:t>
      </w:r>
      <w:r w:rsidRPr="001C2CB4">
        <w:rPr>
          <w:rFonts w:ascii="Arial" w:hAnsi="Arial" w:cs="Arial"/>
          <w:i/>
          <w:iCs/>
        </w:rPr>
        <w:t>Mentoring at Work: Developmental Relationships in Organizational Life</w:t>
      </w:r>
      <w:r w:rsidRPr="001C2CB4">
        <w:rPr>
          <w:rFonts w:ascii="Arial" w:hAnsi="Arial" w:cs="Arial"/>
        </w:rPr>
        <w:t>. Glenview, IL: Scott Foresman.</w:t>
      </w:r>
    </w:p>
    <w:p w14:paraId="426FFD46" w14:textId="77777777" w:rsidR="00413B0F" w:rsidRPr="001C2CB4" w:rsidRDefault="00413B0F" w:rsidP="00A40F1A">
      <w:pPr>
        <w:spacing w:line="360" w:lineRule="auto"/>
        <w:jc w:val="both"/>
        <w:rPr>
          <w:rFonts w:ascii="Arial" w:hAnsi="Arial" w:cs="Arial"/>
        </w:rPr>
      </w:pPr>
      <w:r w:rsidRPr="001C2CB4">
        <w:rPr>
          <w:rFonts w:ascii="Arial" w:hAnsi="Arial" w:cs="Arial"/>
        </w:rPr>
        <w:t xml:space="preserve">Luft, J. (1961) ‘The Johari Window: ‘A graphic model of awareness in interpersonal </w:t>
      </w:r>
      <w:proofErr w:type="gramStart"/>
      <w:r w:rsidRPr="001C2CB4">
        <w:rPr>
          <w:rFonts w:ascii="Arial" w:hAnsi="Arial" w:cs="Arial"/>
        </w:rPr>
        <w:t>relations’</w:t>
      </w:r>
      <w:proofErr w:type="gramEnd"/>
      <w:r w:rsidRPr="001C2CB4">
        <w:rPr>
          <w:rFonts w:ascii="Arial" w:hAnsi="Arial" w:cs="Arial"/>
        </w:rPr>
        <w:t xml:space="preserve">. </w:t>
      </w:r>
      <w:r w:rsidRPr="001C2CB4">
        <w:rPr>
          <w:rFonts w:ascii="Arial" w:hAnsi="Arial" w:cs="Arial"/>
          <w:i/>
          <w:iCs/>
        </w:rPr>
        <w:t>Human Relations Training News</w:t>
      </w:r>
      <w:r w:rsidRPr="001C2CB4">
        <w:rPr>
          <w:rFonts w:ascii="Arial" w:hAnsi="Arial" w:cs="Arial"/>
        </w:rPr>
        <w:t>, 5 (1), 6–7.</w:t>
      </w:r>
    </w:p>
    <w:p w14:paraId="5D5440CB" w14:textId="77777777" w:rsidR="00413B0F" w:rsidRPr="001C2CB4" w:rsidRDefault="00413B0F" w:rsidP="00A40F1A">
      <w:pPr>
        <w:spacing w:line="360" w:lineRule="auto"/>
        <w:jc w:val="both"/>
        <w:rPr>
          <w:rFonts w:ascii="Arial" w:hAnsi="Arial" w:cs="Arial"/>
        </w:rPr>
      </w:pPr>
      <w:r w:rsidRPr="001C2CB4">
        <w:rPr>
          <w:rFonts w:ascii="Arial" w:hAnsi="Arial" w:cs="Arial"/>
        </w:rPr>
        <w:t xml:space="preserve">Passmore, J. (2006) </w:t>
      </w:r>
      <w:r w:rsidRPr="001C2CB4">
        <w:rPr>
          <w:rFonts w:ascii="Arial" w:hAnsi="Arial" w:cs="Arial"/>
          <w:i/>
          <w:iCs/>
        </w:rPr>
        <w:t>Excellence in Coaching: The Industry Guide</w:t>
      </w:r>
      <w:r w:rsidRPr="001C2CB4">
        <w:rPr>
          <w:rFonts w:ascii="Arial" w:hAnsi="Arial" w:cs="Arial"/>
        </w:rPr>
        <w:t>. London: Kogan Page.</w:t>
      </w:r>
    </w:p>
    <w:p w14:paraId="044687D6" w14:textId="77777777" w:rsidR="00413B0F" w:rsidRPr="001C2CB4" w:rsidRDefault="00413B0F" w:rsidP="00A40F1A">
      <w:pPr>
        <w:spacing w:line="360" w:lineRule="auto"/>
        <w:jc w:val="both"/>
        <w:rPr>
          <w:rFonts w:ascii="Arial" w:hAnsi="Arial" w:cs="Arial"/>
        </w:rPr>
      </w:pPr>
      <w:r w:rsidRPr="001C2CB4">
        <w:rPr>
          <w:rFonts w:ascii="Arial" w:hAnsi="Arial" w:cs="Arial"/>
        </w:rPr>
        <w:t>Passmore, J. and Fillery-Travis, A. (2011) ‘A critical review of executive coaching research: A decade of progress and what’s to come’, Coaching: An International Journal of Theory, Research and Practice, 4(2), pp. 70-88.</w:t>
      </w:r>
    </w:p>
    <w:p w14:paraId="20D5D949" w14:textId="77777777" w:rsidR="00413B0F" w:rsidRPr="001C2CB4" w:rsidRDefault="00413B0F" w:rsidP="00A40F1A">
      <w:pPr>
        <w:spacing w:line="360" w:lineRule="auto"/>
        <w:jc w:val="both"/>
        <w:rPr>
          <w:rFonts w:ascii="Arial" w:hAnsi="Arial" w:cs="Arial"/>
        </w:rPr>
      </w:pPr>
      <w:r w:rsidRPr="001C2CB4">
        <w:rPr>
          <w:rFonts w:ascii="Arial" w:hAnsi="Arial" w:cs="Arial"/>
        </w:rPr>
        <w:t xml:space="preserve">Passmore, J., Peterson, D.B, and Freire, T. (2013) </w:t>
      </w:r>
      <w:r w:rsidRPr="001C2CB4">
        <w:rPr>
          <w:rFonts w:ascii="Arial" w:hAnsi="Arial" w:cs="Arial"/>
          <w:i/>
          <w:iCs/>
        </w:rPr>
        <w:t>The Wiley-Blackwell Handbook of the Psychology of Coaching and Mentoring</w:t>
      </w:r>
      <w:r w:rsidRPr="001C2CB4">
        <w:rPr>
          <w:rFonts w:ascii="Arial" w:hAnsi="Arial" w:cs="Arial"/>
        </w:rPr>
        <w:t xml:space="preserve">. West Sussex, UK: John Wiley &amp; Sons, Ltd. </w:t>
      </w:r>
    </w:p>
    <w:p w14:paraId="46FD965E" w14:textId="77777777" w:rsidR="00413B0F" w:rsidRPr="001C2CB4" w:rsidRDefault="00413B0F" w:rsidP="00A40F1A">
      <w:pPr>
        <w:spacing w:line="360" w:lineRule="auto"/>
        <w:jc w:val="both"/>
        <w:rPr>
          <w:rFonts w:ascii="Arial" w:hAnsi="Arial" w:cs="Arial"/>
        </w:rPr>
      </w:pPr>
      <w:r w:rsidRPr="001C2CB4">
        <w:rPr>
          <w:rFonts w:ascii="Arial" w:hAnsi="Arial" w:cs="Arial"/>
        </w:rPr>
        <w:t xml:space="preserve">Pepple, D.G. and </w:t>
      </w:r>
      <w:proofErr w:type="spellStart"/>
      <w:r w:rsidRPr="001C2CB4">
        <w:rPr>
          <w:rFonts w:ascii="Arial" w:hAnsi="Arial" w:cs="Arial"/>
        </w:rPr>
        <w:t>Ambilichu</w:t>
      </w:r>
      <w:proofErr w:type="spellEnd"/>
      <w:r w:rsidRPr="001C2CB4">
        <w:rPr>
          <w:rFonts w:ascii="Arial" w:hAnsi="Arial" w:cs="Arial"/>
        </w:rPr>
        <w:t>, C.A. (2023) ‘Performance appraisal and employee commitment: The mediating role of job satisfaction’, </w:t>
      </w:r>
      <w:r w:rsidRPr="001C2CB4">
        <w:rPr>
          <w:rFonts w:ascii="Arial" w:hAnsi="Arial" w:cs="Arial"/>
          <w:i/>
          <w:iCs/>
        </w:rPr>
        <w:t>European Management Review</w:t>
      </w:r>
      <w:r w:rsidRPr="001C2CB4">
        <w:rPr>
          <w:rFonts w:ascii="Arial" w:hAnsi="Arial" w:cs="Arial"/>
        </w:rPr>
        <w:t xml:space="preserve">, 21(1), pp. 237–250. Available at: </w:t>
      </w:r>
      <w:hyperlink r:id="rId13" w:tgtFrame="_blank" w:history="1">
        <w:r w:rsidRPr="00A40F1A">
          <w:rPr>
            <w:rStyle w:val="Hyperlink"/>
            <w:rFonts w:ascii="Arial" w:hAnsi="Arial" w:cs="Arial"/>
            <w:color w:val="auto"/>
            <w:u w:val="none"/>
          </w:rPr>
          <w:t>https://doi.org/10.1111/emre.12583</w:t>
        </w:r>
      </w:hyperlink>
      <w:r w:rsidRPr="001C2CB4">
        <w:rPr>
          <w:rFonts w:ascii="Arial" w:hAnsi="Arial" w:cs="Arial"/>
        </w:rPr>
        <w:t>.</w:t>
      </w:r>
    </w:p>
    <w:p w14:paraId="097E6D9E" w14:textId="77777777" w:rsidR="00413B0F" w:rsidRPr="001C2CB4" w:rsidRDefault="00413B0F" w:rsidP="00A40F1A">
      <w:pPr>
        <w:spacing w:line="360" w:lineRule="auto"/>
        <w:jc w:val="both"/>
        <w:rPr>
          <w:rFonts w:ascii="Arial" w:hAnsi="Arial" w:cs="Arial"/>
        </w:rPr>
      </w:pPr>
      <w:r w:rsidRPr="001C2CB4">
        <w:rPr>
          <w:rFonts w:ascii="Arial" w:hAnsi="Arial" w:cs="Arial"/>
        </w:rPr>
        <w:t xml:space="preserve">Rogers, J. (2024) </w:t>
      </w:r>
      <w:r w:rsidRPr="001C2CB4">
        <w:rPr>
          <w:rFonts w:ascii="Arial" w:hAnsi="Arial" w:cs="Arial"/>
          <w:i/>
          <w:iCs/>
        </w:rPr>
        <w:t>Coaching Skills: The Definitive Guide to Being a Coach</w:t>
      </w:r>
      <w:r w:rsidRPr="001C2CB4">
        <w:rPr>
          <w:rFonts w:ascii="Arial" w:hAnsi="Arial" w:cs="Arial"/>
        </w:rPr>
        <w:t>. 5th ed. Maidenhead: McGraw-Hill Education.</w:t>
      </w:r>
    </w:p>
    <w:p w14:paraId="523FF53A" w14:textId="77777777" w:rsidR="00413B0F" w:rsidRPr="001C2CB4" w:rsidRDefault="00413B0F" w:rsidP="00A40F1A">
      <w:pPr>
        <w:spacing w:line="360" w:lineRule="auto"/>
        <w:jc w:val="both"/>
        <w:rPr>
          <w:rFonts w:ascii="Arial" w:hAnsi="Arial" w:cs="Arial"/>
        </w:rPr>
      </w:pPr>
      <w:r w:rsidRPr="001C2CB4">
        <w:rPr>
          <w:rFonts w:ascii="Arial" w:hAnsi="Arial" w:cs="Arial"/>
        </w:rPr>
        <w:t xml:space="preserve">Whitmore, J. (2017) </w:t>
      </w:r>
      <w:r w:rsidRPr="001C2CB4">
        <w:rPr>
          <w:rFonts w:ascii="Arial" w:hAnsi="Arial" w:cs="Arial"/>
          <w:i/>
          <w:iCs/>
        </w:rPr>
        <w:t>Coaching for Performance: The Principles and Practice of Coaching and Leadership</w:t>
      </w:r>
      <w:r w:rsidRPr="001C2CB4">
        <w:rPr>
          <w:rFonts w:ascii="Arial" w:hAnsi="Arial" w:cs="Arial"/>
        </w:rPr>
        <w:t>. 5th ed. London: John Murray Press.</w:t>
      </w:r>
    </w:p>
    <w:sectPr w:rsidR="00413B0F" w:rsidRPr="001C2CB4" w:rsidSect="009F698C">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FF4E5" w14:textId="77777777" w:rsidR="00CD01D7" w:rsidRDefault="00CD01D7" w:rsidP="00E83A39">
      <w:pPr>
        <w:spacing w:after="0" w:line="240" w:lineRule="auto"/>
      </w:pPr>
      <w:r>
        <w:separator/>
      </w:r>
    </w:p>
  </w:endnote>
  <w:endnote w:type="continuationSeparator" w:id="0">
    <w:p w14:paraId="622253AE" w14:textId="77777777" w:rsidR="00CD01D7" w:rsidRDefault="00CD01D7" w:rsidP="00E83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07666" w14:textId="5518AC74" w:rsidR="00401AA0" w:rsidRDefault="00401AA0">
    <w:pPr>
      <w:pStyle w:val="Footer"/>
      <w:jc w:val="center"/>
    </w:pPr>
  </w:p>
  <w:p w14:paraId="006CF7C6" w14:textId="77777777" w:rsidR="00401AA0" w:rsidRDefault="00401A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7325804"/>
      <w:docPartObj>
        <w:docPartGallery w:val="Page Numbers (Bottom of Page)"/>
        <w:docPartUnique/>
      </w:docPartObj>
    </w:sdtPr>
    <w:sdtEndPr>
      <w:rPr>
        <w:noProof/>
      </w:rPr>
    </w:sdtEndPr>
    <w:sdtContent>
      <w:p w14:paraId="1771276A" w14:textId="77777777" w:rsidR="00401AA0" w:rsidRDefault="00401A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01D091" w14:textId="77777777" w:rsidR="00401AA0" w:rsidRDefault="00401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0DD12" w14:textId="77777777" w:rsidR="00CD01D7" w:rsidRDefault="00CD01D7" w:rsidP="00E83A39">
      <w:pPr>
        <w:spacing w:after="0" w:line="240" w:lineRule="auto"/>
      </w:pPr>
      <w:r>
        <w:separator/>
      </w:r>
    </w:p>
  </w:footnote>
  <w:footnote w:type="continuationSeparator" w:id="0">
    <w:p w14:paraId="7B9E99D6" w14:textId="77777777" w:rsidR="00CD01D7" w:rsidRDefault="00CD01D7" w:rsidP="00E83A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473B5"/>
    <w:multiLevelType w:val="multilevel"/>
    <w:tmpl w:val="536AA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1D3EAF"/>
    <w:multiLevelType w:val="multilevel"/>
    <w:tmpl w:val="EADA3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9773740">
    <w:abstractNumId w:val="0"/>
  </w:num>
  <w:num w:numId="2" w16cid:durableId="945311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031"/>
    <w:rsid w:val="000124F5"/>
    <w:rsid w:val="00080BB1"/>
    <w:rsid w:val="000D2348"/>
    <w:rsid w:val="001056FF"/>
    <w:rsid w:val="001221EF"/>
    <w:rsid w:val="00141121"/>
    <w:rsid w:val="001558F4"/>
    <w:rsid w:val="001569EF"/>
    <w:rsid w:val="00163578"/>
    <w:rsid w:val="00187835"/>
    <w:rsid w:val="00193031"/>
    <w:rsid w:val="001B0D8D"/>
    <w:rsid w:val="001C0D09"/>
    <w:rsid w:val="001C2CB4"/>
    <w:rsid w:val="001E2896"/>
    <w:rsid w:val="001E499C"/>
    <w:rsid w:val="001F5020"/>
    <w:rsid w:val="001F6F03"/>
    <w:rsid w:val="00203171"/>
    <w:rsid w:val="00246EFE"/>
    <w:rsid w:val="002667FF"/>
    <w:rsid w:val="00271AAF"/>
    <w:rsid w:val="002A7E52"/>
    <w:rsid w:val="002C0D01"/>
    <w:rsid w:val="002C7221"/>
    <w:rsid w:val="002E397E"/>
    <w:rsid w:val="002F4380"/>
    <w:rsid w:val="00334E63"/>
    <w:rsid w:val="003508DD"/>
    <w:rsid w:val="00374524"/>
    <w:rsid w:val="00381B98"/>
    <w:rsid w:val="003845E6"/>
    <w:rsid w:val="003B3630"/>
    <w:rsid w:val="00401AA0"/>
    <w:rsid w:val="00403979"/>
    <w:rsid w:val="00407A2B"/>
    <w:rsid w:val="00413B0F"/>
    <w:rsid w:val="00427838"/>
    <w:rsid w:val="004A7144"/>
    <w:rsid w:val="004D67E3"/>
    <w:rsid w:val="004F6D24"/>
    <w:rsid w:val="00503B2E"/>
    <w:rsid w:val="00525FE9"/>
    <w:rsid w:val="00535EC5"/>
    <w:rsid w:val="00555E82"/>
    <w:rsid w:val="0057511B"/>
    <w:rsid w:val="005D123E"/>
    <w:rsid w:val="005D6482"/>
    <w:rsid w:val="005E0031"/>
    <w:rsid w:val="005E749B"/>
    <w:rsid w:val="005F23BF"/>
    <w:rsid w:val="00672B45"/>
    <w:rsid w:val="00673E90"/>
    <w:rsid w:val="00680C1E"/>
    <w:rsid w:val="006C4976"/>
    <w:rsid w:val="0070345F"/>
    <w:rsid w:val="00751E48"/>
    <w:rsid w:val="007A6CA1"/>
    <w:rsid w:val="007C47AA"/>
    <w:rsid w:val="007D03AA"/>
    <w:rsid w:val="007F4C46"/>
    <w:rsid w:val="0081418A"/>
    <w:rsid w:val="008614CF"/>
    <w:rsid w:val="008661B6"/>
    <w:rsid w:val="00880419"/>
    <w:rsid w:val="008D61ED"/>
    <w:rsid w:val="008E0E26"/>
    <w:rsid w:val="00915B25"/>
    <w:rsid w:val="00932EE1"/>
    <w:rsid w:val="009449DD"/>
    <w:rsid w:val="0095424D"/>
    <w:rsid w:val="009875AE"/>
    <w:rsid w:val="009A6611"/>
    <w:rsid w:val="009E1812"/>
    <w:rsid w:val="009E7509"/>
    <w:rsid w:val="009F698C"/>
    <w:rsid w:val="00A141E5"/>
    <w:rsid w:val="00A25CD5"/>
    <w:rsid w:val="00A40F1A"/>
    <w:rsid w:val="00A4620A"/>
    <w:rsid w:val="00A647BD"/>
    <w:rsid w:val="00A66DCA"/>
    <w:rsid w:val="00A916ED"/>
    <w:rsid w:val="00AB1187"/>
    <w:rsid w:val="00AD6854"/>
    <w:rsid w:val="00AF7032"/>
    <w:rsid w:val="00B54DF1"/>
    <w:rsid w:val="00BA4E46"/>
    <w:rsid w:val="00BB1E7D"/>
    <w:rsid w:val="00BB5580"/>
    <w:rsid w:val="00C3174E"/>
    <w:rsid w:val="00C47F28"/>
    <w:rsid w:val="00C6510D"/>
    <w:rsid w:val="00C72215"/>
    <w:rsid w:val="00C96E6D"/>
    <w:rsid w:val="00CA35B7"/>
    <w:rsid w:val="00CB2D70"/>
    <w:rsid w:val="00CC3721"/>
    <w:rsid w:val="00CD01D7"/>
    <w:rsid w:val="00CD52F4"/>
    <w:rsid w:val="00CD5F5C"/>
    <w:rsid w:val="00CE0936"/>
    <w:rsid w:val="00D0168A"/>
    <w:rsid w:val="00D1361F"/>
    <w:rsid w:val="00D42BFD"/>
    <w:rsid w:val="00D5208B"/>
    <w:rsid w:val="00D569B3"/>
    <w:rsid w:val="00D64BBA"/>
    <w:rsid w:val="00DA2619"/>
    <w:rsid w:val="00DA2CF5"/>
    <w:rsid w:val="00DA43E0"/>
    <w:rsid w:val="00DC40C9"/>
    <w:rsid w:val="00DF6323"/>
    <w:rsid w:val="00E03E4B"/>
    <w:rsid w:val="00E244B2"/>
    <w:rsid w:val="00E34910"/>
    <w:rsid w:val="00E50B89"/>
    <w:rsid w:val="00E54231"/>
    <w:rsid w:val="00E61843"/>
    <w:rsid w:val="00E7676F"/>
    <w:rsid w:val="00E83A39"/>
    <w:rsid w:val="00E8758C"/>
    <w:rsid w:val="00ED001C"/>
    <w:rsid w:val="00ED2118"/>
    <w:rsid w:val="00ED3FE4"/>
    <w:rsid w:val="00EF70E7"/>
    <w:rsid w:val="00F11944"/>
    <w:rsid w:val="00F21DE7"/>
    <w:rsid w:val="00F46044"/>
    <w:rsid w:val="00F529CC"/>
    <w:rsid w:val="00FF6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027422"/>
  <w15:chartTrackingRefBased/>
  <w15:docId w15:val="{AEC11454-3963-4A00-AB3D-D5A0D26EE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00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00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00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00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00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00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00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00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00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0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00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00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00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00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0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0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0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0031"/>
    <w:rPr>
      <w:rFonts w:eastAsiaTheme="majorEastAsia" w:cstheme="majorBidi"/>
      <w:color w:val="272727" w:themeColor="text1" w:themeTint="D8"/>
    </w:rPr>
  </w:style>
  <w:style w:type="paragraph" w:styleId="Title">
    <w:name w:val="Title"/>
    <w:basedOn w:val="Normal"/>
    <w:next w:val="Normal"/>
    <w:link w:val="TitleChar"/>
    <w:uiPriority w:val="10"/>
    <w:qFormat/>
    <w:rsid w:val="005E00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0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00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0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0031"/>
    <w:pPr>
      <w:spacing w:before="160"/>
      <w:jc w:val="center"/>
    </w:pPr>
    <w:rPr>
      <w:i/>
      <w:iCs/>
      <w:color w:val="404040" w:themeColor="text1" w:themeTint="BF"/>
    </w:rPr>
  </w:style>
  <w:style w:type="character" w:customStyle="1" w:styleId="QuoteChar">
    <w:name w:val="Quote Char"/>
    <w:basedOn w:val="DefaultParagraphFont"/>
    <w:link w:val="Quote"/>
    <w:uiPriority w:val="29"/>
    <w:rsid w:val="005E0031"/>
    <w:rPr>
      <w:i/>
      <w:iCs/>
      <w:color w:val="404040" w:themeColor="text1" w:themeTint="BF"/>
    </w:rPr>
  </w:style>
  <w:style w:type="paragraph" w:styleId="ListParagraph">
    <w:name w:val="List Paragraph"/>
    <w:basedOn w:val="Normal"/>
    <w:uiPriority w:val="34"/>
    <w:qFormat/>
    <w:rsid w:val="005E0031"/>
    <w:pPr>
      <w:ind w:left="720"/>
      <w:contextualSpacing/>
    </w:pPr>
  </w:style>
  <w:style w:type="character" w:styleId="IntenseEmphasis">
    <w:name w:val="Intense Emphasis"/>
    <w:basedOn w:val="DefaultParagraphFont"/>
    <w:uiPriority w:val="21"/>
    <w:qFormat/>
    <w:rsid w:val="005E0031"/>
    <w:rPr>
      <w:i/>
      <w:iCs/>
      <w:color w:val="0F4761" w:themeColor="accent1" w:themeShade="BF"/>
    </w:rPr>
  </w:style>
  <w:style w:type="paragraph" w:styleId="IntenseQuote">
    <w:name w:val="Intense Quote"/>
    <w:basedOn w:val="Normal"/>
    <w:next w:val="Normal"/>
    <w:link w:val="IntenseQuoteChar"/>
    <w:uiPriority w:val="30"/>
    <w:qFormat/>
    <w:rsid w:val="005E00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0031"/>
    <w:rPr>
      <w:i/>
      <w:iCs/>
      <w:color w:val="0F4761" w:themeColor="accent1" w:themeShade="BF"/>
    </w:rPr>
  </w:style>
  <w:style w:type="character" w:styleId="IntenseReference">
    <w:name w:val="Intense Reference"/>
    <w:basedOn w:val="DefaultParagraphFont"/>
    <w:uiPriority w:val="32"/>
    <w:qFormat/>
    <w:rsid w:val="005E0031"/>
    <w:rPr>
      <w:b/>
      <w:bCs/>
      <w:smallCaps/>
      <w:color w:val="0F4761" w:themeColor="accent1" w:themeShade="BF"/>
      <w:spacing w:val="5"/>
    </w:rPr>
  </w:style>
  <w:style w:type="character" w:styleId="Hyperlink">
    <w:name w:val="Hyperlink"/>
    <w:basedOn w:val="DefaultParagraphFont"/>
    <w:uiPriority w:val="99"/>
    <w:unhideWhenUsed/>
    <w:rsid w:val="00915B25"/>
    <w:rPr>
      <w:color w:val="467886" w:themeColor="hyperlink"/>
      <w:u w:val="single"/>
    </w:rPr>
  </w:style>
  <w:style w:type="character" w:styleId="UnresolvedMention">
    <w:name w:val="Unresolved Mention"/>
    <w:basedOn w:val="DefaultParagraphFont"/>
    <w:uiPriority w:val="99"/>
    <w:semiHidden/>
    <w:unhideWhenUsed/>
    <w:rsid w:val="00915B25"/>
    <w:rPr>
      <w:color w:val="605E5C"/>
      <w:shd w:val="clear" w:color="auto" w:fill="E1DFDD"/>
    </w:rPr>
  </w:style>
  <w:style w:type="character" w:styleId="FollowedHyperlink">
    <w:name w:val="FollowedHyperlink"/>
    <w:basedOn w:val="DefaultParagraphFont"/>
    <w:uiPriority w:val="99"/>
    <w:semiHidden/>
    <w:unhideWhenUsed/>
    <w:rsid w:val="001558F4"/>
    <w:rPr>
      <w:color w:val="96607D" w:themeColor="followedHyperlink"/>
      <w:u w:val="single"/>
    </w:rPr>
  </w:style>
  <w:style w:type="paragraph" w:styleId="Header">
    <w:name w:val="header"/>
    <w:basedOn w:val="Normal"/>
    <w:link w:val="HeaderChar"/>
    <w:uiPriority w:val="99"/>
    <w:unhideWhenUsed/>
    <w:rsid w:val="00E83A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A39"/>
  </w:style>
  <w:style w:type="paragraph" w:styleId="Footer">
    <w:name w:val="footer"/>
    <w:basedOn w:val="Normal"/>
    <w:link w:val="FooterChar"/>
    <w:uiPriority w:val="99"/>
    <w:unhideWhenUsed/>
    <w:rsid w:val="00E83A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A39"/>
  </w:style>
  <w:style w:type="paragraph" w:styleId="TOCHeading">
    <w:name w:val="TOC Heading"/>
    <w:basedOn w:val="Heading1"/>
    <w:next w:val="Normal"/>
    <w:uiPriority w:val="39"/>
    <w:unhideWhenUsed/>
    <w:qFormat/>
    <w:rsid w:val="00E83A3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83A39"/>
    <w:pPr>
      <w:spacing w:after="100"/>
    </w:pPr>
  </w:style>
  <w:style w:type="paragraph" w:styleId="NoSpacing">
    <w:name w:val="No Spacing"/>
    <w:link w:val="NoSpacingChar"/>
    <w:uiPriority w:val="1"/>
    <w:qFormat/>
    <w:rsid w:val="00525FE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25FE9"/>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1952">
      <w:bodyDiv w:val="1"/>
      <w:marLeft w:val="0"/>
      <w:marRight w:val="0"/>
      <w:marTop w:val="0"/>
      <w:marBottom w:val="0"/>
      <w:divBdr>
        <w:top w:val="none" w:sz="0" w:space="0" w:color="auto"/>
        <w:left w:val="none" w:sz="0" w:space="0" w:color="auto"/>
        <w:bottom w:val="none" w:sz="0" w:space="0" w:color="auto"/>
        <w:right w:val="none" w:sz="0" w:space="0" w:color="auto"/>
      </w:divBdr>
    </w:div>
    <w:div w:id="152380979">
      <w:bodyDiv w:val="1"/>
      <w:marLeft w:val="0"/>
      <w:marRight w:val="0"/>
      <w:marTop w:val="0"/>
      <w:marBottom w:val="0"/>
      <w:divBdr>
        <w:top w:val="none" w:sz="0" w:space="0" w:color="auto"/>
        <w:left w:val="none" w:sz="0" w:space="0" w:color="auto"/>
        <w:bottom w:val="none" w:sz="0" w:space="0" w:color="auto"/>
        <w:right w:val="none" w:sz="0" w:space="0" w:color="auto"/>
      </w:divBdr>
      <w:divsChild>
        <w:div w:id="501361023">
          <w:marLeft w:val="0"/>
          <w:marRight w:val="0"/>
          <w:marTop w:val="0"/>
          <w:marBottom w:val="0"/>
          <w:divBdr>
            <w:top w:val="none" w:sz="0" w:space="0" w:color="auto"/>
            <w:left w:val="none" w:sz="0" w:space="0" w:color="auto"/>
            <w:bottom w:val="none" w:sz="0" w:space="0" w:color="auto"/>
            <w:right w:val="none" w:sz="0" w:space="0" w:color="auto"/>
          </w:divBdr>
        </w:div>
      </w:divsChild>
    </w:div>
    <w:div w:id="170414618">
      <w:bodyDiv w:val="1"/>
      <w:marLeft w:val="0"/>
      <w:marRight w:val="0"/>
      <w:marTop w:val="0"/>
      <w:marBottom w:val="0"/>
      <w:divBdr>
        <w:top w:val="none" w:sz="0" w:space="0" w:color="auto"/>
        <w:left w:val="none" w:sz="0" w:space="0" w:color="auto"/>
        <w:bottom w:val="none" w:sz="0" w:space="0" w:color="auto"/>
        <w:right w:val="none" w:sz="0" w:space="0" w:color="auto"/>
      </w:divBdr>
    </w:div>
    <w:div w:id="402996167">
      <w:bodyDiv w:val="1"/>
      <w:marLeft w:val="0"/>
      <w:marRight w:val="0"/>
      <w:marTop w:val="0"/>
      <w:marBottom w:val="0"/>
      <w:divBdr>
        <w:top w:val="none" w:sz="0" w:space="0" w:color="auto"/>
        <w:left w:val="none" w:sz="0" w:space="0" w:color="auto"/>
        <w:bottom w:val="none" w:sz="0" w:space="0" w:color="auto"/>
        <w:right w:val="none" w:sz="0" w:space="0" w:color="auto"/>
      </w:divBdr>
    </w:div>
    <w:div w:id="422647590">
      <w:bodyDiv w:val="1"/>
      <w:marLeft w:val="0"/>
      <w:marRight w:val="0"/>
      <w:marTop w:val="0"/>
      <w:marBottom w:val="0"/>
      <w:divBdr>
        <w:top w:val="none" w:sz="0" w:space="0" w:color="auto"/>
        <w:left w:val="none" w:sz="0" w:space="0" w:color="auto"/>
        <w:bottom w:val="none" w:sz="0" w:space="0" w:color="auto"/>
        <w:right w:val="none" w:sz="0" w:space="0" w:color="auto"/>
      </w:divBdr>
      <w:divsChild>
        <w:div w:id="399450328">
          <w:marLeft w:val="0"/>
          <w:marRight w:val="0"/>
          <w:marTop w:val="0"/>
          <w:marBottom w:val="0"/>
          <w:divBdr>
            <w:top w:val="none" w:sz="0" w:space="0" w:color="auto"/>
            <w:left w:val="none" w:sz="0" w:space="0" w:color="auto"/>
            <w:bottom w:val="none" w:sz="0" w:space="0" w:color="auto"/>
            <w:right w:val="none" w:sz="0" w:space="0" w:color="auto"/>
          </w:divBdr>
        </w:div>
      </w:divsChild>
    </w:div>
    <w:div w:id="489947305">
      <w:bodyDiv w:val="1"/>
      <w:marLeft w:val="0"/>
      <w:marRight w:val="0"/>
      <w:marTop w:val="0"/>
      <w:marBottom w:val="0"/>
      <w:divBdr>
        <w:top w:val="none" w:sz="0" w:space="0" w:color="auto"/>
        <w:left w:val="none" w:sz="0" w:space="0" w:color="auto"/>
        <w:bottom w:val="none" w:sz="0" w:space="0" w:color="auto"/>
        <w:right w:val="none" w:sz="0" w:space="0" w:color="auto"/>
      </w:divBdr>
      <w:divsChild>
        <w:div w:id="878279312">
          <w:marLeft w:val="0"/>
          <w:marRight w:val="0"/>
          <w:marTop w:val="0"/>
          <w:marBottom w:val="0"/>
          <w:divBdr>
            <w:top w:val="none" w:sz="0" w:space="0" w:color="auto"/>
            <w:left w:val="none" w:sz="0" w:space="0" w:color="auto"/>
            <w:bottom w:val="none" w:sz="0" w:space="0" w:color="auto"/>
            <w:right w:val="none" w:sz="0" w:space="0" w:color="auto"/>
          </w:divBdr>
        </w:div>
      </w:divsChild>
    </w:div>
    <w:div w:id="497117310">
      <w:bodyDiv w:val="1"/>
      <w:marLeft w:val="0"/>
      <w:marRight w:val="0"/>
      <w:marTop w:val="0"/>
      <w:marBottom w:val="0"/>
      <w:divBdr>
        <w:top w:val="none" w:sz="0" w:space="0" w:color="auto"/>
        <w:left w:val="none" w:sz="0" w:space="0" w:color="auto"/>
        <w:bottom w:val="none" w:sz="0" w:space="0" w:color="auto"/>
        <w:right w:val="none" w:sz="0" w:space="0" w:color="auto"/>
      </w:divBdr>
    </w:div>
    <w:div w:id="520629284">
      <w:bodyDiv w:val="1"/>
      <w:marLeft w:val="0"/>
      <w:marRight w:val="0"/>
      <w:marTop w:val="0"/>
      <w:marBottom w:val="0"/>
      <w:divBdr>
        <w:top w:val="none" w:sz="0" w:space="0" w:color="auto"/>
        <w:left w:val="none" w:sz="0" w:space="0" w:color="auto"/>
        <w:bottom w:val="none" w:sz="0" w:space="0" w:color="auto"/>
        <w:right w:val="none" w:sz="0" w:space="0" w:color="auto"/>
      </w:divBdr>
    </w:div>
    <w:div w:id="574096197">
      <w:bodyDiv w:val="1"/>
      <w:marLeft w:val="0"/>
      <w:marRight w:val="0"/>
      <w:marTop w:val="0"/>
      <w:marBottom w:val="0"/>
      <w:divBdr>
        <w:top w:val="none" w:sz="0" w:space="0" w:color="auto"/>
        <w:left w:val="none" w:sz="0" w:space="0" w:color="auto"/>
        <w:bottom w:val="none" w:sz="0" w:space="0" w:color="auto"/>
        <w:right w:val="none" w:sz="0" w:space="0" w:color="auto"/>
      </w:divBdr>
    </w:div>
    <w:div w:id="670524892">
      <w:bodyDiv w:val="1"/>
      <w:marLeft w:val="0"/>
      <w:marRight w:val="0"/>
      <w:marTop w:val="0"/>
      <w:marBottom w:val="0"/>
      <w:divBdr>
        <w:top w:val="none" w:sz="0" w:space="0" w:color="auto"/>
        <w:left w:val="none" w:sz="0" w:space="0" w:color="auto"/>
        <w:bottom w:val="none" w:sz="0" w:space="0" w:color="auto"/>
        <w:right w:val="none" w:sz="0" w:space="0" w:color="auto"/>
      </w:divBdr>
    </w:div>
    <w:div w:id="758793993">
      <w:bodyDiv w:val="1"/>
      <w:marLeft w:val="0"/>
      <w:marRight w:val="0"/>
      <w:marTop w:val="0"/>
      <w:marBottom w:val="0"/>
      <w:divBdr>
        <w:top w:val="none" w:sz="0" w:space="0" w:color="auto"/>
        <w:left w:val="none" w:sz="0" w:space="0" w:color="auto"/>
        <w:bottom w:val="none" w:sz="0" w:space="0" w:color="auto"/>
        <w:right w:val="none" w:sz="0" w:space="0" w:color="auto"/>
      </w:divBdr>
      <w:divsChild>
        <w:div w:id="938679509">
          <w:marLeft w:val="0"/>
          <w:marRight w:val="0"/>
          <w:marTop w:val="0"/>
          <w:marBottom w:val="0"/>
          <w:divBdr>
            <w:top w:val="none" w:sz="0" w:space="0" w:color="auto"/>
            <w:left w:val="none" w:sz="0" w:space="0" w:color="auto"/>
            <w:bottom w:val="none" w:sz="0" w:space="0" w:color="auto"/>
            <w:right w:val="none" w:sz="0" w:space="0" w:color="auto"/>
          </w:divBdr>
        </w:div>
      </w:divsChild>
    </w:div>
    <w:div w:id="951328113">
      <w:bodyDiv w:val="1"/>
      <w:marLeft w:val="0"/>
      <w:marRight w:val="0"/>
      <w:marTop w:val="0"/>
      <w:marBottom w:val="0"/>
      <w:divBdr>
        <w:top w:val="none" w:sz="0" w:space="0" w:color="auto"/>
        <w:left w:val="none" w:sz="0" w:space="0" w:color="auto"/>
        <w:bottom w:val="none" w:sz="0" w:space="0" w:color="auto"/>
        <w:right w:val="none" w:sz="0" w:space="0" w:color="auto"/>
      </w:divBdr>
    </w:div>
    <w:div w:id="996300331">
      <w:bodyDiv w:val="1"/>
      <w:marLeft w:val="0"/>
      <w:marRight w:val="0"/>
      <w:marTop w:val="0"/>
      <w:marBottom w:val="0"/>
      <w:divBdr>
        <w:top w:val="none" w:sz="0" w:space="0" w:color="auto"/>
        <w:left w:val="none" w:sz="0" w:space="0" w:color="auto"/>
        <w:bottom w:val="none" w:sz="0" w:space="0" w:color="auto"/>
        <w:right w:val="none" w:sz="0" w:space="0" w:color="auto"/>
      </w:divBdr>
    </w:div>
    <w:div w:id="1026298934">
      <w:bodyDiv w:val="1"/>
      <w:marLeft w:val="0"/>
      <w:marRight w:val="0"/>
      <w:marTop w:val="0"/>
      <w:marBottom w:val="0"/>
      <w:divBdr>
        <w:top w:val="none" w:sz="0" w:space="0" w:color="auto"/>
        <w:left w:val="none" w:sz="0" w:space="0" w:color="auto"/>
        <w:bottom w:val="none" w:sz="0" w:space="0" w:color="auto"/>
        <w:right w:val="none" w:sz="0" w:space="0" w:color="auto"/>
      </w:divBdr>
    </w:div>
    <w:div w:id="1139571546">
      <w:bodyDiv w:val="1"/>
      <w:marLeft w:val="0"/>
      <w:marRight w:val="0"/>
      <w:marTop w:val="0"/>
      <w:marBottom w:val="0"/>
      <w:divBdr>
        <w:top w:val="none" w:sz="0" w:space="0" w:color="auto"/>
        <w:left w:val="none" w:sz="0" w:space="0" w:color="auto"/>
        <w:bottom w:val="none" w:sz="0" w:space="0" w:color="auto"/>
        <w:right w:val="none" w:sz="0" w:space="0" w:color="auto"/>
      </w:divBdr>
    </w:div>
    <w:div w:id="1495684827">
      <w:bodyDiv w:val="1"/>
      <w:marLeft w:val="0"/>
      <w:marRight w:val="0"/>
      <w:marTop w:val="0"/>
      <w:marBottom w:val="0"/>
      <w:divBdr>
        <w:top w:val="none" w:sz="0" w:space="0" w:color="auto"/>
        <w:left w:val="none" w:sz="0" w:space="0" w:color="auto"/>
        <w:bottom w:val="none" w:sz="0" w:space="0" w:color="auto"/>
        <w:right w:val="none" w:sz="0" w:space="0" w:color="auto"/>
      </w:divBdr>
    </w:div>
    <w:div w:id="1659189464">
      <w:bodyDiv w:val="1"/>
      <w:marLeft w:val="0"/>
      <w:marRight w:val="0"/>
      <w:marTop w:val="0"/>
      <w:marBottom w:val="0"/>
      <w:divBdr>
        <w:top w:val="none" w:sz="0" w:space="0" w:color="auto"/>
        <w:left w:val="none" w:sz="0" w:space="0" w:color="auto"/>
        <w:bottom w:val="none" w:sz="0" w:space="0" w:color="auto"/>
        <w:right w:val="none" w:sz="0" w:space="0" w:color="auto"/>
      </w:divBdr>
      <w:divsChild>
        <w:div w:id="1112474123">
          <w:marLeft w:val="0"/>
          <w:marRight w:val="0"/>
          <w:marTop w:val="0"/>
          <w:marBottom w:val="0"/>
          <w:divBdr>
            <w:top w:val="none" w:sz="0" w:space="0" w:color="auto"/>
            <w:left w:val="none" w:sz="0" w:space="0" w:color="auto"/>
            <w:bottom w:val="none" w:sz="0" w:space="0" w:color="auto"/>
            <w:right w:val="none" w:sz="0" w:space="0" w:color="auto"/>
          </w:divBdr>
        </w:div>
      </w:divsChild>
    </w:div>
    <w:div w:id="2070305980">
      <w:bodyDiv w:val="1"/>
      <w:marLeft w:val="0"/>
      <w:marRight w:val="0"/>
      <w:marTop w:val="0"/>
      <w:marBottom w:val="0"/>
      <w:divBdr>
        <w:top w:val="none" w:sz="0" w:space="0" w:color="auto"/>
        <w:left w:val="none" w:sz="0" w:space="0" w:color="auto"/>
        <w:bottom w:val="none" w:sz="0" w:space="0" w:color="auto"/>
        <w:right w:val="none" w:sz="0" w:space="0" w:color="auto"/>
      </w:divBdr>
    </w:div>
    <w:div w:id="2110810362">
      <w:bodyDiv w:val="1"/>
      <w:marLeft w:val="0"/>
      <w:marRight w:val="0"/>
      <w:marTop w:val="0"/>
      <w:marBottom w:val="0"/>
      <w:divBdr>
        <w:top w:val="none" w:sz="0" w:space="0" w:color="auto"/>
        <w:left w:val="none" w:sz="0" w:space="0" w:color="auto"/>
        <w:bottom w:val="none" w:sz="0" w:space="0" w:color="auto"/>
        <w:right w:val="none" w:sz="0" w:space="0" w:color="auto"/>
      </w:divBdr>
    </w:div>
    <w:div w:id="2147040495">
      <w:bodyDiv w:val="1"/>
      <w:marLeft w:val="0"/>
      <w:marRight w:val="0"/>
      <w:marTop w:val="0"/>
      <w:marBottom w:val="0"/>
      <w:divBdr>
        <w:top w:val="none" w:sz="0" w:space="0" w:color="auto"/>
        <w:left w:val="none" w:sz="0" w:space="0" w:color="auto"/>
        <w:bottom w:val="none" w:sz="0" w:space="0" w:color="auto"/>
        <w:right w:val="none" w:sz="0" w:space="0" w:color="auto"/>
      </w:divBdr>
      <w:divsChild>
        <w:div w:id="285476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11/emre.12583"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x.doi.org/10.4135/978144625186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D201103-55D2-4C49-B700-37976570BA5A}">
  <we:reference id="wa200005669" version="2.0.0.0" store="en-US" storeType="OMEX"/>
  <we:alternateReferences>
    <we:reference id="WA200005669" version="2.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Lecturer: Prof. Dennis Pepple</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D1465B-5166-4A8A-80C1-6BAA4B347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1</Pages>
  <Words>3037</Words>
  <Characters>18986</Characters>
  <Application>Microsoft Office Word</Application>
  <DocSecurity>0</DocSecurity>
  <Lines>287</Lines>
  <Paragraphs>83</Paragraphs>
  <ScaleCrop>false</ScaleCrop>
  <HeadingPairs>
    <vt:vector size="2" baseType="variant">
      <vt:variant>
        <vt:lpstr>Title</vt:lpstr>
      </vt:variant>
      <vt:variant>
        <vt:i4>1</vt:i4>
      </vt:variant>
    </vt:vector>
  </HeadingPairs>
  <TitlesOfParts>
    <vt:vector size="1" baseType="lpstr">
      <vt:lpstr>Reflective Report</vt:lpstr>
    </vt:vector>
  </TitlesOfParts>
  <Company/>
  <LinksUpToDate>false</LinksUpToDate>
  <CharactersWithSpaces>21940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Coaching and Mentoring Skills for the Workplace BMSW6105</dc:subject>
  <dc:creator>Student: Livia Monica Dragan (2130234)</dc:creator>
  <cp:keywords/>
  <dc:description/>
  <cp:lastModifiedBy>Livia Dragan (2130234)</cp:lastModifiedBy>
  <cp:revision>71</cp:revision>
  <dcterms:created xsi:type="dcterms:W3CDTF">2025-03-21T17:56:00Z</dcterms:created>
  <dcterms:modified xsi:type="dcterms:W3CDTF">2025-03-23T10:11:00Z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cf9c68630ce7c84737c03454c5f5695b13f699ec701fd3dea8fbd4c8dee8ab27</vt:lpwstr>
  </property>
</Properties>
</file>