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6593BE" w14:textId="7AB7039E" w:rsidR="00FE605D" w:rsidRDefault="000B0AE1" w:rsidP="00F1603C">
      <w:pPr>
        <w:pStyle w:val="Heading1"/>
        <w:jc w:val="both"/>
        <w:rPr>
          <w:sz w:val="22"/>
          <w:szCs w:val="22"/>
        </w:rPr>
      </w:pPr>
      <w:bookmarkStart w:id="0" w:name="_Toc235654345"/>
      <w:r>
        <w:rPr>
          <w:noProof/>
          <w:sz w:val="22"/>
          <w:szCs w:val="22"/>
        </w:rPr>
        <w:drawing>
          <wp:inline distT="0" distB="0" distL="0" distR="0" wp14:anchorId="64D6A5D1" wp14:editId="29520328">
            <wp:extent cx="2503794" cy="1062237"/>
            <wp:effectExtent l="0" t="0" r="0" b="5080"/>
            <wp:docPr id="1150013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4610" cy="1117736"/>
                    </a:xfrm>
                    <a:prstGeom prst="rect">
                      <a:avLst/>
                    </a:prstGeom>
                    <a:noFill/>
                  </pic:spPr>
                </pic:pic>
              </a:graphicData>
            </a:graphic>
          </wp:inline>
        </w:drawing>
      </w:r>
    </w:p>
    <w:p w14:paraId="655F280F" w14:textId="77777777" w:rsidR="00FE605D" w:rsidRDefault="00FE605D" w:rsidP="008C264A">
      <w:pPr>
        <w:pStyle w:val="Heading1"/>
        <w:jc w:val="both"/>
        <w:rPr>
          <w:sz w:val="22"/>
          <w:szCs w:val="22"/>
        </w:rPr>
      </w:pPr>
    </w:p>
    <w:p w14:paraId="60CA000C" w14:textId="77777777" w:rsidR="00FE605D" w:rsidRDefault="00FE605D" w:rsidP="00BD51E5">
      <w:pPr>
        <w:pStyle w:val="Heading1"/>
        <w:rPr>
          <w:sz w:val="22"/>
          <w:szCs w:val="22"/>
        </w:rPr>
      </w:pPr>
    </w:p>
    <w:p w14:paraId="41730CD9" w14:textId="77777777" w:rsidR="00FE605D" w:rsidRDefault="00FE605D" w:rsidP="00BD51E5">
      <w:pPr>
        <w:pStyle w:val="Heading1"/>
        <w:rPr>
          <w:sz w:val="22"/>
          <w:szCs w:val="22"/>
        </w:rPr>
      </w:pPr>
    </w:p>
    <w:p w14:paraId="5C24CE0D" w14:textId="77777777" w:rsidR="008C264A" w:rsidRDefault="005726D9" w:rsidP="00BD51E5">
      <w:pPr>
        <w:pStyle w:val="Heading1"/>
        <w:rPr>
          <w:sz w:val="28"/>
          <w:szCs w:val="28"/>
        </w:rPr>
      </w:pPr>
      <w:r>
        <w:rPr>
          <w:sz w:val="28"/>
          <w:szCs w:val="28"/>
        </w:rPr>
        <w:t xml:space="preserve">                  </w:t>
      </w:r>
    </w:p>
    <w:p w14:paraId="081D62E0" w14:textId="2B5F1E0B" w:rsidR="00077D2C" w:rsidRPr="00077D2C" w:rsidRDefault="000521C1" w:rsidP="00077D2C">
      <w:pPr>
        <w:pStyle w:val="Heading1"/>
        <w:rPr>
          <w:sz w:val="28"/>
          <w:szCs w:val="28"/>
        </w:rPr>
      </w:pPr>
      <w:r>
        <w:rPr>
          <w:sz w:val="28"/>
          <w:szCs w:val="28"/>
        </w:rPr>
        <w:t xml:space="preserve">                </w:t>
      </w:r>
      <w:r w:rsidR="00077D2C">
        <w:rPr>
          <w:sz w:val="28"/>
          <w:szCs w:val="28"/>
        </w:rPr>
        <w:t>BSC(HON</w:t>
      </w:r>
      <w:r>
        <w:rPr>
          <w:sz w:val="28"/>
          <w:szCs w:val="28"/>
        </w:rPr>
        <w:t>) Health and Social Care</w:t>
      </w:r>
    </w:p>
    <w:p w14:paraId="5202967D" w14:textId="67CD2ECA" w:rsidR="00BD51E5" w:rsidRPr="00FE605D" w:rsidRDefault="008C264A" w:rsidP="00BD51E5">
      <w:pPr>
        <w:pStyle w:val="Heading1"/>
        <w:rPr>
          <w:sz w:val="28"/>
          <w:szCs w:val="28"/>
        </w:rPr>
      </w:pPr>
      <w:r>
        <w:rPr>
          <w:sz w:val="28"/>
          <w:szCs w:val="28"/>
        </w:rPr>
        <w:t xml:space="preserve">          </w:t>
      </w:r>
      <w:r w:rsidR="005726D9">
        <w:rPr>
          <w:sz w:val="28"/>
          <w:szCs w:val="28"/>
        </w:rPr>
        <w:t xml:space="preserve"> </w:t>
      </w:r>
      <w:r w:rsidR="00BD51E5" w:rsidRPr="00FE605D">
        <w:rPr>
          <w:sz w:val="28"/>
          <w:szCs w:val="28"/>
        </w:rPr>
        <w:t>Changemakers – Creativity and Value Creation</w:t>
      </w:r>
      <w:bookmarkEnd w:id="0"/>
    </w:p>
    <w:p w14:paraId="48541BA4" w14:textId="7003A8D0" w:rsidR="00BD51E5" w:rsidRPr="00FE605D" w:rsidRDefault="00BD51E5" w:rsidP="00BD51E5">
      <w:pPr>
        <w:pStyle w:val="Heading2"/>
        <w:rPr>
          <w:sz w:val="28"/>
          <w:szCs w:val="28"/>
        </w:rPr>
      </w:pPr>
    </w:p>
    <w:p w14:paraId="5DB54170" w14:textId="1EA53C77" w:rsidR="00BD51E5" w:rsidRPr="00DE2516" w:rsidRDefault="00BD51E5" w:rsidP="00BD51E5">
      <w:pPr>
        <w:pStyle w:val="NormalWeb"/>
        <w:rPr>
          <w:rFonts w:ascii="Arial" w:hAnsi="Arial" w:cs="Arial"/>
          <w:sz w:val="22"/>
          <w:szCs w:val="22"/>
        </w:rPr>
      </w:pPr>
      <w:r w:rsidRPr="00DE2516">
        <w:rPr>
          <w:rStyle w:val="Strong"/>
          <w:rFonts w:ascii="Arial" w:hAnsi="Arial" w:cs="Arial"/>
          <w:b w:val="0"/>
          <w:bCs w:val="0"/>
          <w:sz w:val="22"/>
          <w:szCs w:val="22"/>
        </w:rPr>
        <w:t>Student Name:</w:t>
      </w:r>
      <w:r w:rsidRPr="00DE2516">
        <w:rPr>
          <w:rFonts w:ascii="Arial" w:hAnsi="Arial" w:cs="Arial"/>
          <w:sz w:val="22"/>
          <w:szCs w:val="22"/>
        </w:rPr>
        <w:t xml:space="preserve"> </w:t>
      </w:r>
      <w:r w:rsidR="004056A3" w:rsidRPr="00DE2516">
        <w:rPr>
          <w:rFonts w:ascii="Arial" w:hAnsi="Arial" w:cs="Arial"/>
          <w:sz w:val="22"/>
          <w:szCs w:val="22"/>
        </w:rPr>
        <w:t>Ferdoushi Rahman M</w:t>
      </w:r>
      <w:r w:rsidR="00A15294" w:rsidRPr="00DE2516">
        <w:rPr>
          <w:rFonts w:ascii="Arial" w:hAnsi="Arial" w:cs="Arial"/>
          <w:sz w:val="22"/>
          <w:szCs w:val="22"/>
        </w:rPr>
        <w:t>onju</w:t>
      </w:r>
    </w:p>
    <w:p w14:paraId="0D9C3DE2" w14:textId="4D5E5B5B" w:rsidR="00BD51E5" w:rsidRPr="00DE2516" w:rsidRDefault="00BD51E5" w:rsidP="00BD51E5">
      <w:pPr>
        <w:pStyle w:val="NormalWeb"/>
        <w:rPr>
          <w:rFonts w:ascii="Arial" w:hAnsi="Arial" w:cs="Arial"/>
          <w:sz w:val="22"/>
          <w:szCs w:val="22"/>
        </w:rPr>
      </w:pPr>
      <w:r w:rsidRPr="00DE2516">
        <w:rPr>
          <w:rStyle w:val="Strong"/>
          <w:rFonts w:ascii="Arial" w:hAnsi="Arial" w:cs="Arial"/>
          <w:b w:val="0"/>
          <w:bCs w:val="0"/>
          <w:sz w:val="22"/>
          <w:szCs w:val="22"/>
        </w:rPr>
        <w:t>Student Number:</w:t>
      </w:r>
      <w:r w:rsidRPr="00DE2516">
        <w:rPr>
          <w:rFonts w:ascii="Arial" w:hAnsi="Arial" w:cs="Arial"/>
          <w:sz w:val="22"/>
          <w:szCs w:val="22"/>
        </w:rPr>
        <w:t xml:space="preserve"> </w:t>
      </w:r>
      <w:r w:rsidR="00A15294" w:rsidRPr="00DE2516">
        <w:rPr>
          <w:rFonts w:ascii="Arial" w:hAnsi="Arial" w:cs="Arial"/>
          <w:sz w:val="22"/>
          <w:szCs w:val="22"/>
        </w:rPr>
        <w:t>2430137</w:t>
      </w:r>
    </w:p>
    <w:p w14:paraId="3DFEB28F" w14:textId="77777777" w:rsidR="00BD51E5" w:rsidRPr="00DE2516" w:rsidRDefault="00BD51E5" w:rsidP="00BD51E5">
      <w:pPr>
        <w:pStyle w:val="NormalWeb"/>
        <w:rPr>
          <w:rFonts w:ascii="Arial" w:hAnsi="Arial" w:cs="Arial"/>
          <w:sz w:val="22"/>
          <w:szCs w:val="22"/>
        </w:rPr>
      </w:pPr>
      <w:r w:rsidRPr="00DE2516">
        <w:rPr>
          <w:rStyle w:val="Strong"/>
          <w:rFonts w:ascii="Arial" w:hAnsi="Arial" w:cs="Arial"/>
          <w:b w:val="0"/>
          <w:bCs w:val="0"/>
          <w:sz w:val="22"/>
          <w:szCs w:val="22"/>
        </w:rPr>
        <w:t>Module Code:</w:t>
      </w:r>
      <w:r w:rsidRPr="00DE2516">
        <w:rPr>
          <w:rFonts w:ascii="Arial" w:hAnsi="Arial" w:cs="Arial"/>
          <w:sz w:val="22"/>
          <w:szCs w:val="22"/>
        </w:rPr>
        <w:t xml:space="preserve"> BMHP5014</w:t>
      </w:r>
    </w:p>
    <w:p w14:paraId="6F14FF46" w14:textId="77777777" w:rsidR="00BD51E5" w:rsidRPr="00DE2516" w:rsidRDefault="00BD51E5" w:rsidP="00BD51E5">
      <w:pPr>
        <w:pStyle w:val="NormalWeb"/>
        <w:rPr>
          <w:rFonts w:ascii="Arial" w:hAnsi="Arial" w:cs="Arial"/>
          <w:sz w:val="22"/>
          <w:szCs w:val="22"/>
        </w:rPr>
      </w:pPr>
      <w:r w:rsidRPr="00DE2516">
        <w:rPr>
          <w:rStyle w:val="Strong"/>
          <w:rFonts w:ascii="Arial" w:hAnsi="Arial" w:cs="Arial"/>
          <w:b w:val="0"/>
          <w:bCs w:val="0"/>
          <w:sz w:val="22"/>
          <w:szCs w:val="22"/>
        </w:rPr>
        <w:t>Module Title:</w:t>
      </w:r>
      <w:r w:rsidRPr="00DE2516">
        <w:rPr>
          <w:rFonts w:ascii="Arial" w:hAnsi="Arial" w:cs="Arial"/>
          <w:sz w:val="22"/>
          <w:szCs w:val="22"/>
        </w:rPr>
        <w:t xml:space="preserve"> Changemakers: Creativity and Value Creation</w:t>
      </w:r>
    </w:p>
    <w:p w14:paraId="7530FB4A" w14:textId="632E014A" w:rsidR="00411B73" w:rsidRPr="00DE2516" w:rsidRDefault="00BD51E5" w:rsidP="00BD51E5">
      <w:pPr>
        <w:pStyle w:val="NormalWeb"/>
        <w:rPr>
          <w:rFonts w:ascii="Arial" w:hAnsi="Arial" w:cs="Arial"/>
          <w:sz w:val="22"/>
          <w:szCs w:val="22"/>
        </w:rPr>
      </w:pPr>
      <w:r w:rsidRPr="00DE2516">
        <w:rPr>
          <w:rStyle w:val="Strong"/>
          <w:rFonts w:ascii="Arial" w:hAnsi="Arial" w:cs="Arial"/>
          <w:b w:val="0"/>
          <w:bCs w:val="0"/>
          <w:sz w:val="22"/>
          <w:szCs w:val="22"/>
        </w:rPr>
        <w:t>Lecturer</w:t>
      </w:r>
      <w:r w:rsidR="00411B73" w:rsidRPr="00DE2516">
        <w:rPr>
          <w:rStyle w:val="Strong"/>
          <w:rFonts w:ascii="Arial" w:hAnsi="Arial" w:cs="Arial"/>
          <w:b w:val="0"/>
          <w:bCs w:val="0"/>
          <w:sz w:val="22"/>
          <w:szCs w:val="22"/>
        </w:rPr>
        <w:t xml:space="preserve"> </w:t>
      </w:r>
      <w:r w:rsidR="005113AE" w:rsidRPr="00DE2516">
        <w:rPr>
          <w:rStyle w:val="Strong"/>
          <w:rFonts w:ascii="Arial" w:hAnsi="Arial" w:cs="Arial"/>
          <w:b w:val="0"/>
          <w:bCs w:val="0"/>
          <w:sz w:val="22"/>
          <w:szCs w:val="22"/>
        </w:rPr>
        <w:t>Name: Dr Sob</w:t>
      </w:r>
      <w:r w:rsidR="004056A3" w:rsidRPr="00DE2516">
        <w:rPr>
          <w:rStyle w:val="Strong"/>
          <w:rFonts w:ascii="Arial" w:hAnsi="Arial" w:cs="Arial"/>
          <w:b w:val="0"/>
          <w:bCs w:val="0"/>
          <w:sz w:val="22"/>
          <w:szCs w:val="22"/>
        </w:rPr>
        <w:t>a</w:t>
      </w:r>
      <w:r w:rsidR="005113AE" w:rsidRPr="00DE2516">
        <w:rPr>
          <w:rStyle w:val="Strong"/>
          <w:rFonts w:ascii="Arial" w:hAnsi="Arial" w:cs="Arial"/>
          <w:b w:val="0"/>
          <w:bCs w:val="0"/>
          <w:sz w:val="22"/>
          <w:szCs w:val="22"/>
        </w:rPr>
        <w:t xml:space="preserve">n </w:t>
      </w:r>
      <w:r w:rsidR="008A22A2" w:rsidRPr="00DE2516">
        <w:rPr>
          <w:rStyle w:val="Strong"/>
          <w:rFonts w:ascii="Arial" w:hAnsi="Arial" w:cs="Arial"/>
          <w:b w:val="0"/>
          <w:bCs w:val="0"/>
          <w:sz w:val="22"/>
          <w:szCs w:val="22"/>
        </w:rPr>
        <w:t>Sadiq</w:t>
      </w:r>
    </w:p>
    <w:p w14:paraId="765373D8" w14:textId="77777777" w:rsidR="005726D9" w:rsidRPr="00DE2516" w:rsidRDefault="005726D9" w:rsidP="005726D9">
      <w:pPr>
        <w:pStyle w:val="Heading2"/>
        <w:rPr>
          <w:b w:val="0"/>
          <w:bCs w:val="0"/>
          <w:sz w:val="22"/>
          <w:szCs w:val="22"/>
        </w:rPr>
      </w:pPr>
      <w:r w:rsidRPr="00DE2516">
        <w:rPr>
          <w:b w:val="0"/>
          <w:bCs w:val="0"/>
          <w:sz w:val="22"/>
          <w:szCs w:val="22"/>
        </w:rPr>
        <w:t>Component 1: Online Portfolio of Set Exercises</w:t>
      </w:r>
    </w:p>
    <w:p w14:paraId="37FFA7AF" w14:textId="77777777" w:rsidR="005726D9" w:rsidRPr="00DE2516" w:rsidRDefault="005726D9" w:rsidP="00BD51E5">
      <w:pPr>
        <w:pStyle w:val="NormalWeb"/>
        <w:rPr>
          <w:rFonts w:ascii="Arial" w:hAnsi="Arial" w:cs="Arial"/>
          <w:sz w:val="22"/>
          <w:szCs w:val="22"/>
        </w:rPr>
      </w:pPr>
    </w:p>
    <w:p w14:paraId="6500FAF1" w14:textId="3AF58A96" w:rsidR="00BD51E5" w:rsidRPr="009A24EF" w:rsidRDefault="00BD51E5" w:rsidP="00BD51E5">
      <w:pPr>
        <w:pStyle w:val="NormalWeb"/>
        <w:rPr>
          <w:rFonts w:ascii="Arial" w:hAnsi="Arial" w:cs="Arial"/>
          <w:sz w:val="22"/>
          <w:szCs w:val="22"/>
        </w:rPr>
      </w:pPr>
    </w:p>
    <w:p w14:paraId="1C70C474" w14:textId="77777777" w:rsidR="009E7429" w:rsidRPr="009A24EF" w:rsidRDefault="009E7429" w:rsidP="00BD51E5">
      <w:pPr>
        <w:pStyle w:val="NormalWeb"/>
        <w:rPr>
          <w:rFonts w:ascii="Arial" w:hAnsi="Arial" w:cs="Arial"/>
          <w:sz w:val="22"/>
          <w:szCs w:val="22"/>
        </w:rPr>
      </w:pPr>
    </w:p>
    <w:p w14:paraId="3D5FA4B8" w14:textId="77777777" w:rsidR="009E7429" w:rsidRPr="009A24EF" w:rsidRDefault="009E7429" w:rsidP="00BD51E5">
      <w:pPr>
        <w:pStyle w:val="NormalWeb"/>
        <w:rPr>
          <w:rFonts w:ascii="Arial" w:hAnsi="Arial" w:cs="Arial"/>
          <w:sz w:val="22"/>
          <w:szCs w:val="22"/>
        </w:rPr>
      </w:pPr>
    </w:p>
    <w:p w14:paraId="1E4F8AAD" w14:textId="77777777" w:rsidR="009E7429" w:rsidRDefault="009E7429" w:rsidP="00BD51E5">
      <w:pPr>
        <w:pStyle w:val="NormalWeb"/>
      </w:pPr>
    </w:p>
    <w:p w14:paraId="2FBDD5BF" w14:textId="77777777" w:rsidR="009E7429" w:rsidRDefault="009E7429" w:rsidP="00BD51E5">
      <w:pPr>
        <w:pStyle w:val="NormalWeb"/>
      </w:pPr>
    </w:p>
    <w:p w14:paraId="2E1378A0" w14:textId="77777777" w:rsidR="009E7429" w:rsidRDefault="009E7429" w:rsidP="00BD51E5">
      <w:pPr>
        <w:pStyle w:val="NormalWeb"/>
      </w:pPr>
    </w:p>
    <w:p w14:paraId="7F3C68A5" w14:textId="77777777" w:rsidR="009E7429" w:rsidRDefault="009E7429" w:rsidP="00BD51E5">
      <w:pPr>
        <w:pStyle w:val="NormalWeb"/>
      </w:pPr>
    </w:p>
    <w:p w14:paraId="2AD1BD95" w14:textId="77777777" w:rsidR="009E7429" w:rsidRDefault="009E7429" w:rsidP="00BD51E5">
      <w:pPr>
        <w:pStyle w:val="NormalWeb"/>
      </w:pPr>
    </w:p>
    <w:p w14:paraId="294B205D" w14:textId="77777777" w:rsidR="009E7429" w:rsidRDefault="009E7429" w:rsidP="00BD51E5">
      <w:pPr>
        <w:pStyle w:val="NormalWeb"/>
      </w:pPr>
    </w:p>
    <w:p w14:paraId="2D41341B" w14:textId="77777777" w:rsidR="009E7429" w:rsidRDefault="009E7429" w:rsidP="00BD51E5">
      <w:pPr>
        <w:pStyle w:val="NormalWeb"/>
      </w:pPr>
    </w:p>
    <w:p w14:paraId="5594DA03" w14:textId="77777777" w:rsidR="009E7429" w:rsidRDefault="009E7429" w:rsidP="00BD51E5">
      <w:pPr>
        <w:pStyle w:val="NormalWeb"/>
      </w:pPr>
    </w:p>
    <w:sdt>
      <w:sdtPr>
        <w:rPr>
          <w:rFonts w:ascii="Arial" w:eastAsia="Arial" w:hAnsi="Arial" w:cs="Arial"/>
          <w:color w:val="auto"/>
          <w:sz w:val="22"/>
          <w:szCs w:val="22"/>
        </w:rPr>
        <w:id w:val="-222909824"/>
        <w:docPartObj>
          <w:docPartGallery w:val="Table of Contents"/>
          <w:docPartUnique/>
        </w:docPartObj>
      </w:sdtPr>
      <w:sdtEndPr>
        <w:rPr>
          <w:b/>
          <w:bCs/>
          <w:noProof/>
        </w:rPr>
      </w:sdtEndPr>
      <w:sdtContent>
        <w:p w14:paraId="4E39EDEC" w14:textId="2C9C0AED" w:rsidR="009E7429" w:rsidRDefault="009E7429">
          <w:pPr>
            <w:pStyle w:val="TOCHeading"/>
          </w:pPr>
          <w:r>
            <w:t>Contents</w:t>
          </w:r>
        </w:p>
        <w:p w14:paraId="525F0230" w14:textId="4C5D97CD" w:rsidR="00C43BB0" w:rsidRDefault="009E7429">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5654345" w:history="1">
            <w:r w:rsidR="00C43BB0" w:rsidRPr="00CA4D5D">
              <w:rPr>
                <w:rStyle w:val="Hyperlink"/>
                <w:noProof/>
              </w:rPr>
              <w:t>BMHP5014: Changemakers – Creativity and Value Creation</w:t>
            </w:r>
            <w:r w:rsidR="00C43BB0">
              <w:rPr>
                <w:noProof/>
                <w:webHidden/>
              </w:rPr>
              <w:tab/>
            </w:r>
            <w:r w:rsidR="00C43BB0">
              <w:rPr>
                <w:noProof/>
                <w:webHidden/>
              </w:rPr>
              <w:fldChar w:fldCharType="begin"/>
            </w:r>
            <w:r w:rsidR="00C43BB0">
              <w:rPr>
                <w:noProof/>
                <w:webHidden/>
              </w:rPr>
              <w:instrText xml:space="preserve"> PAGEREF _Toc235654345 \h </w:instrText>
            </w:r>
            <w:r w:rsidR="00C43BB0">
              <w:rPr>
                <w:noProof/>
                <w:webHidden/>
              </w:rPr>
            </w:r>
            <w:r w:rsidR="00C43BB0">
              <w:rPr>
                <w:noProof/>
                <w:webHidden/>
              </w:rPr>
              <w:fldChar w:fldCharType="separate"/>
            </w:r>
            <w:r w:rsidR="00C43BB0">
              <w:rPr>
                <w:noProof/>
                <w:webHidden/>
              </w:rPr>
              <w:t>1</w:t>
            </w:r>
            <w:r w:rsidR="00C43BB0">
              <w:rPr>
                <w:noProof/>
                <w:webHidden/>
              </w:rPr>
              <w:fldChar w:fldCharType="end"/>
            </w:r>
          </w:hyperlink>
        </w:p>
        <w:p w14:paraId="21E3C727" w14:textId="27670A0A" w:rsidR="00C43BB0" w:rsidRDefault="00C43BB0">
          <w:pPr>
            <w:pStyle w:val="TOC2"/>
            <w:tabs>
              <w:tab w:val="right" w:leader="dot" w:pos="9350"/>
            </w:tabs>
            <w:rPr>
              <w:rFonts w:asciiTheme="minorHAnsi" w:eastAsiaTheme="minorEastAsia" w:hAnsiTheme="minorHAnsi" w:cstheme="minorBidi"/>
              <w:noProof/>
            </w:rPr>
          </w:pPr>
          <w:hyperlink w:anchor="_Toc235654346" w:history="1">
            <w:r w:rsidRPr="00CA4D5D">
              <w:rPr>
                <w:rStyle w:val="Hyperlink"/>
                <w:noProof/>
              </w:rPr>
              <w:t>Component 1: Online Portfolio of Set Exercises</w:t>
            </w:r>
            <w:r>
              <w:rPr>
                <w:noProof/>
                <w:webHidden/>
              </w:rPr>
              <w:tab/>
            </w:r>
            <w:r>
              <w:rPr>
                <w:noProof/>
                <w:webHidden/>
              </w:rPr>
              <w:fldChar w:fldCharType="begin"/>
            </w:r>
            <w:r>
              <w:rPr>
                <w:noProof/>
                <w:webHidden/>
              </w:rPr>
              <w:instrText xml:space="preserve"> PAGEREF _Toc235654346 \h </w:instrText>
            </w:r>
            <w:r>
              <w:rPr>
                <w:noProof/>
                <w:webHidden/>
              </w:rPr>
            </w:r>
            <w:r>
              <w:rPr>
                <w:noProof/>
                <w:webHidden/>
              </w:rPr>
              <w:fldChar w:fldCharType="separate"/>
            </w:r>
            <w:r>
              <w:rPr>
                <w:noProof/>
                <w:webHidden/>
              </w:rPr>
              <w:t>1</w:t>
            </w:r>
            <w:r>
              <w:rPr>
                <w:noProof/>
                <w:webHidden/>
              </w:rPr>
              <w:fldChar w:fldCharType="end"/>
            </w:r>
          </w:hyperlink>
        </w:p>
        <w:p w14:paraId="3A5BE33B" w14:textId="05ED76F3" w:rsidR="00C43BB0" w:rsidRDefault="00C43BB0">
          <w:pPr>
            <w:pStyle w:val="TOC3"/>
            <w:tabs>
              <w:tab w:val="right" w:leader="dot" w:pos="9350"/>
            </w:tabs>
            <w:rPr>
              <w:rFonts w:asciiTheme="minorHAnsi" w:eastAsiaTheme="minorEastAsia" w:hAnsiTheme="minorHAnsi" w:cstheme="minorBidi"/>
              <w:noProof/>
            </w:rPr>
          </w:pPr>
          <w:hyperlink w:anchor="_Toc235654347" w:history="1">
            <w:r w:rsidRPr="00CA4D5D">
              <w:rPr>
                <w:rStyle w:val="Hyperlink"/>
                <w:noProof/>
              </w:rPr>
              <w:t>Introduction</w:t>
            </w:r>
            <w:r>
              <w:rPr>
                <w:noProof/>
                <w:webHidden/>
              </w:rPr>
              <w:tab/>
            </w:r>
            <w:r>
              <w:rPr>
                <w:noProof/>
                <w:webHidden/>
              </w:rPr>
              <w:fldChar w:fldCharType="begin"/>
            </w:r>
            <w:r>
              <w:rPr>
                <w:noProof/>
                <w:webHidden/>
              </w:rPr>
              <w:instrText xml:space="preserve"> PAGEREF _Toc235654347 \h </w:instrText>
            </w:r>
            <w:r>
              <w:rPr>
                <w:noProof/>
                <w:webHidden/>
              </w:rPr>
            </w:r>
            <w:r>
              <w:rPr>
                <w:noProof/>
                <w:webHidden/>
              </w:rPr>
              <w:fldChar w:fldCharType="separate"/>
            </w:r>
            <w:r>
              <w:rPr>
                <w:noProof/>
                <w:webHidden/>
              </w:rPr>
              <w:t>2</w:t>
            </w:r>
            <w:r>
              <w:rPr>
                <w:noProof/>
                <w:webHidden/>
              </w:rPr>
              <w:fldChar w:fldCharType="end"/>
            </w:r>
          </w:hyperlink>
        </w:p>
        <w:p w14:paraId="722933E2" w14:textId="142C1EB4" w:rsidR="00C43BB0" w:rsidRDefault="00C43BB0">
          <w:pPr>
            <w:pStyle w:val="TOC3"/>
            <w:tabs>
              <w:tab w:val="right" w:leader="dot" w:pos="9350"/>
            </w:tabs>
            <w:rPr>
              <w:rFonts w:asciiTheme="minorHAnsi" w:eastAsiaTheme="minorEastAsia" w:hAnsiTheme="minorHAnsi" w:cstheme="minorBidi"/>
              <w:noProof/>
            </w:rPr>
          </w:pPr>
          <w:hyperlink w:anchor="_Toc235654348" w:history="1">
            <w:r w:rsidRPr="00CA4D5D">
              <w:rPr>
                <w:rStyle w:val="Hyperlink"/>
                <w:noProof/>
              </w:rPr>
              <w:t>Task 1 – Defining Key Concepts in Practice</w:t>
            </w:r>
            <w:r>
              <w:rPr>
                <w:noProof/>
                <w:webHidden/>
              </w:rPr>
              <w:tab/>
            </w:r>
            <w:r>
              <w:rPr>
                <w:noProof/>
                <w:webHidden/>
              </w:rPr>
              <w:fldChar w:fldCharType="begin"/>
            </w:r>
            <w:r>
              <w:rPr>
                <w:noProof/>
                <w:webHidden/>
              </w:rPr>
              <w:instrText xml:space="preserve"> PAGEREF _Toc235654348 \h </w:instrText>
            </w:r>
            <w:r>
              <w:rPr>
                <w:noProof/>
                <w:webHidden/>
              </w:rPr>
            </w:r>
            <w:r>
              <w:rPr>
                <w:noProof/>
                <w:webHidden/>
              </w:rPr>
              <w:fldChar w:fldCharType="separate"/>
            </w:r>
            <w:r>
              <w:rPr>
                <w:noProof/>
                <w:webHidden/>
              </w:rPr>
              <w:t>3</w:t>
            </w:r>
            <w:r>
              <w:rPr>
                <w:noProof/>
                <w:webHidden/>
              </w:rPr>
              <w:fldChar w:fldCharType="end"/>
            </w:r>
          </w:hyperlink>
        </w:p>
        <w:p w14:paraId="31B8630F" w14:textId="535542D8" w:rsidR="00C43BB0" w:rsidRDefault="00C43BB0">
          <w:pPr>
            <w:pStyle w:val="TOC3"/>
            <w:tabs>
              <w:tab w:val="right" w:leader="dot" w:pos="9350"/>
            </w:tabs>
            <w:rPr>
              <w:rFonts w:asciiTheme="minorHAnsi" w:eastAsiaTheme="minorEastAsia" w:hAnsiTheme="minorHAnsi" w:cstheme="minorBidi"/>
              <w:noProof/>
            </w:rPr>
          </w:pPr>
          <w:hyperlink w:anchor="_Toc235654349" w:history="1">
            <w:r w:rsidRPr="00CA4D5D">
              <w:rPr>
                <w:rStyle w:val="Hyperlink"/>
                <w:noProof/>
              </w:rPr>
              <w:t>Task 2 – Mind Map and Applied Explanation</w:t>
            </w:r>
            <w:r>
              <w:rPr>
                <w:noProof/>
                <w:webHidden/>
              </w:rPr>
              <w:tab/>
            </w:r>
            <w:r>
              <w:rPr>
                <w:noProof/>
                <w:webHidden/>
              </w:rPr>
              <w:fldChar w:fldCharType="begin"/>
            </w:r>
            <w:r>
              <w:rPr>
                <w:noProof/>
                <w:webHidden/>
              </w:rPr>
              <w:instrText xml:space="preserve"> PAGEREF _Toc235654349 \h </w:instrText>
            </w:r>
            <w:r>
              <w:rPr>
                <w:noProof/>
                <w:webHidden/>
              </w:rPr>
            </w:r>
            <w:r>
              <w:rPr>
                <w:noProof/>
                <w:webHidden/>
              </w:rPr>
              <w:fldChar w:fldCharType="separate"/>
            </w:r>
            <w:r>
              <w:rPr>
                <w:noProof/>
                <w:webHidden/>
              </w:rPr>
              <w:t>4</w:t>
            </w:r>
            <w:r>
              <w:rPr>
                <w:noProof/>
                <w:webHidden/>
              </w:rPr>
              <w:fldChar w:fldCharType="end"/>
            </w:r>
          </w:hyperlink>
        </w:p>
        <w:p w14:paraId="09BCF6F7" w14:textId="27FE9D19" w:rsidR="00C43BB0" w:rsidRDefault="00C43BB0">
          <w:pPr>
            <w:pStyle w:val="TOC3"/>
            <w:tabs>
              <w:tab w:val="right" w:leader="dot" w:pos="9350"/>
            </w:tabs>
            <w:rPr>
              <w:rFonts w:asciiTheme="minorHAnsi" w:eastAsiaTheme="minorEastAsia" w:hAnsiTheme="minorHAnsi" w:cstheme="minorBidi"/>
              <w:noProof/>
            </w:rPr>
          </w:pPr>
          <w:hyperlink w:anchor="_Toc235654350" w:history="1">
            <w:r w:rsidRPr="00CA4D5D">
              <w:rPr>
                <w:rStyle w:val="Hyperlink"/>
                <w:noProof/>
              </w:rPr>
              <w:t>Task 3 – Self-Reflection of Group Activity</w:t>
            </w:r>
            <w:r>
              <w:rPr>
                <w:noProof/>
                <w:webHidden/>
              </w:rPr>
              <w:tab/>
            </w:r>
            <w:r>
              <w:rPr>
                <w:noProof/>
                <w:webHidden/>
              </w:rPr>
              <w:fldChar w:fldCharType="begin"/>
            </w:r>
            <w:r>
              <w:rPr>
                <w:noProof/>
                <w:webHidden/>
              </w:rPr>
              <w:instrText xml:space="preserve"> PAGEREF _Toc235654350 \h </w:instrText>
            </w:r>
            <w:r>
              <w:rPr>
                <w:noProof/>
                <w:webHidden/>
              </w:rPr>
            </w:r>
            <w:r>
              <w:rPr>
                <w:noProof/>
                <w:webHidden/>
              </w:rPr>
              <w:fldChar w:fldCharType="separate"/>
            </w:r>
            <w:r>
              <w:rPr>
                <w:noProof/>
                <w:webHidden/>
              </w:rPr>
              <w:t>6</w:t>
            </w:r>
            <w:r>
              <w:rPr>
                <w:noProof/>
                <w:webHidden/>
              </w:rPr>
              <w:fldChar w:fldCharType="end"/>
            </w:r>
          </w:hyperlink>
        </w:p>
        <w:p w14:paraId="315B2445" w14:textId="094F09B2" w:rsidR="00C43BB0" w:rsidRDefault="00C43BB0">
          <w:pPr>
            <w:pStyle w:val="TOC3"/>
            <w:tabs>
              <w:tab w:val="right" w:leader="dot" w:pos="9350"/>
            </w:tabs>
            <w:rPr>
              <w:rFonts w:asciiTheme="minorHAnsi" w:eastAsiaTheme="minorEastAsia" w:hAnsiTheme="minorHAnsi" w:cstheme="minorBidi"/>
              <w:noProof/>
            </w:rPr>
          </w:pPr>
          <w:hyperlink w:anchor="_Toc235654351" w:history="1">
            <w:r w:rsidRPr="00CA4D5D">
              <w:rPr>
                <w:rStyle w:val="Hyperlink"/>
                <w:noProof/>
              </w:rPr>
              <w:t>Task 4 – Case Study Analysis of a UK Innovation</w:t>
            </w:r>
            <w:r>
              <w:rPr>
                <w:noProof/>
                <w:webHidden/>
              </w:rPr>
              <w:tab/>
            </w:r>
            <w:r>
              <w:rPr>
                <w:noProof/>
                <w:webHidden/>
              </w:rPr>
              <w:fldChar w:fldCharType="begin"/>
            </w:r>
            <w:r>
              <w:rPr>
                <w:noProof/>
                <w:webHidden/>
              </w:rPr>
              <w:instrText xml:space="preserve"> PAGEREF _Toc235654351 \h </w:instrText>
            </w:r>
            <w:r>
              <w:rPr>
                <w:noProof/>
                <w:webHidden/>
              </w:rPr>
            </w:r>
            <w:r>
              <w:rPr>
                <w:noProof/>
                <w:webHidden/>
              </w:rPr>
              <w:fldChar w:fldCharType="separate"/>
            </w:r>
            <w:r>
              <w:rPr>
                <w:noProof/>
                <w:webHidden/>
              </w:rPr>
              <w:t>6</w:t>
            </w:r>
            <w:r>
              <w:rPr>
                <w:noProof/>
                <w:webHidden/>
              </w:rPr>
              <w:fldChar w:fldCharType="end"/>
            </w:r>
          </w:hyperlink>
        </w:p>
        <w:p w14:paraId="108B29EF" w14:textId="2AAB405B" w:rsidR="00C43BB0" w:rsidRDefault="00C43BB0">
          <w:pPr>
            <w:pStyle w:val="TOC3"/>
            <w:tabs>
              <w:tab w:val="right" w:leader="dot" w:pos="9350"/>
            </w:tabs>
            <w:rPr>
              <w:rFonts w:asciiTheme="minorHAnsi" w:eastAsiaTheme="minorEastAsia" w:hAnsiTheme="minorHAnsi" w:cstheme="minorBidi"/>
              <w:noProof/>
            </w:rPr>
          </w:pPr>
          <w:hyperlink w:anchor="_Toc235654352" w:history="1">
            <w:r w:rsidRPr="00CA4D5D">
              <w:rPr>
                <w:rStyle w:val="Hyperlink"/>
                <w:noProof/>
              </w:rPr>
              <w:t>Task 5 – Research Task</w:t>
            </w:r>
            <w:r>
              <w:rPr>
                <w:noProof/>
                <w:webHidden/>
              </w:rPr>
              <w:tab/>
            </w:r>
            <w:r>
              <w:rPr>
                <w:noProof/>
                <w:webHidden/>
              </w:rPr>
              <w:fldChar w:fldCharType="begin"/>
            </w:r>
            <w:r>
              <w:rPr>
                <w:noProof/>
                <w:webHidden/>
              </w:rPr>
              <w:instrText xml:space="preserve"> PAGEREF _Toc235654352 \h </w:instrText>
            </w:r>
            <w:r>
              <w:rPr>
                <w:noProof/>
                <w:webHidden/>
              </w:rPr>
            </w:r>
            <w:r>
              <w:rPr>
                <w:noProof/>
                <w:webHidden/>
              </w:rPr>
              <w:fldChar w:fldCharType="separate"/>
            </w:r>
            <w:r>
              <w:rPr>
                <w:noProof/>
                <w:webHidden/>
              </w:rPr>
              <w:t>7</w:t>
            </w:r>
            <w:r>
              <w:rPr>
                <w:noProof/>
                <w:webHidden/>
              </w:rPr>
              <w:fldChar w:fldCharType="end"/>
            </w:r>
          </w:hyperlink>
        </w:p>
        <w:p w14:paraId="45D47883" w14:textId="2AC61B35" w:rsidR="00C43BB0" w:rsidRDefault="00C43BB0">
          <w:pPr>
            <w:pStyle w:val="TOC3"/>
            <w:tabs>
              <w:tab w:val="right" w:leader="dot" w:pos="9350"/>
            </w:tabs>
            <w:rPr>
              <w:rFonts w:asciiTheme="minorHAnsi" w:eastAsiaTheme="minorEastAsia" w:hAnsiTheme="minorHAnsi" w:cstheme="minorBidi"/>
              <w:noProof/>
            </w:rPr>
          </w:pPr>
          <w:hyperlink w:anchor="_Toc235654353" w:history="1">
            <w:r w:rsidRPr="00CA4D5D">
              <w:rPr>
                <w:rStyle w:val="Hyperlink"/>
                <w:noProof/>
              </w:rPr>
              <w:t>Task 6 – Exploring Digital Innovation in Health and Social Care</w:t>
            </w:r>
            <w:r>
              <w:rPr>
                <w:noProof/>
                <w:webHidden/>
              </w:rPr>
              <w:tab/>
            </w:r>
            <w:r>
              <w:rPr>
                <w:noProof/>
                <w:webHidden/>
              </w:rPr>
              <w:fldChar w:fldCharType="begin"/>
            </w:r>
            <w:r>
              <w:rPr>
                <w:noProof/>
                <w:webHidden/>
              </w:rPr>
              <w:instrText xml:space="preserve"> PAGEREF _Toc235654353 \h </w:instrText>
            </w:r>
            <w:r>
              <w:rPr>
                <w:noProof/>
                <w:webHidden/>
              </w:rPr>
            </w:r>
            <w:r>
              <w:rPr>
                <w:noProof/>
                <w:webHidden/>
              </w:rPr>
              <w:fldChar w:fldCharType="separate"/>
            </w:r>
            <w:r>
              <w:rPr>
                <w:noProof/>
                <w:webHidden/>
              </w:rPr>
              <w:t>8</w:t>
            </w:r>
            <w:r>
              <w:rPr>
                <w:noProof/>
                <w:webHidden/>
              </w:rPr>
              <w:fldChar w:fldCharType="end"/>
            </w:r>
          </w:hyperlink>
        </w:p>
        <w:p w14:paraId="03200665" w14:textId="57300BA1" w:rsidR="00C43BB0" w:rsidRDefault="00C43BB0">
          <w:pPr>
            <w:pStyle w:val="TOC3"/>
            <w:tabs>
              <w:tab w:val="right" w:leader="dot" w:pos="9350"/>
            </w:tabs>
            <w:rPr>
              <w:rFonts w:asciiTheme="minorHAnsi" w:eastAsiaTheme="minorEastAsia" w:hAnsiTheme="minorHAnsi" w:cstheme="minorBidi"/>
              <w:noProof/>
            </w:rPr>
          </w:pPr>
          <w:hyperlink w:anchor="_Toc235654354" w:history="1">
            <w:r w:rsidRPr="00CA4D5D">
              <w:rPr>
                <w:rStyle w:val="Hyperlink"/>
                <w:noProof/>
              </w:rPr>
              <w:t>Conclusion</w:t>
            </w:r>
            <w:r>
              <w:rPr>
                <w:noProof/>
                <w:webHidden/>
              </w:rPr>
              <w:tab/>
            </w:r>
            <w:r>
              <w:rPr>
                <w:noProof/>
                <w:webHidden/>
              </w:rPr>
              <w:fldChar w:fldCharType="begin"/>
            </w:r>
            <w:r>
              <w:rPr>
                <w:noProof/>
                <w:webHidden/>
              </w:rPr>
              <w:instrText xml:space="preserve"> PAGEREF _Toc235654354 \h </w:instrText>
            </w:r>
            <w:r>
              <w:rPr>
                <w:noProof/>
                <w:webHidden/>
              </w:rPr>
            </w:r>
            <w:r>
              <w:rPr>
                <w:noProof/>
                <w:webHidden/>
              </w:rPr>
              <w:fldChar w:fldCharType="separate"/>
            </w:r>
            <w:r>
              <w:rPr>
                <w:noProof/>
                <w:webHidden/>
              </w:rPr>
              <w:t>9</w:t>
            </w:r>
            <w:r>
              <w:rPr>
                <w:noProof/>
                <w:webHidden/>
              </w:rPr>
              <w:fldChar w:fldCharType="end"/>
            </w:r>
          </w:hyperlink>
        </w:p>
        <w:p w14:paraId="7EA20B22" w14:textId="43B4B8BA" w:rsidR="00C43BB0" w:rsidRDefault="00C43BB0">
          <w:pPr>
            <w:pStyle w:val="TOC3"/>
            <w:tabs>
              <w:tab w:val="right" w:leader="dot" w:pos="9350"/>
            </w:tabs>
            <w:rPr>
              <w:rFonts w:asciiTheme="minorHAnsi" w:eastAsiaTheme="minorEastAsia" w:hAnsiTheme="minorHAnsi" w:cstheme="minorBidi"/>
              <w:noProof/>
            </w:rPr>
          </w:pPr>
          <w:hyperlink w:anchor="_Toc235654355" w:history="1">
            <w:r w:rsidRPr="00CA4D5D">
              <w:rPr>
                <w:rStyle w:val="Hyperlink"/>
                <w:noProof/>
              </w:rPr>
              <w:t>Reference</w:t>
            </w:r>
            <w:r>
              <w:rPr>
                <w:noProof/>
                <w:webHidden/>
              </w:rPr>
              <w:tab/>
            </w:r>
            <w:r>
              <w:rPr>
                <w:noProof/>
                <w:webHidden/>
              </w:rPr>
              <w:fldChar w:fldCharType="begin"/>
            </w:r>
            <w:r>
              <w:rPr>
                <w:noProof/>
                <w:webHidden/>
              </w:rPr>
              <w:instrText xml:space="preserve"> PAGEREF _Toc235654355 \h </w:instrText>
            </w:r>
            <w:r>
              <w:rPr>
                <w:noProof/>
                <w:webHidden/>
              </w:rPr>
            </w:r>
            <w:r>
              <w:rPr>
                <w:noProof/>
                <w:webHidden/>
              </w:rPr>
              <w:fldChar w:fldCharType="separate"/>
            </w:r>
            <w:r>
              <w:rPr>
                <w:noProof/>
                <w:webHidden/>
              </w:rPr>
              <w:t>9</w:t>
            </w:r>
            <w:r>
              <w:rPr>
                <w:noProof/>
                <w:webHidden/>
              </w:rPr>
              <w:fldChar w:fldCharType="end"/>
            </w:r>
          </w:hyperlink>
        </w:p>
        <w:p w14:paraId="29920B45" w14:textId="7E7DE289" w:rsidR="00C43BB0" w:rsidRDefault="00C43BB0">
          <w:pPr>
            <w:pStyle w:val="TOC3"/>
            <w:tabs>
              <w:tab w:val="right" w:leader="dot" w:pos="9350"/>
            </w:tabs>
            <w:rPr>
              <w:rFonts w:asciiTheme="minorHAnsi" w:eastAsiaTheme="minorEastAsia" w:hAnsiTheme="minorHAnsi" w:cstheme="minorBidi"/>
              <w:noProof/>
            </w:rPr>
          </w:pPr>
          <w:hyperlink w:anchor="_Toc235654356" w:history="1">
            <w:r w:rsidRPr="00CA4D5D">
              <w:rPr>
                <w:rStyle w:val="Hyperlink"/>
                <w:rFonts w:ascii="Times New Roman" w:hAnsi="Times New Roman" w:cs="Times New Roman"/>
                <w:noProof/>
              </w:rPr>
              <w:t>Amabile, T.M. (1996) Creativity in context: Update to the social psychology of creativity. Boulder: Westview Press</w:t>
            </w:r>
            <w:r w:rsidRPr="00CA4D5D">
              <w:rPr>
                <w:rStyle w:val="Hyperlink"/>
                <w:rFonts w:ascii="Times New Roman" w:eastAsia="Times New Roman" w:hAnsi="Times New Roman" w:cs="Times New Roman"/>
                <w:noProof/>
              </w:rPr>
              <w:t>.</w:t>
            </w:r>
            <w:r>
              <w:rPr>
                <w:noProof/>
                <w:webHidden/>
              </w:rPr>
              <w:tab/>
            </w:r>
            <w:r>
              <w:rPr>
                <w:noProof/>
                <w:webHidden/>
              </w:rPr>
              <w:fldChar w:fldCharType="begin"/>
            </w:r>
            <w:r>
              <w:rPr>
                <w:noProof/>
                <w:webHidden/>
              </w:rPr>
              <w:instrText xml:space="preserve"> PAGEREF _Toc235654356 \h </w:instrText>
            </w:r>
            <w:r>
              <w:rPr>
                <w:noProof/>
                <w:webHidden/>
              </w:rPr>
            </w:r>
            <w:r>
              <w:rPr>
                <w:noProof/>
                <w:webHidden/>
              </w:rPr>
              <w:fldChar w:fldCharType="separate"/>
            </w:r>
            <w:r>
              <w:rPr>
                <w:noProof/>
                <w:webHidden/>
              </w:rPr>
              <w:t>9</w:t>
            </w:r>
            <w:r>
              <w:rPr>
                <w:noProof/>
                <w:webHidden/>
              </w:rPr>
              <w:fldChar w:fldCharType="end"/>
            </w:r>
          </w:hyperlink>
        </w:p>
        <w:p w14:paraId="1F69555F" w14:textId="62C72078" w:rsidR="009E7429" w:rsidRDefault="009E7429">
          <w:r>
            <w:rPr>
              <w:b/>
              <w:bCs/>
              <w:noProof/>
            </w:rPr>
            <w:fldChar w:fldCharType="end"/>
          </w:r>
        </w:p>
      </w:sdtContent>
    </w:sdt>
    <w:p w14:paraId="2817FFDD" w14:textId="77777777" w:rsidR="009E7429" w:rsidRDefault="009E7429" w:rsidP="00BD51E5">
      <w:pPr>
        <w:pStyle w:val="NormalWeb"/>
      </w:pPr>
    </w:p>
    <w:p w14:paraId="677EF9D5" w14:textId="77777777" w:rsidR="00757BA7" w:rsidRDefault="00757BA7" w:rsidP="00BD51E5">
      <w:pPr>
        <w:pStyle w:val="NormalWeb"/>
      </w:pPr>
    </w:p>
    <w:p w14:paraId="6C8C896B" w14:textId="77777777" w:rsidR="00757BA7" w:rsidRDefault="00757BA7" w:rsidP="00BD51E5">
      <w:pPr>
        <w:pStyle w:val="NormalWeb"/>
      </w:pPr>
    </w:p>
    <w:p w14:paraId="7668C0E8" w14:textId="77777777" w:rsidR="00757BA7" w:rsidRDefault="00757BA7" w:rsidP="00BD51E5">
      <w:pPr>
        <w:pStyle w:val="NormalWeb"/>
      </w:pPr>
    </w:p>
    <w:p w14:paraId="1D06E375" w14:textId="77777777" w:rsidR="00757BA7" w:rsidRDefault="00757BA7" w:rsidP="00BD51E5">
      <w:pPr>
        <w:pStyle w:val="NormalWeb"/>
      </w:pPr>
    </w:p>
    <w:p w14:paraId="33AF0227" w14:textId="77777777" w:rsidR="00757BA7" w:rsidRDefault="00757BA7" w:rsidP="00BD51E5">
      <w:pPr>
        <w:pStyle w:val="NormalWeb"/>
      </w:pPr>
    </w:p>
    <w:p w14:paraId="77BDDF3F" w14:textId="77777777" w:rsidR="00757BA7" w:rsidRDefault="00757BA7" w:rsidP="00BD51E5">
      <w:pPr>
        <w:pStyle w:val="NormalWeb"/>
      </w:pPr>
    </w:p>
    <w:p w14:paraId="59472D04" w14:textId="77777777" w:rsidR="00757BA7" w:rsidRDefault="00757BA7" w:rsidP="00BD51E5">
      <w:pPr>
        <w:pStyle w:val="NormalWeb"/>
      </w:pPr>
    </w:p>
    <w:p w14:paraId="279AFA3D" w14:textId="77777777" w:rsidR="00757BA7" w:rsidRDefault="00757BA7" w:rsidP="00BD51E5">
      <w:pPr>
        <w:pStyle w:val="NormalWeb"/>
      </w:pPr>
    </w:p>
    <w:p w14:paraId="39FF3B39" w14:textId="77777777" w:rsidR="00757BA7" w:rsidRDefault="00757BA7" w:rsidP="00BD51E5">
      <w:pPr>
        <w:pStyle w:val="NormalWeb"/>
      </w:pPr>
    </w:p>
    <w:p w14:paraId="0870EECF" w14:textId="77777777" w:rsidR="008C264A" w:rsidRDefault="008C264A" w:rsidP="00F4384B">
      <w:pPr>
        <w:pStyle w:val="Heading3"/>
        <w:rPr>
          <w:sz w:val="24"/>
          <w:szCs w:val="24"/>
        </w:rPr>
      </w:pPr>
      <w:bookmarkStart w:id="1" w:name="_Toc235654347"/>
    </w:p>
    <w:p w14:paraId="00000002" w14:textId="038B0CA6" w:rsidR="00EE7D19" w:rsidRPr="007B0799" w:rsidRDefault="001C38AF" w:rsidP="00F4384B">
      <w:pPr>
        <w:pStyle w:val="Heading3"/>
        <w:rPr>
          <w:sz w:val="24"/>
          <w:szCs w:val="24"/>
        </w:rPr>
      </w:pPr>
      <w:r w:rsidRPr="007B0799">
        <w:rPr>
          <w:sz w:val="24"/>
          <w:szCs w:val="24"/>
        </w:rPr>
        <w:t>Introduction</w:t>
      </w:r>
      <w:bookmarkEnd w:id="1"/>
    </w:p>
    <w:p w14:paraId="00000004" w14:textId="1ACAFD6D" w:rsidR="00EE7D19" w:rsidRPr="007B0799" w:rsidRDefault="0049547D" w:rsidP="007B146A">
      <w:pPr>
        <w:pBdr>
          <w:top w:val="nil"/>
          <w:left w:val="nil"/>
          <w:bottom w:val="nil"/>
          <w:right w:val="nil"/>
          <w:between w:val="nil"/>
        </w:pBdr>
        <w:spacing w:after="187" w:line="275" w:lineRule="auto"/>
        <w:jc w:val="both"/>
        <w:rPr>
          <w:color w:val="1F1F1F"/>
          <w:sz w:val="23"/>
          <w:szCs w:val="23"/>
        </w:rPr>
      </w:pPr>
      <w:r w:rsidRPr="007B0799">
        <w:rPr>
          <w:rStyle w:val="citation-377"/>
          <w:sz w:val="23"/>
          <w:szCs w:val="23"/>
        </w:rPr>
        <w:t>In today's rapidly changing health and social care landscape, fostering creativity and innovation is fundamental to addressing evolving public health needs, integrating rapid technological advancements, and managing escalating service pressures</w:t>
      </w:r>
      <w:r w:rsidRPr="007B0799">
        <w:rPr>
          <w:sz w:val="23"/>
          <w:szCs w:val="23"/>
        </w:rPr>
        <w:t xml:space="preserve">. </w:t>
      </w:r>
      <w:r w:rsidRPr="007B0799">
        <w:rPr>
          <w:rStyle w:val="citation-376"/>
          <w:sz w:val="23"/>
          <w:szCs w:val="23"/>
        </w:rPr>
        <w:t>This portfolio critically examines the interplay between innovation, creative practice, value creation, and change management through the professional lens of a School Nurse operating within a UK secondary education setting</w:t>
      </w:r>
      <w:r w:rsidRPr="007B0799">
        <w:rPr>
          <w:sz w:val="23"/>
          <w:szCs w:val="23"/>
        </w:rPr>
        <w:t xml:space="preserve">. </w:t>
      </w:r>
      <w:r w:rsidRPr="007B0799">
        <w:rPr>
          <w:rStyle w:val="citation-375"/>
          <w:sz w:val="23"/>
          <w:szCs w:val="23"/>
        </w:rPr>
        <w:t>By grounding theoretical principles in the day-to-day realities of adolescent care, this work illustrates how academic frameworks inform practical interventions</w:t>
      </w:r>
      <w:r w:rsidRPr="007B0799">
        <w:rPr>
          <w:sz w:val="23"/>
          <w:szCs w:val="23"/>
        </w:rPr>
        <w:t xml:space="preserve">. </w:t>
      </w:r>
      <w:r w:rsidRPr="007B0799">
        <w:rPr>
          <w:rStyle w:val="citation-374"/>
          <w:sz w:val="23"/>
          <w:szCs w:val="23"/>
        </w:rPr>
        <w:t>Throughout the portfolio, practice-based examples—such as digital health tools, adoption of NHS digital platforms, and interprofessional collaboration with educational and clinical teams—are paired with current NHS policy context and academic literature to demonstrate applied learning in contemporary school nursing</w:t>
      </w:r>
      <w:r w:rsidR="001C38AF" w:rsidRPr="007B0799">
        <w:rPr>
          <w:color w:val="1F1F1F"/>
          <w:sz w:val="23"/>
          <w:szCs w:val="23"/>
        </w:rPr>
        <w:t>.</w:t>
      </w:r>
    </w:p>
    <w:p w14:paraId="7188219E" w14:textId="3345B95C" w:rsidR="007B146A" w:rsidRPr="00205126" w:rsidRDefault="00D76670" w:rsidP="007B146A">
      <w:pPr>
        <w:pBdr>
          <w:top w:val="nil"/>
          <w:left w:val="nil"/>
          <w:bottom w:val="nil"/>
          <w:right w:val="nil"/>
          <w:between w:val="nil"/>
        </w:pBdr>
        <w:spacing w:after="187" w:line="275" w:lineRule="auto"/>
        <w:jc w:val="both"/>
        <w:rPr>
          <w:b/>
          <w:bCs/>
          <w:color w:val="000000" w:themeColor="text1"/>
          <w:sz w:val="24"/>
          <w:szCs w:val="24"/>
        </w:rPr>
      </w:pPr>
      <w:r w:rsidRPr="00205126">
        <w:rPr>
          <w:b/>
          <w:bCs/>
          <w:color w:val="1F1F1F"/>
          <w:sz w:val="24"/>
          <w:szCs w:val="24"/>
        </w:rPr>
        <w:t xml:space="preserve">Task </w:t>
      </w:r>
      <w:r w:rsidR="00762FC1" w:rsidRPr="00205126">
        <w:rPr>
          <w:b/>
          <w:bCs/>
          <w:color w:val="1F1F1F"/>
          <w:sz w:val="24"/>
          <w:szCs w:val="24"/>
        </w:rPr>
        <w:t xml:space="preserve">1 </w:t>
      </w:r>
      <w:r w:rsidR="00A741C8" w:rsidRPr="00205126">
        <w:rPr>
          <w:b/>
          <w:bCs/>
          <w:color w:val="1F1F1F"/>
          <w:sz w:val="24"/>
          <w:szCs w:val="24"/>
        </w:rPr>
        <w:t xml:space="preserve">– </w:t>
      </w:r>
      <w:r w:rsidR="00F34C48" w:rsidRPr="00205126">
        <w:rPr>
          <w:b/>
          <w:bCs/>
          <w:color w:val="1F1F1F"/>
          <w:sz w:val="24"/>
          <w:szCs w:val="24"/>
        </w:rPr>
        <w:t xml:space="preserve">Defining </w:t>
      </w:r>
      <w:r w:rsidR="00FD6A5F" w:rsidRPr="00205126">
        <w:rPr>
          <w:b/>
          <w:bCs/>
          <w:color w:val="1F1F1F"/>
          <w:sz w:val="24"/>
          <w:szCs w:val="24"/>
        </w:rPr>
        <w:t>Key Co</w:t>
      </w:r>
      <w:r w:rsidR="00B6194E" w:rsidRPr="00205126">
        <w:rPr>
          <w:b/>
          <w:bCs/>
          <w:color w:val="1F1F1F"/>
          <w:sz w:val="24"/>
          <w:szCs w:val="24"/>
        </w:rPr>
        <w:t>n</w:t>
      </w:r>
      <w:r w:rsidR="002A4B42" w:rsidRPr="00205126">
        <w:rPr>
          <w:b/>
          <w:bCs/>
          <w:color w:val="1F1F1F"/>
          <w:sz w:val="24"/>
          <w:szCs w:val="24"/>
        </w:rPr>
        <w:t xml:space="preserve">cepts in </w:t>
      </w:r>
      <w:r w:rsidR="005D03EA" w:rsidRPr="00205126">
        <w:rPr>
          <w:b/>
          <w:bCs/>
          <w:color w:val="1F1F1F"/>
          <w:sz w:val="24"/>
          <w:szCs w:val="24"/>
        </w:rPr>
        <w:t xml:space="preserve">Practice </w:t>
      </w:r>
    </w:p>
    <w:p w14:paraId="00000005" w14:textId="77777777" w:rsidR="00EE7D19" w:rsidRPr="00DE2516" w:rsidRDefault="001C38AF" w:rsidP="00F4384B">
      <w:pPr>
        <w:pStyle w:val="Heading4"/>
        <w:rPr>
          <w:sz w:val="22"/>
          <w:szCs w:val="22"/>
        </w:rPr>
      </w:pPr>
      <w:r w:rsidRPr="00DE2516">
        <w:rPr>
          <w:sz w:val="22"/>
          <w:szCs w:val="22"/>
        </w:rPr>
        <w:t>1</w:t>
      </w:r>
      <w:r w:rsidRPr="00205126">
        <w:t>. Innovation</w:t>
      </w:r>
    </w:p>
    <w:p w14:paraId="00000006" w14:textId="233435EE"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Within healthcare, innovation represents the successful execution and adoption of novel concepts, care pathways, or digital tools designed to enhance service delivery, boost efficiency, and elevate patient outcomes. Rather than mere invention, innovation </w:t>
      </w:r>
      <w:proofErr w:type="spellStart"/>
      <w:r w:rsidR="008C264A">
        <w:rPr>
          <w:color w:val="1F1F1F"/>
        </w:rPr>
        <w:t>centres</w:t>
      </w:r>
      <w:proofErr w:type="spellEnd"/>
      <w:r w:rsidRPr="00DE2516">
        <w:rPr>
          <w:color w:val="1F1F1F"/>
        </w:rPr>
        <w:t xml:space="preserve"> on translating practical ideas into measurable improvements (Greenhalgh et al., 2004). Rogers (2003) outlines this mechanism in the </w:t>
      </w:r>
      <w:r w:rsidRPr="00DE2516">
        <w:rPr>
          <w:i/>
          <w:iCs/>
          <w:color w:val="1F1F1F"/>
        </w:rPr>
        <w:t>Diffusion of Innovations Theory</w:t>
      </w:r>
      <w:r w:rsidRPr="00DE2516">
        <w:rPr>
          <w:color w:val="1F1F1F"/>
        </w:rPr>
        <w:t xml:space="preserve">, which demonstrates how new practices spread incrementally through social systems as stakeholders </w:t>
      </w:r>
      <w:proofErr w:type="spellStart"/>
      <w:r w:rsidR="008C264A">
        <w:rPr>
          <w:color w:val="1F1F1F"/>
        </w:rPr>
        <w:t>recognise</w:t>
      </w:r>
      <w:proofErr w:type="spellEnd"/>
      <w:r w:rsidRPr="00DE2516">
        <w:rPr>
          <w:color w:val="1F1F1F"/>
        </w:rPr>
        <w:t xml:space="preserve"> their practical benefit.</w:t>
      </w:r>
    </w:p>
    <w:p w14:paraId="00000007" w14:textId="13153CEA"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In school nursing, this is clearly exemplified by the deployment of digital mental health triage and screening platforms for secondary students. Rather than relying solely on reactive, crisis-driven referrals, </w:t>
      </w:r>
      <w:proofErr w:type="spellStart"/>
      <w:r w:rsidR="008C264A">
        <w:rPr>
          <w:color w:val="1F1F1F"/>
        </w:rPr>
        <w:t>utilising</w:t>
      </w:r>
      <w:proofErr w:type="spellEnd"/>
      <w:r w:rsidRPr="00DE2516">
        <w:rPr>
          <w:color w:val="1F1F1F"/>
        </w:rPr>
        <w:t xml:space="preserve"> mobile-friendly screening tools enables early detection of emerging anxiety and depression. This proactive approach streamlines access to early intervention pathways and prevents acute psychological escalation.</w:t>
      </w:r>
    </w:p>
    <w:p w14:paraId="00000008" w14:textId="77777777" w:rsidR="00EE7D19" w:rsidRPr="00205126" w:rsidRDefault="001C38AF" w:rsidP="00F4384B">
      <w:pPr>
        <w:pStyle w:val="Heading4"/>
      </w:pPr>
      <w:r w:rsidRPr="00DE2516">
        <w:rPr>
          <w:sz w:val="22"/>
          <w:szCs w:val="22"/>
        </w:rPr>
        <w:t>2</w:t>
      </w:r>
      <w:r w:rsidRPr="00205126">
        <w:t>. Creativity</w:t>
      </w:r>
    </w:p>
    <w:p w14:paraId="00000009" w14:textId="549A3C6D"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Creativity is the cognitive process of generating original, </w:t>
      </w:r>
      <w:proofErr w:type="spellStart"/>
      <w:r w:rsidR="008C264A">
        <w:rPr>
          <w:color w:val="1F1F1F"/>
        </w:rPr>
        <w:t>contextualised</w:t>
      </w:r>
      <w:proofErr w:type="spellEnd"/>
      <w:r w:rsidRPr="00DE2516">
        <w:rPr>
          <w:color w:val="1F1F1F"/>
        </w:rPr>
        <w:t xml:space="preserve"> ideas to address complex challenges. While creativity </w:t>
      </w:r>
      <w:proofErr w:type="spellStart"/>
      <w:r w:rsidR="008C264A">
        <w:rPr>
          <w:color w:val="1F1F1F"/>
        </w:rPr>
        <w:t>emphasises</w:t>
      </w:r>
      <w:proofErr w:type="spellEnd"/>
      <w:r w:rsidRPr="00DE2516">
        <w:rPr>
          <w:color w:val="1F1F1F"/>
        </w:rPr>
        <w:t xml:space="preserve"> the initial ideation phase, innovation focuses on its practical implementation. Amabile’s (1996) </w:t>
      </w:r>
      <w:r w:rsidRPr="00DE2516">
        <w:rPr>
          <w:i/>
          <w:iCs/>
          <w:color w:val="1F1F1F"/>
        </w:rPr>
        <w:t>Componential Theory of Creativity</w:t>
      </w:r>
      <w:r w:rsidRPr="00DE2516">
        <w:rPr>
          <w:color w:val="1F1F1F"/>
        </w:rPr>
        <w:t xml:space="preserve"> posits that meaningful creative output emerges at the intersection of domain-relevant skills, creative thinking capabilities, and intrinsic motivation.</w:t>
      </w:r>
    </w:p>
    <w:p w14:paraId="5737A06B" w14:textId="498A1ABD" w:rsidR="000178CA"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Within secondary school nursing, creativity involves moving away from static, traditional health lectures toward interactive, </w:t>
      </w:r>
      <w:r w:rsidR="008C264A">
        <w:rPr>
          <w:color w:val="1F1F1F"/>
        </w:rPr>
        <w:t>student-</w:t>
      </w:r>
      <w:proofErr w:type="spellStart"/>
      <w:r w:rsidR="008C264A">
        <w:rPr>
          <w:color w:val="1F1F1F"/>
        </w:rPr>
        <w:t>centred</w:t>
      </w:r>
      <w:proofErr w:type="spellEnd"/>
      <w:r w:rsidRPr="00DE2516">
        <w:rPr>
          <w:color w:val="1F1F1F"/>
        </w:rPr>
        <w:t xml:space="preserve"> engagement strategies on sensitive topics such as emotional resilience, body image, and personal safety. Designing peer-led wellbeing initiatives, </w:t>
      </w:r>
      <w:r w:rsidRPr="00DE2516">
        <w:rPr>
          <w:color w:val="1F1F1F"/>
        </w:rPr>
        <w:lastRenderedPageBreak/>
        <w:t>confidential digital Q&amp;A portals, and interactive workshops allows school nurses to overcome stigma, foster open dialogue, and significantly improve health literacy among young people.</w:t>
      </w:r>
    </w:p>
    <w:p w14:paraId="0000000B" w14:textId="77777777" w:rsidR="00EE7D19" w:rsidRPr="00DE2516" w:rsidRDefault="001C38AF" w:rsidP="00F4384B">
      <w:pPr>
        <w:pStyle w:val="Heading4"/>
        <w:rPr>
          <w:sz w:val="22"/>
          <w:szCs w:val="22"/>
        </w:rPr>
      </w:pPr>
      <w:r w:rsidRPr="00DE2516">
        <w:rPr>
          <w:sz w:val="22"/>
          <w:szCs w:val="22"/>
        </w:rPr>
        <w:t>3</w:t>
      </w:r>
      <w:r w:rsidRPr="0046091F">
        <w:t>. Value Creation</w:t>
      </w:r>
    </w:p>
    <w:p w14:paraId="0000000C" w14:textId="0338F185"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In modern healthcare systems, value creation </w:t>
      </w:r>
      <w:proofErr w:type="spellStart"/>
      <w:r w:rsidR="008C264A">
        <w:rPr>
          <w:color w:val="1F1F1F"/>
        </w:rPr>
        <w:t>centres</w:t>
      </w:r>
      <w:proofErr w:type="spellEnd"/>
      <w:r w:rsidRPr="00DE2516">
        <w:rPr>
          <w:color w:val="1F1F1F"/>
        </w:rPr>
        <w:t xml:space="preserve"> on </w:t>
      </w:r>
      <w:proofErr w:type="spellStart"/>
      <w:r w:rsidR="008C264A">
        <w:rPr>
          <w:color w:val="1F1F1F"/>
        </w:rPr>
        <w:t>maximising</w:t>
      </w:r>
      <w:proofErr w:type="spellEnd"/>
      <w:r w:rsidRPr="00DE2516">
        <w:rPr>
          <w:color w:val="1F1F1F"/>
        </w:rPr>
        <w:t xml:space="preserve"> positive health outcomes relative to the financial and human resources expended (Porter, 2010). Rather than measuring output purely by activity volume, a value-driven framework </w:t>
      </w:r>
      <w:proofErr w:type="spellStart"/>
      <w:r w:rsidR="008C264A">
        <w:rPr>
          <w:color w:val="1F1F1F"/>
        </w:rPr>
        <w:t>prioritises</w:t>
      </w:r>
      <w:proofErr w:type="spellEnd"/>
      <w:r w:rsidRPr="00DE2516">
        <w:rPr>
          <w:color w:val="1F1F1F"/>
        </w:rPr>
        <w:t xml:space="preserve"> holistic quality, equity, and long-term wellbeing.</w:t>
      </w:r>
    </w:p>
    <w:p w14:paraId="0000000D"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For a school nurse, value creation is achieved by shifting resources toward early intervention and health promotion. Establishing structured, proactive mental health resilience workshops in schools, for instance, helps reduce student absenteeism, enhances academic engagement, and lowers long-term downstream demand on secondary Child and Adolescent Mental Health Services (CAMHS). This preventative model delivers clear value across health, social, and educational sectors.</w:t>
      </w:r>
    </w:p>
    <w:p w14:paraId="0000000E" w14:textId="77777777" w:rsidR="00EE7D19" w:rsidRPr="0046091F" w:rsidRDefault="001C38AF" w:rsidP="00F4384B">
      <w:pPr>
        <w:pStyle w:val="Heading4"/>
      </w:pPr>
      <w:r w:rsidRPr="00DE2516">
        <w:rPr>
          <w:sz w:val="22"/>
          <w:szCs w:val="22"/>
        </w:rPr>
        <w:t xml:space="preserve">4. </w:t>
      </w:r>
      <w:r w:rsidRPr="0046091F">
        <w:t>Change</w:t>
      </w:r>
    </w:p>
    <w:p w14:paraId="0000000F" w14:textId="6B342E52"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Change in health and social care involves the strategic modification of established </w:t>
      </w:r>
      <w:proofErr w:type="spellStart"/>
      <w:r w:rsidR="008C264A">
        <w:rPr>
          <w:color w:val="1F1F1F"/>
        </w:rPr>
        <w:t>behaviours</w:t>
      </w:r>
      <w:proofErr w:type="spellEnd"/>
      <w:r w:rsidRPr="00DE2516">
        <w:rPr>
          <w:color w:val="1F1F1F"/>
        </w:rPr>
        <w:t xml:space="preserve">, protocols, or operational structures to align with updated evidence-based guidelines and patient demands. Lewin’s classic three-stage change model—encompassing </w:t>
      </w:r>
      <w:r w:rsidRPr="00DE2516">
        <w:rPr>
          <w:i/>
          <w:iCs/>
          <w:color w:val="1F1F1F"/>
        </w:rPr>
        <w:t>unfreezing</w:t>
      </w:r>
      <w:r w:rsidRPr="00DE2516">
        <w:rPr>
          <w:color w:val="1F1F1F"/>
        </w:rPr>
        <w:t xml:space="preserve"> existing habits, </w:t>
      </w:r>
      <w:r w:rsidRPr="00DE2516">
        <w:rPr>
          <w:i/>
          <w:iCs/>
          <w:color w:val="1F1F1F"/>
        </w:rPr>
        <w:t>moving</w:t>
      </w:r>
      <w:r w:rsidRPr="00DE2516">
        <w:rPr>
          <w:color w:val="1F1F1F"/>
        </w:rPr>
        <w:t xml:space="preserve"> toward the new state, and </w:t>
      </w:r>
      <w:r w:rsidRPr="00DE2516">
        <w:rPr>
          <w:i/>
          <w:iCs/>
          <w:color w:val="1F1F1F"/>
        </w:rPr>
        <w:t>refreezing</w:t>
      </w:r>
      <w:r w:rsidRPr="00DE2516">
        <w:rPr>
          <w:color w:val="1F1F1F"/>
        </w:rPr>
        <w:t xml:space="preserve"> new routines—provides a useful framework for understanding </w:t>
      </w:r>
      <w:proofErr w:type="spellStart"/>
      <w:r w:rsidR="008C264A">
        <w:rPr>
          <w:color w:val="1F1F1F"/>
        </w:rPr>
        <w:t>organisational</w:t>
      </w:r>
      <w:proofErr w:type="spellEnd"/>
      <w:r w:rsidRPr="00DE2516">
        <w:rPr>
          <w:color w:val="1F1F1F"/>
        </w:rPr>
        <w:t xml:space="preserve"> transition (Burnes, 2017).</w:t>
      </w:r>
    </w:p>
    <w:p w14:paraId="00000010"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A practical illustration within a school nursing team is the transition from paper-based clinical notes to integrated electronic child health records. The school nurse must unlearn legacy documentation habits, adapt to new software workflows, and assist educational colleagues in adopting secure communication channels. Through strong clinical leadership and targeted training, the initial operational friction subsides, allowing the new digital process to become a sustainable routine.</w:t>
      </w:r>
    </w:p>
    <w:p w14:paraId="00000011" w14:textId="77777777" w:rsidR="00EE7D19" w:rsidRPr="0046091F" w:rsidRDefault="001C38AF" w:rsidP="00F4384B">
      <w:pPr>
        <w:pStyle w:val="Heading4"/>
      </w:pPr>
      <w:r w:rsidRPr="0046091F">
        <w:t>Summary</w:t>
      </w:r>
    </w:p>
    <w:p w14:paraId="00000012"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Innovation, creativity, value creation, and change do not exist in isolation; they form an interconnected ecosystem that drives continuous quality improvement in health and social care. For the school nurse, integrating these principles creates a resilient framework for early intervention, effective interprofessional collaboration, and enhanced physical and emotional wellbeing for children and young people.</w:t>
      </w:r>
    </w:p>
    <w:p w14:paraId="056224AF" w14:textId="77777777" w:rsidR="00DE2516" w:rsidRDefault="00DE2516" w:rsidP="00234917">
      <w:pPr>
        <w:pBdr>
          <w:top w:val="nil"/>
          <w:left w:val="nil"/>
          <w:bottom w:val="nil"/>
          <w:right w:val="nil"/>
          <w:between w:val="nil"/>
        </w:pBdr>
        <w:spacing w:after="187" w:line="275" w:lineRule="auto"/>
        <w:jc w:val="both"/>
        <w:rPr>
          <w:color w:val="1F1F1F"/>
        </w:rPr>
      </w:pPr>
    </w:p>
    <w:p w14:paraId="2C18599B" w14:textId="77777777" w:rsidR="000178CA" w:rsidRDefault="000178CA" w:rsidP="00234917">
      <w:pPr>
        <w:pBdr>
          <w:top w:val="nil"/>
          <w:left w:val="nil"/>
          <w:bottom w:val="nil"/>
          <w:right w:val="nil"/>
          <w:between w:val="nil"/>
        </w:pBdr>
        <w:spacing w:after="187" w:line="275" w:lineRule="auto"/>
        <w:jc w:val="both"/>
        <w:rPr>
          <w:color w:val="1F1F1F"/>
        </w:rPr>
      </w:pPr>
    </w:p>
    <w:p w14:paraId="51660F12" w14:textId="77777777" w:rsidR="000178CA" w:rsidRDefault="000178CA" w:rsidP="00234917">
      <w:pPr>
        <w:pBdr>
          <w:top w:val="nil"/>
          <w:left w:val="nil"/>
          <w:bottom w:val="nil"/>
          <w:right w:val="nil"/>
          <w:between w:val="nil"/>
        </w:pBdr>
        <w:spacing w:after="187" w:line="275" w:lineRule="auto"/>
        <w:jc w:val="both"/>
        <w:rPr>
          <w:color w:val="1F1F1F"/>
        </w:rPr>
      </w:pPr>
    </w:p>
    <w:p w14:paraId="493D34D5" w14:textId="77777777" w:rsidR="008C264A" w:rsidRDefault="008C264A" w:rsidP="00F4384B">
      <w:pPr>
        <w:pStyle w:val="Heading3"/>
        <w:rPr>
          <w:sz w:val="24"/>
          <w:szCs w:val="24"/>
        </w:rPr>
      </w:pPr>
      <w:bookmarkStart w:id="2" w:name="_Toc235654349"/>
    </w:p>
    <w:p w14:paraId="00000013" w14:textId="3EEDF0D7" w:rsidR="00EE7D19" w:rsidRPr="0046091F" w:rsidRDefault="001C38AF" w:rsidP="00F4384B">
      <w:pPr>
        <w:pStyle w:val="Heading3"/>
        <w:rPr>
          <w:sz w:val="24"/>
          <w:szCs w:val="24"/>
        </w:rPr>
      </w:pPr>
      <w:r w:rsidRPr="0046091F">
        <w:rPr>
          <w:sz w:val="24"/>
          <w:szCs w:val="24"/>
        </w:rPr>
        <w:lastRenderedPageBreak/>
        <w:t>Task 2 – Mind Map and Applied Explanation</w:t>
      </w:r>
      <w:bookmarkEnd w:id="2"/>
    </w:p>
    <w:p w14:paraId="00000014" w14:textId="7134589B" w:rsidR="00EE7D19" w:rsidRPr="00DE2516" w:rsidRDefault="001C38AF" w:rsidP="00F4384B">
      <w:pPr>
        <w:pStyle w:val="Heading4"/>
        <w:rPr>
          <w:sz w:val="22"/>
          <w:szCs w:val="22"/>
        </w:rPr>
      </w:pPr>
      <w:r w:rsidRPr="00DE2516">
        <w:rPr>
          <w:sz w:val="22"/>
          <w:szCs w:val="22"/>
        </w:rPr>
        <w:t>Problem Selected</w:t>
      </w:r>
    </w:p>
    <w:p w14:paraId="088614BA" w14:textId="132F9836" w:rsidR="00234917" w:rsidRDefault="00925102" w:rsidP="00235269">
      <w:pPr>
        <w:jc w:val="both"/>
        <w:rPr>
          <w:b/>
          <w:bCs/>
        </w:rPr>
      </w:pPr>
      <w:r w:rsidRPr="00DE2516">
        <w:rPr>
          <w:b/>
          <w:bCs/>
        </w:rPr>
        <w:t>Operational Barriers to the Adoption of NHS Digital Health Solutions in Secondary Schools</w:t>
      </w:r>
      <w:r w:rsidR="00F1603C">
        <w:rPr>
          <w:b/>
          <w:bCs/>
        </w:rPr>
        <w:t xml:space="preserve"> </w:t>
      </w:r>
    </w:p>
    <w:p w14:paraId="2FE6314C" w14:textId="77777777" w:rsidR="009A44E4" w:rsidRDefault="009A44E4" w:rsidP="00235269">
      <w:pPr>
        <w:jc w:val="both"/>
        <w:rPr>
          <w:b/>
          <w:bCs/>
        </w:rPr>
      </w:pPr>
    </w:p>
    <w:p w14:paraId="2314645E" w14:textId="725AE656" w:rsidR="00F1603C" w:rsidRDefault="009A44E4" w:rsidP="00235269">
      <w:pPr>
        <w:jc w:val="both"/>
        <w:rPr>
          <w:b/>
          <w:bCs/>
        </w:rPr>
      </w:pPr>
      <w:r w:rsidRPr="00DE2516">
        <w:rPr>
          <w:noProof/>
          <w:color w:val="1F1F1F"/>
        </w:rPr>
        <w:drawing>
          <wp:inline distT="0" distB="0" distL="0" distR="0" wp14:anchorId="24435E0A" wp14:editId="06029276">
            <wp:extent cx="5088115" cy="3632378"/>
            <wp:effectExtent l="95250" t="95250" r="93980" b="1016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43637" cy="367201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DE0252A" w14:textId="295A219D" w:rsidR="000178CA" w:rsidRPr="00DE2516" w:rsidRDefault="000178CA" w:rsidP="00235269">
      <w:pPr>
        <w:jc w:val="both"/>
        <w:rPr>
          <w:b/>
          <w:bCs/>
        </w:rPr>
      </w:pPr>
    </w:p>
    <w:p w14:paraId="7E34504A" w14:textId="703B2D9E" w:rsidR="005E0294" w:rsidRPr="00DE2516" w:rsidRDefault="001C38AF" w:rsidP="008C264A">
      <w:pPr>
        <w:pBdr>
          <w:top w:val="nil"/>
          <w:left w:val="nil"/>
          <w:bottom w:val="nil"/>
          <w:right w:val="nil"/>
          <w:between w:val="nil"/>
        </w:pBdr>
        <w:spacing w:after="255" w:line="275" w:lineRule="auto"/>
        <w:jc w:val="both"/>
        <w:rPr>
          <w:color w:val="1F1F1F"/>
        </w:rPr>
      </w:pPr>
      <w:r w:rsidRPr="00DE2516">
        <w:rPr>
          <w:color w:val="1F1F1F"/>
        </w:rPr>
        <w:t xml:space="preserve">                        </w:t>
      </w:r>
      <w:r w:rsidR="00234917" w:rsidRPr="00DE2516">
        <w:rPr>
          <w:color w:val="1F1F1F"/>
        </w:rPr>
        <w:t xml:space="preserve">                        </w:t>
      </w:r>
      <w:r w:rsidR="005E0294" w:rsidRPr="00DE2516">
        <w:rPr>
          <w:color w:val="1F1F1F"/>
        </w:rPr>
        <w:t xml:space="preserve">   </w:t>
      </w:r>
      <w:r w:rsidR="00DE1707" w:rsidRPr="00DE2516">
        <w:rPr>
          <w:color w:val="1F1F1F"/>
        </w:rPr>
        <w:t>Figure: Mind Map Structur</w:t>
      </w:r>
      <w:r w:rsidR="00271C41">
        <w:rPr>
          <w:color w:val="1F1F1F"/>
        </w:rPr>
        <w:t>e</w:t>
      </w:r>
    </w:p>
    <w:p w14:paraId="00000018" w14:textId="6F863F02" w:rsidR="00EE7D19" w:rsidRPr="009A44E4" w:rsidRDefault="001C38AF" w:rsidP="008C264A">
      <w:pPr>
        <w:pStyle w:val="Heading4"/>
        <w:jc w:val="both"/>
      </w:pPr>
      <w:r w:rsidRPr="009A44E4">
        <w:t>Applied Explanation</w:t>
      </w:r>
    </w:p>
    <w:p w14:paraId="08104607" w14:textId="5A7C3ACC" w:rsidR="003D6044" w:rsidRPr="00DE2516" w:rsidRDefault="003D6044" w:rsidP="003D6044">
      <w:pPr>
        <w:widowControl/>
        <w:spacing w:before="100" w:beforeAutospacing="1" w:after="100" w:afterAutospacing="1"/>
        <w:jc w:val="both"/>
        <w:rPr>
          <w:rFonts w:eastAsia="Times New Roman"/>
        </w:rPr>
      </w:pPr>
      <w:r w:rsidRPr="00DE2516">
        <w:rPr>
          <w:rFonts w:eastAsia="Times New Roman"/>
        </w:rPr>
        <w:t xml:space="preserve">The slow or fragmented adoption of NHS digital health solutions within secondary educational settings represents a complex operational challenge in contemporary school nursing. While digital health innovations—such as electronic health records (EHRs), remote video consultations, and accredited wellbeing applications—offer immense potential for early health intervention, their successful implementation is frequently hindered by structural, technical, and cultural barriers. </w:t>
      </w:r>
    </w:p>
    <w:p w14:paraId="735B216E" w14:textId="0BF01761" w:rsidR="003D6044" w:rsidRPr="00DE2516" w:rsidRDefault="003D6044" w:rsidP="003D6044">
      <w:pPr>
        <w:widowControl/>
        <w:spacing w:before="100" w:beforeAutospacing="1" w:after="100" w:afterAutospacing="1"/>
        <w:jc w:val="both"/>
        <w:rPr>
          <w:rFonts w:eastAsia="Times New Roman"/>
        </w:rPr>
      </w:pPr>
      <w:r w:rsidRPr="00DE2516">
        <w:rPr>
          <w:rFonts w:eastAsia="Times New Roman"/>
        </w:rPr>
        <w:t xml:space="preserve">Applying Senge’s (2006) Systems Thinking Framework, the resistance or friction surrounding digital health adoption is </w:t>
      </w:r>
      <w:proofErr w:type="spellStart"/>
      <w:r w:rsidR="008C264A">
        <w:rPr>
          <w:rFonts w:eastAsia="Times New Roman"/>
        </w:rPr>
        <w:t>conceptualised</w:t>
      </w:r>
      <w:proofErr w:type="spellEnd"/>
      <w:r w:rsidRPr="00DE2516">
        <w:rPr>
          <w:rFonts w:eastAsia="Times New Roman"/>
        </w:rPr>
        <w:t xml:space="preserve"> not as an isolated technological failure, but as an emergent property of dynamic interactions across distinct educational, technical, and healthcare subsystems. Secondary schools and local NHS Trusts operate under differing institutional priorities, funding constraints, and information governance protocols. When these subsystems fail to align seamlessly, operational friction occurs—leading to fragmented student care, redundant paper-based administrative burdens, and unequal access to preventative care pathways. </w:t>
      </w:r>
    </w:p>
    <w:p w14:paraId="0000001A" w14:textId="6D19CC77" w:rsidR="00EE7D19" w:rsidRDefault="003D6044" w:rsidP="003D6044">
      <w:pPr>
        <w:widowControl/>
        <w:spacing w:before="100" w:beforeAutospacing="1" w:after="100" w:afterAutospacing="1"/>
        <w:jc w:val="both"/>
        <w:rPr>
          <w:rFonts w:eastAsia="Times New Roman"/>
        </w:rPr>
      </w:pPr>
      <w:r w:rsidRPr="00DE2516">
        <w:rPr>
          <w:rFonts w:eastAsia="Times New Roman"/>
        </w:rPr>
        <w:lastRenderedPageBreak/>
        <w:t xml:space="preserve">As boundary-spanning practitioners, school nurses occupy a crucial leadership position at the intersection of these subsystems. To successfully drive digital transformation, school nurses must act as change agents, guiding multidisciplinary teams through the transitional phases of change (Burnes, 2017; Lewin, 1951). By advocating for </w:t>
      </w:r>
      <w:proofErr w:type="spellStart"/>
      <w:r w:rsidR="008C264A">
        <w:rPr>
          <w:rFonts w:eastAsia="Times New Roman"/>
        </w:rPr>
        <w:t>standardised</w:t>
      </w:r>
      <w:proofErr w:type="spellEnd"/>
      <w:r w:rsidRPr="00DE2516">
        <w:rPr>
          <w:rFonts w:eastAsia="Times New Roman"/>
        </w:rPr>
        <w:t xml:space="preserve"> digital triage tools and ensuring equitable digital access for all students regardless of socioeconomic background, school nurses bridge the gap between primary care, education, and specialist NHS services. Embedding integrated digital pathways not only streamlines administrative efficiency but ultimately </w:t>
      </w:r>
      <w:proofErr w:type="spellStart"/>
      <w:r w:rsidR="008C264A">
        <w:rPr>
          <w:rFonts w:eastAsia="Times New Roman"/>
        </w:rPr>
        <w:t>optimises</w:t>
      </w:r>
      <w:proofErr w:type="spellEnd"/>
      <w:r w:rsidRPr="00DE2516">
        <w:rPr>
          <w:rFonts w:eastAsia="Times New Roman"/>
        </w:rPr>
        <w:t xml:space="preserve"> health literacy, confidentiality, and early intervention outcomes for young people. </w:t>
      </w:r>
    </w:p>
    <w:p w14:paraId="0000001B" w14:textId="650CE777" w:rsidR="00EE7D19" w:rsidRPr="00DE2516" w:rsidRDefault="001C38AF" w:rsidP="00D20183">
      <w:pPr>
        <w:pStyle w:val="Heading3"/>
        <w:rPr>
          <w:sz w:val="22"/>
          <w:szCs w:val="22"/>
        </w:rPr>
      </w:pPr>
      <w:bookmarkStart w:id="3" w:name="_Toc235654350"/>
      <w:r w:rsidRPr="00DE2516">
        <w:rPr>
          <w:sz w:val="22"/>
          <w:szCs w:val="22"/>
        </w:rPr>
        <w:t>Task 3 – Self-Reflection of Group Activity</w:t>
      </w:r>
      <w:bookmarkEnd w:id="3"/>
    </w:p>
    <w:p w14:paraId="0000001C"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b/>
          <w:bCs/>
          <w:color w:val="1F1F1F"/>
        </w:rPr>
        <w:t>Reflective Model:</w:t>
      </w:r>
      <w:r w:rsidRPr="00DE2516">
        <w:rPr>
          <w:color w:val="1F1F1F"/>
        </w:rPr>
        <w:t xml:space="preserve"> Gibbs’ Reflective Cycle (Gibbs, 1988)</w:t>
      </w:r>
    </w:p>
    <w:p w14:paraId="0000001D" w14:textId="77777777" w:rsidR="00EE7D19" w:rsidRPr="00DE2516" w:rsidRDefault="001C38AF" w:rsidP="00D20183">
      <w:pPr>
        <w:pStyle w:val="Heading4"/>
        <w:rPr>
          <w:sz w:val="22"/>
          <w:szCs w:val="22"/>
        </w:rPr>
      </w:pPr>
      <w:r w:rsidRPr="00DE2516">
        <w:rPr>
          <w:sz w:val="22"/>
          <w:szCs w:val="22"/>
        </w:rPr>
        <w:t>Reflection</w:t>
      </w:r>
    </w:p>
    <w:p w14:paraId="0000001E" w14:textId="25B3F4C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Applying Gibbs’ (1988) Reflective Cycle, I evaluated a collaborative classroom exercise exploring divergent and convergent thinking. During the initial ideation phase, our team </w:t>
      </w:r>
      <w:proofErr w:type="spellStart"/>
      <w:r w:rsidR="008C264A">
        <w:rPr>
          <w:color w:val="1F1F1F"/>
        </w:rPr>
        <w:t>utilised</w:t>
      </w:r>
      <w:proofErr w:type="spellEnd"/>
      <w:r w:rsidRPr="00DE2516">
        <w:rPr>
          <w:color w:val="1F1F1F"/>
        </w:rPr>
        <w:t xml:space="preserve"> divergent thinking to brainstorm creative solutions for a complex public health challenge without immediate evaluation.</w:t>
      </w:r>
    </w:p>
    <w:p w14:paraId="0000001F" w14:textId="367A6CAB"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Initially, I felt hesitant to share my ideas, fearing they lacked operational feasibility. However, as group psychological safety developed, my confidence grew, and I </w:t>
      </w:r>
      <w:proofErr w:type="spellStart"/>
      <w:r w:rsidR="008C264A">
        <w:rPr>
          <w:color w:val="1F1F1F"/>
        </w:rPr>
        <w:t>recognised</w:t>
      </w:r>
      <w:proofErr w:type="spellEnd"/>
      <w:r w:rsidRPr="00DE2516">
        <w:rPr>
          <w:color w:val="1F1F1F"/>
        </w:rPr>
        <w:t xml:space="preserve"> that unconventional concepts often trigger valuable collaborative breakthroughs. Transitioning to convergent thinking enabled us to systematically </w:t>
      </w:r>
      <w:proofErr w:type="spellStart"/>
      <w:r w:rsidR="008C264A">
        <w:rPr>
          <w:color w:val="1F1F1F"/>
        </w:rPr>
        <w:t>analyse</w:t>
      </w:r>
      <w:proofErr w:type="spellEnd"/>
      <w:r w:rsidRPr="00DE2516">
        <w:rPr>
          <w:color w:val="1F1F1F"/>
        </w:rPr>
        <w:t>, refine, and select the most practical solution.</w:t>
      </w:r>
    </w:p>
    <w:p w14:paraId="00000020" w14:textId="5768DECA"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This experience highlighted that effective problem-solving in health and social care requires a deliberate balance between unconstrained creativity and rigorous critical evaluation. As a School Nurse working alongside multidisciplinary teams, mastering this dynamic is essential for developing responsive, </w:t>
      </w:r>
      <w:r w:rsidR="008C264A">
        <w:rPr>
          <w:color w:val="1F1F1F"/>
        </w:rPr>
        <w:t>student-</w:t>
      </w:r>
      <w:proofErr w:type="spellStart"/>
      <w:r w:rsidR="008C264A">
        <w:rPr>
          <w:color w:val="1F1F1F"/>
        </w:rPr>
        <w:t>centred</w:t>
      </w:r>
      <w:proofErr w:type="spellEnd"/>
      <w:r w:rsidRPr="00DE2516">
        <w:rPr>
          <w:color w:val="1F1F1F"/>
        </w:rPr>
        <w:t xml:space="preserve"> interventions.</w:t>
      </w:r>
    </w:p>
    <w:p w14:paraId="00000021"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In future collaborative settings, I will contribute my ideas more proactively from the outset, actively invite input from quieter colleagues, and employ structured decision-making frameworks to streamline consensus-building.</w:t>
      </w:r>
    </w:p>
    <w:p w14:paraId="00000022" w14:textId="77777777" w:rsidR="00EE7D19" w:rsidRPr="00DE2516" w:rsidRDefault="001C38AF" w:rsidP="00D20183">
      <w:pPr>
        <w:pStyle w:val="Heading3"/>
        <w:rPr>
          <w:sz w:val="22"/>
          <w:szCs w:val="22"/>
        </w:rPr>
      </w:pPr>
      <w:bookmarkStart w:id="4" w:name="_Toc235654351"/>
      <w:r w:rsidRPr="00DE2516">
        <w:rPr>
          <w:sz w:val="22"/>
          <w:szCs w:val="22"/>
        </w:rPr>
        <w:t>Task 4 – Case Study Analysis of a UK Innovation</w:t>
      </w:r>
      <w:bookmarkEnd w:id="4"/>
    </w:p>
    <w:p w14:paraId="00000023"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b/>
          <w:bCs/>
          <w:color w:val="1F1F1F"/>
        </w:rPr>
        <w:t>Case Study:</w:t>
      </w:r>
      <w:r w:rsidRPr="00DE2516">
        <w:rPr>
          <w:color w:val="1F1F1F"/>
        </w:rPr>
        <w:t xml:space="preserve"> NHS Digital Mental Health Services for Children and Young People</w:t>
      </w:r>
    </w:p>
    <w:p w14:paraId="00000024" w14:textId="77777777" w:rsidR="00EE7D19" w:rsidRPr="00DE2516" w:rsidRDefault="001C38AF" w:rsidP="00D20183">
      <w:pPr>
        <w:pStyle w:val="Heading4"/>
        <w:rPr>
          <w:sz w:val="22"/>
          <w:szCs w:val="22"/>
        </w:rPr>
      </w:pPr>
      <w:r w:rsidRPr="00DE2516">
        <w:rPr>
          <w:sz w:val="22"/>
          <w:szCs w:val="22"/>
        </w:rPr>
        <w:t>Analysis</w:t>
      </w:r>
    </w:p>
    <w:p w14:paraId="00000025"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Escalating psychological distress among UK adolescents has created unprecedented demand on Child and Adolescent Mental Health Services (CAMHS), leading to prolonged wait times and delayed clinical support (NHS Digital, 2023). In response, the NHS expanded digital mental health initiatives, incorporating online cognitive </w:t>
      </w:r>
      <w:proofErr w:type="spellStart"/>
      <w:r w:rsidRPr="00DE2516">
        <w:rPr>
          <w:color w:val="1F1F1F"/>
        </w:rPr>
        <w:t>behavioural</w:t>
      </w:r>
      <w:proofErr w:type="spellEnd"/>
      <w:r w:rsidRPr="00DE2516">
        <w:rPr>
          <w:color w:val="1F1F1F"/>
        </w:rPr>
        <w:t xml:space="preserve"> therapy (CBT), remote video consultations, digital referral pathways, and self-management mobile applications.</w:t>
      </w:r>
    </w:p>
    <w:p w14:paraId="00000026"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From a school nursing perspective, these digital care pathways break down common service barriers, including social stigma, transport challenges, and rigid school schedules. Early </w:t>
      </w:r>
      <w:r w:rsidRPr="00DE2516">
        <w:rPr>
          <w:color w:val="1F1F1F"/>
        </w:rPr>
        <w:lastRenderedPageBreak/>
        <w:t>integration of digital triage allows school nurses to identify emerging mental health concerns early and coordinate timely, multi-agency referrals alongside educational staff and parents.</w:t>
      </w:r>
    </w:p>
    <w:p w14:paraId="00000027" w14:textId="4D7A2D41"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This digital shift demonstrates clear creativity and value creation by streamlining service delivery, </w:t>
      </w:r>
      <w:proofErr w:type="spellStart"/>
      <w:r w:rsidR="008C264A">
        <w:rPr>
          <w:color w:val="1F1F1F"/>
        </w:rPr>
        <w:t>optimising</w:t>
      </w:r>
      <w:proofErr w:type="spellEnd"/>
      <w:r w:rsidRPr="00DE2516">
        <w:rPr>
          <w:color w:val="1F1F1F"/>
        </w:rPr>
        <w:t xml:space="preserve"> clinical resources, and improving youth health outcomes (Porter, 2010). Evaluated through Rogers’ (2003) </w:t>
      </w:r>
      <w:r w:rsidRPr="00DE2516">
        <w:rPr>
          <w:i/>
          <w:iCs/>
          <w:color w:val="1F1F1F"/>
        </w:rPr>
        <w:t>Diffusion of Innovations Theory</w:t>
      </w:r>
      <w:r w:rsidRPr="00DE2516">
        <w:rPr>
          <w:color w:val="1F1F1F"/>
        </w:rPr>
        <w:t xml:space="preserve">, the sustainable uptake of these digital services depends on stakeholders </w:t>
      </w:r>
      <w:proofErr w:type="spellStart"/>
      <w:r w:rsidR="008C264A">
        <w:rPr>
          <w:color w:val="1F1F1F"/>
        </w:rPr>
        <w:t>recognising</w:t>
      </w:r>
      <w:proofErr w:type="spellEnd"/>
      <w:r w:rsidRPr="00DE2516">
        <w:rPr>
          <w:color w:val="1F1F1F"/>
        </w:rPr>
        <w:t xml:space="preserve"> their relative advantage over legacy models, alongside their ease of access. As these technologies embed across NHS trust pathways, they offer an accessible, effective mechanism for early intervention.</w:t>
      </w:r>
    </w:p>
    <w:p w14:paraId="00000028" w14:textId="77777777" w:rsidR="00EE7D19" w:rsidRPr="00DE2516" w:rsidRDefault="001C38AF" w:rsidP="00D20183">
      <w:pPr>
        <w:pStyle w:val="Heading3"/>
        <w:rPr>
          <w:sz w:val="22"/>
          <w:szCs w:val="22"/>
        </w:rPr>
      </w:pPr>
      <w:bookmarkStart w:id="5" w:name="_Toc235654352"/>
      <w:r w:rsidRPr="00DE2516">
        <w:rPr>
          <w:sz w:val="22"/>
          <w:szCs w:val="22"/>
        </w:rPr>
        <w:t>Task 5 – Research Task</w:t>
      </w:r>
      <w:bookmarkEnd w:id="5"/>
    </w:p>
    <w:p w14:paraId="00000029" w14:textId="6998B773" w:rsidR="00EE7D19" w:rsidRPr="00DE2516" w:rsidRDefault="001C38AF" w:rsidP="00234917">
      <w:pPr>
        <w:pBdr>
          <w:top w:val="nil"/>
          <w:left w:val="nil"/>
          <w:bottom w:val="nil"/>
          <w:right w:val="nil"/>
          <w:between w:val="nil"/>
        </w:pBdr>
        <w:spacing w:after="187" w:line="275" w:lineRule="auto"/>
        <w:jc w:val="both"/>
        <w:rPr>
          <w:color w:val="1F1F1F"/>
        </w:rPr>
      </w:pPr>
      <w:r w:rsidRPr="00DE2516">
        <w:rPr>
          <w:b/>
          <w:bCs/>
          <w:color w:val="1F1F1F"/>
        </w:rPr>
        <w:t>Topic:</w:t>
      </w:r>
      <w:r w:rsidRPr="00DE2516">
        <w:rPr>
          <w:color w:val="1F1F1F"/>
        </w:rPr>
        <w:t xml:space="preserve"> </w:t>
      </w:r>
      <w:r w:rsidR="00807A04" w:rsidRPr="00DE2516">
        <w:t>Operational Barriers, the Digital Divide, and Implementation Factors in Adopting NHS Digital Health Solutions in Adolescent Healthcare</w:t>
      </w:r>
    </w:p>
    <w:p w14:paraId="0000002A" w14:textId="77777777" w:rsidR="00EE7D19" w:rsidRPr="00DE2516" w:rsidRDefault="001C38AF" w:rsidP="00D20183">
      <w:pPr>
        <w:pStyle w:val="Heading4"/>
        <w:rPr>
          <w:sz w:val="22"/>
          <w:szCs w:val="22"/>
        </w:rPr>
      </w:pPr>
      <w:r w:rsidRPr="00DE2516">
        <w:rPr>
          <w:sz w:val="22"/>
          <w:szCs w:val="22"/>
        </w:rPr>
        <w:t>Synthesis &amp; Discussion</w:t>
      </w:r>
    </w:p>
    <w:p w14:paraId="16A9C4AB" w14:textId="2F9E11F1" w:rsidR="006F4B3A" w:rsidRPr="00DE2516" w:rsidRDefault="006F4B3A" w:rsidP="006F4B3A">
      <w:pPr>
        <w:widowControl/>
        <w:spacing w:before="100" w:beforeAutospacing="1" w:after="100" w:afterAutospacing="1"/>
        <w:jc w:val="both"/>
        <w:rPr>
          <w:rFonts w:eastAsia="Times New Roman"/>
        </w:rPr>
      </w:pPr>
      <w:r w:rsidRPr="00DE2516">
        <w:rPr>
          <w:rFonts w:eastAsia="Times New Roman"/>
        </w:rPr>
        <w:t xml:space="preserve">The rapid </w:t>
      </w:r>
      <w:proofErr w:type="spellStart"/>
      <w:r w:rsidR="008C264A">
        <w:rPr>
          <w:rFonts w:eastAsia="Times New Roman"/>
        </w:rPr>
        <w:t>digitisation</w:t>
      </w:r>
      <w:proofErr w:type="spellEnd"/>
      <w:r w:rsidRPr="00DE2516">
        <w:rPr>
          <w:rFonts w:eastAsia="Times New Roman"/>
        </w:rPr>
        <w:t xml:space="preserve"> of NHS care pathways offers significant potential to enhance health access, early intervention, and multi-agency coordination between secondary schools, primary care (GPs), and specialist CAMHS services (NHS Digital, 2023). However, implementing digital health innovations—such as electronic health records (EHR) and remote triage platforms—within secondary educational settings faces key structural and social barriers. A primary concern highlighted in public health literature is the </w:t>
      </w:r>
      <w:r w:rsidRPr="00DE2516">
        <w:rPr>
          <w:rFonts w:eastAsia="Times New Roman"/>
          <w:i/>
          <w:iCs/>
        </w:rPr>
        <w:t>digital inverse care law</w:t>
      </w:r>
      <w:r w:rsidRPr="00DE2516">
        <w:rPr>
          <w:rFonts w:eastAsia="Times New Roman"/>
        </w:rPr>
        <w:t>, where students from lower socioeconomic backgrounds face device poverty, lack of high-speed internet, or limited private space at home, potentially widening existing health inequalities (NHS Confederation, 2026; Tudor Hart, 1971).</w:t>
      </w:r>
    </w:p>
    <w:p w14:paraId="09EA904B" w14:textId="13A35B02" w:rsidR="006F4B3A" w:rsidRPr="00DE2516" w:rsidRDefault="006F4B3A" w:rsidP="006F4B3A">
      <w:pPr>
        <w:widowControl/>
        <w:spacing w:before="100" w:beforeAutospacing="1" w:after="100" w:afterAutospacing="1"/>
        <w:jc w:val="both"/>
        <w:rPr>
          <w:rFonts w:eastAsia="Times New Roman"/>
        </w:rPr>
      </w:pPr>
      <w:r w:rsidRPr="00DE2516">
        <w:rPr>
          <w:rFonts w:eastAsia="Times New Roman"/>
        </w:rPr>
        <w:t xml:space="preserve">Furthermore, operational adoption is frequently hindered by technical friction between incompatible NHS Trust and school IT infrastructures, alongside strict data privacy protocols (Greenhalgh et al., 2004). School nurses face capacity and time constraints, requiring targeted upskilling to confidently embed digital tools into routine practice (Burnes, 2017). To </w:t>
      </w:r>
      <w:proofErr w:type="spellStart"/>
      <w:r w:rsidR="008C264A">
        <w:rPr>
          <w:rFonts w:eastAsia="Times New Roman"/>
        </w:rPr>
        <w:t>maximise</w:t>
      </w:r>
      <w:proofErr w:type="spellEnd"/>
      <w:r w:rsidRPr="00DE2516">
        <w:rPr>
          <w:rFonts w:eastAsia="Times New Roman"/>
        </w:rPr>
        <w:t xml:space="preserve"> value creation, research </w:t>
      </w:r>
      <w:proofErr w:type="spellStart"/>
      <w:r w:rsidR="008C264A">
        <w:rPr>
          <w:rFonts w:eastAsia="Times New Roman"/>
        </w:rPr>
        <w:t>emphasises</w:t>
      </w:r>
      <w:proofErr w:type="spellEnd"/>
      <w:r w:rsidRPr="00DE2516">
        <w:rPr>
          <w:rFonts w:eastAsia="Times New Roman"/>
        </w:rPr>
        <w:t xml:space="preserve"> a blended care model—combining user-friendly digital screening tools with confidential, face-to-face clinical support. By addressing digital exclusion and serving as boundary-spanning leaders, school nurses can ensure equitable, integrated care delivery across school and healthcare systems</w:t>
      </w:r>
      <w:r w:rsidR="008C264A">
        <w:rPr>
          <w:rFonts w:eastAsia="Times New Roman"/>
        </w:rPr>
        <w:t>.</w:t>
      </w:r>
    </w:p>
    <w:p w14:paraId="0000002E" w14:textId="4EB30FEF" w:rsidR="00EE7D19" w:rsidRPr="00F915B4" w:rsidRDefault="001C38AF" w:rsidP="00F915B4">
      <w:pPr>
        <w:pBdr>
          <w:top w:val="nil"/>
          <w:left w:val="nil"/>
          <w:bottom w:val="nil"/>
          <w:right w:val="nil"/>
          <w:between w:val="nil"/>
        </w:pBdr>
        <w:spacing w:after="187" w:line="275" w:lineRule="auto"/>
        <w:jc w:val="both"/>
        <w:rPr>
          <w:b/>
          <w:bCs/>
          <w:color w:val="1F1F1F"/>
          <w:sz w:val="24"/>
          <w:szCs w:val="24"/>
        </w:rPr>
      </w:pPr>
      <w:bookmarkStart w:id="6" w:name="_Toc235654353"/>
      <w:r w:rsidRPr="00F915B4">
        <w:rPr>
          <w:b/>
          <w:bCs/>
          <w:sz w:val="24"/>
          <w:szCs w:val="24"/>
        </w:rPr>
        <w:t>Task 6 – Exploring Digital Innovation in Health and Social Care</w:t>
      </w:r>
      <w:bookmarkEnd w:id="6"/>
    </w:p>
    <w:p w14:paraId="0000002F" w14:textId="77777777" w:rsidR="00EE7D19" w:rsidRPr="00DE2516" w:rsidRDefault="001C38AF" w:rsidP="00D20183">
      <w:pPr>
        <w:pStyle w:val="Heading4"/>
        <w:rPr>
          <w:sz w:val="22"/>
          <w:szCs w:val="22"/>
        </w:rPr>
      </w:pPr>
      <w:r w:rsidRPr="00DE2516">
        <w:rPr>
          <w:sz w:val="22"/>
          <w:szCs w:val="22"/>
        </w:rPr>
        <w:t>Digital Innovation 1: Electronic Health Records (EHR)</w:t>
      </w:r>
    </w:p>
    <w:p w14:paraId="00000030" w14:textId="581EC680"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 xml:space="preserve">Electronic Health Records (EHRs) have </w:t>
      </w:r>
      <w:proofErr w:type="spellStart"/>
      <w:r w:rsidR="008C264A">
        <w:rPr>
          <w:color w:val="1F1F1F"/>
        </w:rPr>
        <w:t>modernised</w:t>
      </w:r>
      <w:proofErr w:type="spellEnd"/>
      <w:r w:rsidRPr="00DE2516">
        <w:rPr>
          <w:color w:val="1F1F1F"/>
        </w:rPr>
        <w:t xml:space="preserve"> information management across UK healthcare, replacing fragmented paper systems with secure, real-time data sharing across clinical networks. Within school nursing, integrated EHR platforms enable instant access to critical medical histories, </w:t>
      </w:r>
      <w:proofErr w:type="spellStart"/>
      <w:r w:rsidR="008C264A">
        <w:rPr>
          <w:color w:val="1F1F1F"/>
        </w:rPr>
        <w:t>individualised</w:t>
      </w:r>
      <w:proofErr w:type="spellEnd"/>
      <w:r w:rsidRPr="00DE2516">
        <w:rPr>
          <w:color w:val="1F1F1F"/>
        </w:rPr>
        <w:t xml:space="preserve"> care plans, and safeguarding alerts for students managing long-term conditions like asthma, diabetes, or epilepsy. This immediate access supports rapid clinical decision-making during acute health episodes and reduces administrative redundancy between schools, general practice, and acute </w:t>
      </w:r>
      <w:proofErr w:type="spellStart"/>
      <w:r w:rsidRPr="00DE2516">
        <w:rPr>
          <w:color w:val="1F1F1F"/>
        </w:rPr>
        <w:t>paediatric</w:t>
      </w:r>
      <w:proofErr w:type="spellEnd"/>
      <w:r w:rsidRPr="00DE2516">
        <w:rPr>
          <w:color w:val="1F1F1F"/>
        </w:rPr>
        <w:t xml:space="preserve"> services. However, </w:t>
      </w:r>
      <w:proofErr w:type="spellStart"/>
      <w:r w:rsidR="008C264A">
        <w:rPr>
          <w:color w:val="1F1F1F"/>
        </w:rPr>
        <w:t>operationalising</w:t>
      </w:r>
      <w:proofErr w:type="spellEnd"/>
      <w:r w:rsidRPr="00DE2516">
        <w:rPr>
          <w:color w:val="1F1F1F"/>
        </w:rPr>
        <w:t xml:space="preserve"> EHRs requires strict adherence to information governance standards and data protection legislation to </w:t>
      </w:r>
      <w:r w:rsidRPr="00DE2516">
        <w:rPr>
          <w:color w:val="1F1F1F"/>
        </w:rPr>
        <w:lastRenderedPageBreak/>
        <w:t>ensure student confidentiality is maintained (Department of Health and Social Care, 2022). Comprehensive staff training is vital to mitigate human error and ensure seamless, secure documentation.</w:t>
      </w:r>
    </w:p>
    <w:p w14:paraId="00000031" w14:textId="77777777" w:rsidR="00EE7D19" w:rsidRPr="00F915B4" w:rsidRDefault="001C38AF" w:rsidP="00D20183">
      <w:pPr>
        <w:pStyle w:val="Heading4"/>
      </w:pPr>
      <w:r w:rsidRPr="00F915B4">
        <w:t>Digital Innovation 2: Telehealth and Virtual Consultations</w:t>
      </w:r>
    </w:p>
    <w:p w14:paraId="00000032"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Telehealth platforms facilitate remote clinical assessments and consultations via secure video channels, dramatically increasing service accessibility for young people and families. For school nurses, telehealth offers an efficient platform for delivering follow-up mental health reviews, parental consultations, and routine health assessments without disrupting a student’s academic schedule or requiring family travel (NHS England, 2022). This modality reduces appointment non-attendance and helps overcome geographic or socioeconomic barriers to care. Nevertheless, virtual care cannot entirely replace face-to-face practice. Physical examinations, subtle non-verbal safeguarding cues, and building deep therapeutic rapport often necessitate direct interpersonal contact. Telehealth must therefore function as a flexible component of a blended care model rather than a total replacement for traditional clinical contact.</w:t>
      </w:r>
    </w:p>
    <w:p w14:paraId="00000033" w14:textId="77777777" w:rsidR="00EE7D19" w:rsidRPr="00F915B4" w:rsidRDefault="001C38AF" w:rsidP="00D20183">
      <w:pPr>
        <w:pStyle w:val="Heading4"/>
      </w:pPr>
      <w:r w:rsidRPr="00F915B4">
        <w:t>Digital Innovation 3: Mental Health and Wellbeing Applications</w:t>
      </w:r>
    </w:p>
    <w:p w14:paraId="00000034" w14:textId="77777777" w:rsidR="00EE7D19" w:rsidRPr="00DE2516" w:rsidRDefault="001C38AF" w:rsidP="00234917">
      <w:pPr>
        <w:pBdr>
          <w:top w:val="nil"/>
          <w:left w:val="nil"/>
          <w:bottom w:val="nil"/>
          <w:right w:val="nil"/>
          <w:between w:val="nil"/>
        </w:pBdr>
        <w:spacing w:after="187" w:line="275" w:lineRule="auto"/>
        <w:jc w:val="both"/>
        <w:rPr>
          <w:color w:val="1F1F1F"/>
        </w:rPr>
      </w:pPr>
      <w:r w:rsidRPr="00DE2516">
        <w:rPr>
          <w:color w:val="1F1F1F"/>
        </w:rPr>
        <w:t>Digital mental health applications provide accessible tools for youth self-management, offering evidence-based resources such as mood tracking, cognitive reframing exercises, and guided mindfulness routines. In school nursing practice, recommending quality-assured apps empowers secondary students to take an active role in managing mild stress and anxiety, reducing stigma by enabling confidential support seeking. These tools serve as effective primary health promotion instruments that foster self-regulation. However, the prolific availability of unverified digital health tools requires caution. School nurses must direct students exclusively toward NHS-accredited, clinically validated platforms. Crucially, digital applications should supplement, rather than replace, direct clinical intervention when managing severe psychological distress or complex mental health conditions.</w:t>
      </w:r>
    </w:p>
    <w:p w14:paraId="38FC05DC" w14:textId="77777777" w:rsidR="00F915B4" w:rsidRDefault="00F915B4" w:rsidP="00F915B4">
      <w:pPr>
        <w:pStyle w:val="Heading3"/>
        <w:jc w:val="both"/>
        <w:rPr>
          <w:sz w:val="22"/>
          <w:szCs w:val="22"/>
        </w:rPr>
      </w:pPr>
      <w:bookmarkStart w:id="7" w:name="_Toc235654354"/>
    </w:p>
    <w:p w14:paraId="4EAB386D" w14:textId="77777777" w:rsidR="00F915B4" w:rsidRDefault="00F915B4" w:rsidP="00F915B4">
      <w:pPr>
        <w:pStyle w:val="Heading3"/>
        <w:jc w:val="both"/>
        <w:rPr>
          <w:sz w:val="22"/>
          <w:szCs w:val="22"/>
        </w:rPr>
      </w:pPr>
    </w:p>
    <w:p w14:paraId="4186822F" w14:textId="77777777" w:rsidR="00F915B4" w:rsidRDefault="00F915B4" w:rsidP="00F915B4">
      <w:pPr>
        <w:pStyle w:val="Heading3"/>
        <w:jc w:val="both"/>
        <w:rPr>
          <w:sz w:val="22"/>
          <w:szCs w:val="22"/>
        </w:rPr>
      </w:pPr>
    </w:p>
    <w:p w14:paraId="228497F1" w14:textId="77777777" w:rsidR="00F915B4" w:rsidRDefault="00F915B4" w:rsidP="00F915B4">
      <w:pPr>
        <w:pStyle w:val="Heading3"/>
        <w:jc w:val="both"/>
        <w:rPr>
          <w:sz w:val="22"/>
          <w:szCs w:val="22"/>
        </w:rPr>
      </w:pPr>
    </w:p>
    <w:p w14:paraId="6536AE3E" w14:textId="77777777" w:rsidR="00F915B4" w:rsidRDefault="00F915B4" w:rsidP="00F915B4">
      <w:pPr>
        <w:pStyle w:val="Heading3"/>
        <w:jc w:val="both"/>
        <w:rPr>
          <w:sz w:val="22"/>
          <w:szCs w:val="22"/>
        </w:rPr>
      </w:pPr>
    </w:p>
    <w:p w14:paraId="668E94AD" w14:textId="77777777" w:rsidR="00F915B4" w:rsidRDefault="00F915B4" w:rsidP="00F915B4">
      <w:pPr>
        <w:pStyle w:val="Heading3"/>
        <w:jc w:val="both"/>
        <w:rPr>
          <w:sz w:val="22"/>
          <w:szCs w:val="22"/>
        </w:rPr>
      </w:pPr>
    </w:p>
    <w:p w14:paraId="714437AC" w14:textId="77777777" w:rsidR="00F915B4" w:rsidRDefault="00F915B4" w:rsidP="00F915B4">
      <w:pPr>
        <w:pStyle w:val="Heading3"/>
        <w:jc w:val="both"/>
        <w:rPr>
          <w:sz w:val="22"/>
          <w:szCs w:val="22"/>
        </w:rPr>
      </w:pPr>
    </w:p>
    <w:p w14:paraId="0C8F1CEA" w14:textId="77777777" w:rsidR="00F915B4" w:rsidRDefault="00F915B4" w:rsidP="00F915B4">
      <w:pPr>
        <w:pStyle w:val="Heading3"/>
        <w:jc w:val="both"/>
        <w:rPr>
          <w:sz w:val="22"/>
          <w:szCs w:val="22"/>
        </w:rPr>
      </w:pPr>
    </w:p>
    <w:p w14:paraId="7A86779F" w14:textId="77777777" w:rsidR="00F915B4" w:rsidRDefault="00F915B4" w:rsidP="00F915B4">
      <w:pPr>
        <w:pStyle w:val="Heading3"/>
        <w:jc w:val="both"/>
        <w:rPr>
          <w:sz w:val="22"/>
          <w:szCs w:val="22"/>
        </w:rPr>
      </w:pPr>
    </w:p>
    <w:p w14:paraId="4EA50195" w14:textId="77777777" w:rsidR="00F915B4" w:rsidRDefault="00F915B4" w:rsidP="00F915B4"/>
    <w:p w14:paraId="036D35AE" w14:textId="77777777" w:rsidR="00F915B4" w:rsidRPr="00F915B4" w:rsidRDefault="00F915B4" w:rsidP="00F915B4"/>
    <w:p w14:paraId="00000035" w14:textId="6954EFF5" w:rsidR="00EE7D19" w:rsidRPr="00F915B4" w:rsidRDefault="001C38AF" w:rsidP="00F915B4">
      <w:pPr>
        <w:pStyle w:val="Heading3"/>
        <w:jc w:val="both"/>
        <w:rPr>
          <w:sz w:val="24"/>
          <w:szCs w:val="24"/>
        </w:rPr>
      </w:pPr>
      <w:r w:rsidRPr="00F915B4">
        <w:rPr>
          <w:sz w:val="24"/>
          <w:szCs w:val="24"/>
        </w:rPr>
        <w:t>Conclusion</w:t>
      </w:r>
      <w:bookmarkEnd w:id="7"/>
    </w:p>
    <w:p w14:paraId="00000037" w14:textId="401B936D" w:rsidR="00EE7D19" w:rsidRPr="00DE2516" w:rsidRDefault="00552FCC" w:rsidP="00234917">
      <w:pPr>
        <w:pBdr>
          <w:top w:val="nil"/>
          <w:left w:val="nil"/>
          <w:bottom w:val="nil"/>
          <w:right w:val="nil"/>
          <w:between w:val="nil"/>
        </w:pBdr>
        <w:spacing w:after="187" w:line="275" w:lineRule="auto"/>
        <w:jc w:val="both"/>
        <w:rPr>
          <w:color w:val="1F1F1F"/>
        </w:rPr>
      </w:pPr>
      <w:r w:rsidRPr="00DE2516">
        <w:rPr>
          <w:rStyle w:val="citation-364"/>
        </w:rPr>
        <w:t>This portfolio has critically evaluated the conceptual framework of innovation, creativity, value creation, and change management within the context of UK secondary school nursing</w:t>
      </w:r>
      <w:r w:rsidRPr="00DE2516">
        <w:t xml:space="preserve">. </w:t>
      </w:r>
      <w:r w:rsidRPr="00DE2516">
        <w:rPr>
          <w:rStyle w:val="citation-363"/>
        </w:rPr>
        <w:t>Through structured tasks—including theoretical definitions, systems-based mind mapping, reflective analysis, case evaluation, empirical research synthesis, and digital innovation appraisal—this work demonstrates how academic models directly inform clinical decision-making</w:t>
      </w:r>
      <w:r w:rsidRPr="00DE2516">
        <w:t xml:space="preserve">. </w:t>
      </w:r>
      <w:r w:rsidRPr="00DE2516">
        <w:rPr>
          <w:rStyle w:val="citation-362"/>
        </w:rPr>
        <w:t xml:space="preserve">The findings </w:t>
      </w:r>
      <w:proofErr w:type="spellStart"/>
      <w:r w:rsidR="008C264A">
        <w:rPr>
          <w:rStyle w:val="citation-362"/>
        </w:rPr>
        <w:t>emphasise</w:t>
      </w:r>
      <w:proofErr w:type="spellEnd"/>
      <w:r w:rsidRPr="00DE2516">
        <w:rPr>
          <w:rStyle w:val="citation-362"/>
        </w:rPr>
        <w:t xml:space="preserve"> that addressing complex adolescent health challenges, such as operational barriers to digital health adoption and service fragmentation, requires proactive early intervention, interprofessional collaboration, and the thoughtful integration of evidence-based digital tools</w:t>
      </w:r>
      <w:r w:rsidRPr="00DE2516">
        <w:t xml:space="preserve">. </w:t>
      </w:r>
      <w:r w:rsidRPr="00DE2516">
        <w:rPr>
          <w:rStyle w:val="citation-361"/>
        </w:rPr>
        <w:t>As the NHS continues to evolve, school nurses occupy a pivotal role as change agents and patient advocates</w:t>
      </w:r>
      <w:r w:rsidRPr="00DE2516">
        <w:t xml:space="preserve">. </w:t>
      </w:r>
      <w:r w:rsidRPr="00DE2516">
        <w:rPr>
          <w:rStyle w:val="citation-360"/>
        </w:rPr>
        <w:t xml:space="preserve">By combining innovative technologies with compassionate, </w:t>
      </w:r>
      <w:r w:rsidR="008C264A">
        <w:rPr>
          <w:rStyle w:val="citation-360"/>
        </w:rPr>
        <w:t>student-</w:t>
      </w:r>
      <w:proofErr w:type="spellStart"/>
      <w:r w:rsidR="008C264A">
        <w:rPr>
          <w:rStyle w:val="citation-360"/>
        </w:rPr>
        <w:t>centred</w:t>
      </w:r>
      <w:proofErr w:type="spellEnd"/>
      <w:r w:rsidRPr="00DE2516">
        <w:rPr>
          <w:rStyle w:val="citation-360"/>
        </w:rPr>
        <w:t xml:space="preserve"> care, school nurses can drive continuous service improvement and </w:t>
      </w:r>
      <w:proofErr w:type="spellStart"/>
      <w:r w:rsidR="008C264A">
        <w:rPr>
          <w:rStyle w:val="citation-360"/>
        </w:rPr>
        <w:t>optimise</w:t>
      </w:r>
      <w:proofErr w:type="spellEnd"/>
      <w:r w:rsidRPr="00DE2516">
        <w:rPr>
          <w:rStyle w:val="citation-360"/>
        </w:rPr>
        <w:t xml:space="preserve"> health and educational outcomes for young people</w:t>
      </w:r>
      <w:r w:rsidR="001C38AF" w:rsidRPr="00DE2516">
        <w:rPr>
          <w:color w:val="1F1F1F"/>
        </w:rPr>
        <w:t>.</w:t>
      </w:r>
    </w:p>
    <w:p w14:paraId="7E22650D" w14:textId="77777777" w:rsidR="00D20183" w:rsidRDefault="00D20183" w:rsidP="00234917">
      <w:pPr>
        <w:pBdr>
          <w:top w:val="nil"/>
          <w:left w:val="nil"/>
          <w:bottom w:val="nil"/>
          <w:right w:val="nil"/>
          <w:between w:val="nil"/>
        </w:pBdr>
        <w:spacing w:after="187" w:line="275" w:lineRule="auto"/>
        <w:jc w:val="both"/>
        <w:rPr>
          <w:color w:val="1F1F1F"/>
        </w:rPr>
      </w:pPr>
    </w:p>
    <w:p w14:paraId="2FD49CC1" w14:textId="77777777" w:rsidR="00F915B4" w:rsidRDefault="00F915B4" w:rsidP="00234917">
      <w:pPr>
        <w:pBdr>
          <w:top w:val="nil"/>
          <w:left w:val="nil"/>
          <w:bottom w:val="nil"/>
          <w:right w:val="nil"/>
          <w:between w:val="nil"/>
        </w:pBdr>
        <w:spacing w:after="187" w:line="275" w:lineRule="auto"/>
        <w:jc w:val="both"/>
        <w:rPr>
          <w:color w:val="1F1F1F"/>
        </w:rPr>
      </w:pPr>
    </w:p>
    <w:p w14:paraId="13A2A73E" w14:textId="77777777" w:rsidR="00F915B4" w:rsidRDefault="00F915B4" w:rsidP="00234917">
      <w:pPr>
        <w:pBdr>
          <w:top w:val="nil"/>
          <w:left w:val="nil"/>
          <w:bottom w:val="nil"/>
          <w:right w:val="nil"/>
          <w:between w:val="nil"/>
        </w:pBdr>
        <w:spacing w:after="187" w:line="275" w:lineRule="auto"/>
        <w:jc w:val="both"/>
        <w:rPr>
          <w:color w:val="1F1F1F"/>
        </w:rPr>
      </w:pPr>
    </w:p>
    <w:p w14:paraId="657DF7B3" w14:textId="77777777" w:rsidR="00F915B4" w:rsidRDefault="00F915B4" w:rsidP="00234917">
      <w:pPr>
        <w:pBdr>
          <w:top w:val="nil"/>
          <w:left w:val="nil"/>
          <w:bottom w:val="nil"/>
          <w:right w:val="nil"/>
          <w:between w:val="nil"/>
        </w:pBdr>
        <w:spacing w:after="187" w:line="275" w:lineRule="auto"/>
        <w:jc w:val="both"/>
        <w:rPr>
          <w:color w:val="1F1F1F"/>
        </w:rPr>
      </w:pPr>
    </w:p>
    <w:p w14:paraId="6D05E399" w14:textId="77777777" w:rsidR="00F915B4" w:rsidRDefault="00F915B4" w:rsidP="00234917">
      <w:pPr>
        <w:pBdr>
          <w:top w:val="nil"/>
          <w:left w:val="nil"/>
          <w:bottom w:val="nil"/>
          <w:right w:val="nil"/>
          <w:between w:val="nil"/>
        </w:pBdr>
        <w:spacing w:after="187" w:line="275" w:lineRule="auto"/>
        <w:jc w:val="both"/>
        <w:rPr>
          <w:color w:val="1F1F1F"/>
        </w:rPr>
      </w:pPr>
    </w:p>
    <w:p w14:paraId="7F4C8C72" w14:textId="77777777" w:rsidR="00F915B4" w:rsidRDefault="00F915B4" w:rsidP="00234917">
      <w:pPr>
        <w:pBdr>
          <w:top w:val="nil"/>
          <w:left w:val="nil"/>
          <w:bottom w:val="nil"/>
          <w:right w:val="nil"/>
          <w:between w:val="nil"/>
        </w:pBdr>
        <w:spacing w:after="187" w:line="275" w:lineRule="auto"/>
        <w:jc w:val="both"/>
        <w:rPr>
          <w:color w:val="1F1F1F"/>
        </w:rPr>
      </w:pPr>
    </w:p>
    <w:p w14:paraId="5173686D" w14:textId="77777777" w:rsidR="00F915B4" w:rsidRDefault="00F915B4" w:rsidP="00234917">
      <w:pPr>
        <w:pBdr>
          <w:top w:val="nil"/>
          <w:left w:val="nil"/>
          <w:bottom w:val="nil"/>
          <w:right w:val="nil"/>
          <w:between w:val="nil"/>
        </w:pBdr>
        <w:spacing w:after="187" w:line="275" w:lineRule="auto"/>
        <w:jc w:val="both"/>
        <w:rPr>
          <w:color w:val="1F1F1F"/>
        </w:rPr>
      </w:pPr>
    </w:p>
    <w:p w14:paraId="05761F45" w14:textId="77777777" w:rsidR="00F915B4" w:rsidRDefault="00F915B4" w:rsidP="00234917">
      <w:pPr>
        <w:pBdr>
          <w:top w:val="nil"/>
          <w:left w:val="nil"/>
          <w:bottom w:val="nil"/>
          <w:right w:val="nil"/>
          <w:between w:val="nil"/>
        </w:pBdr>
        <w:spacing w:after="187" w:line="275" w:lineRule="auto"/>
        <w:jc w:val="both"/>
        <w:rPr>
          <w:color w:val="1F1F1F"/>
        </w:rPr>
      </w:pPr>
    </w:p>
    <w:p w14:paraId="7B1C44E1" w14:textId="77777777" w:rsidR="00F915B4" w:rsidRDefault="00F915B4" w:rsidP="00234917">
      <w:pPr>
        <w:pBdr>
          <w:top w:val="nil"/>
          <w:left w:val="nil"/>
          <w:bottom w:val="nil"/>
          <w:right w:val="nil"/>
          <w:between w:val="nil"/>
        </w:pBdr>
        <w:spacing w:after="187" w:line="275" w:lineRule="auto"/>
        <w:jc w:val="both"/>
        <w:rPr>
          <w:color w:val="1F1F1F"/>
        </w:rPr>
      </w:pPr>
    </w:p>
    <w:p w14:paraId="468EC90A" w14:textId="77777777" w:rsidR="00F915B4" w:rsidRDefault="00F915B4" w:rsidP="00234917">
      <w:pPr>
        <w:pBdr>
          <w:top w:val="nil"/>
          <w:left w:val="nil"/>
          <w:bottom w:val="nil"/>
          <w:right w:val="nil"/>
          <w:between w:val="nil"/>
        </w:pBdr>
        <w:spacing w:after="187" w:line="275" w:lineRule="auto"/>
        <w:jc w:val="both"/>
        <w:rPr>
          <w:color w:val="1F1F1F"/>
        </w:rPr>
      </w:pPr>
    </w:p>
    <w:p w14:paraId="44FB78B3" w14:textId="77777777" w:rsidR="00F915B4" w:rsidRPr="00DE2516" w:rsidRDefault="00F915B4" w:rsidP="00234917">
      <w:pPr>
        <w:pBdr>
          <w:top w:val="nil"/>
          <w:left w:val="nil"/>
          <w:bottom w:val="nil"/>
          <w:right w:val="nil"/>
          <w:between w:val="nil"/>
        </w:pBdr>
        <w:spacing w:after="187" w:line="275" w:lineRule="auto"/>
        <w:jc w:val="both"/>
        <w:rPr>
          <w:color w:val="1F1F1F"/>
        </w:rPr>
      </w:pPr>
    </w:p>
    <w:p w14:paraId="057DD67B" w14:textId="77777777" w:rsidR="00271C41" w:rsidRDefault="00271C41" w:rsidP="00D61DD5">
      <w:pPr>
        <w:pStyle w:val="Heading3"/>
        <w:rPr>
          <w:sz w:val="22"/>
          <w:szCs w:val="22"/>
        </w:rPr>
      </w:pPr>
      <w:bookmarkStart w:id="8" w:name="_Toc235654355"/>
    </w:p>
    <w:p w14:paraId="73566C4A" w14:textId="77777777" w:rsidR="00271C41" w:rsidRDefault="00271C41" w:rsidP="00D61DD5">
      <w:pPr>
        <w:pStyle w:val="Heading3"/>
        <w:rPr>
          <w:sz w:val="22"/>
          <w:szCs w:val="22"/>
        </w:rPr>
      </w:pPr>
    </w:p>
    <w:p w14:paraId="77050268" w14:textId="77777777" w:rsidR="00271C41" w:rsidRDefault="00271C41" w:rsidP="00D61DD5">
      <w:pPr>
        <w:pStyle w:val="Heading3"/>
        <w:rPr>
          <w:sz w:val="22"/>
          <w:szCs w:val="22"/>
        </w:rPr>
      </w:pPr>
    </w:p>
    <w:p w14:paraId="57771892" w14:textId="77777777" w:rsidR="00271C41" w:rsidRDefault="00271C41" w:rsidP="00D61DD5">
      <w:pPr>
        <w:pStyle w:val="Heading3"/>
        <w:rPr>
          <w:sz w:val="22"/>
          <w:szCs w:val="22"/>
        </w:rPr>
      </w:pPr>
    </w:p>
    <w:p w14:paraId="6B45D577" w14:textId="77777777" w:rsidR="00342912" w:rsidRDefault="00342912" w:rsidP="00D61DD5">
      <w:pPr>
        <w:pStyle w:val="Heading3"/>
        <w:rPr>
          <w:sz w:val="22"/>
          <w:szCs w:val="22"/>
        </w:rPr>
      </w:pPr>
    </w:p>
    <w:p w14:paraId="374708A6" w14:textId="77777777" w:rsidR="00342912" w:rsidRDefault="00342912" w:rsidP="00D61DD5">
      <w:pPr>
        <w:pStyle w:val="Heading3"/>
        <w:rPr>
          <w:sz w:val="22"/>
          <w:szCs w:val="22"/>
        </w:rPr>
      </w:pPr>
    </w:p>
    <w:p w14:paraId="195B383D" w14:textId="711B16CF" w:rsidR="00D61DD5" w:rsidRPr="00F915B4" w:rsidRDefault="001C38AF" w:rsidP="00D61DD5">
      <w:pPr>
        <w:pStyle w:val="Heading3"/>
        <w:rPr>
          <w:sz w:val="24"/>
          <w:szCs w:val="24"/>
        </w:rPr>
      </w:pPr>
      <w:r w:rsidRPr="00F915B4">
        <w:rPr>
          <w:sz w:val="24"/>
          <w:szCs w:val="24"/>
        </w:rPr>
        <w:lastRenderedPageBreak/>
        <w:t>Reference</w:t>
      </w:r>
      <w:bookmarkEnd w:id="8"/>
    </w:p>
    <w:p w14:paraId="573DDE4C" w14:textId="5B894537" w:rsidR="00D61DD5" w:rsidRPr="00DE2516" w:rsidRDefault="00D61DD5" w:rsidP="00F431A0">
      <w:pPr>
        <w:pStyle w:val="Heading3"/>
        <w:jc w:val="both"/>
        <w:rPr>
          <w:b w:val="0"/>
          <w:bCs w:val="0"/>
          <w:sz w:val="22"/>
          <w:szCs w:val="22"/>
        </w:rPr>
      </w:pPr>
      <w:bookmarkStart w:id="9" w:name="_Toc235654356"/>
      <w:r w:rsidRPr="00DE2516">
        <w:rPr>
          <w:b w:val="0"/>
          <w:bCs w:val="0"/>
          <w:sz w:val="22"/>
          <w:szCs w:val="22"/>
        </w:rPr>
        <w:t>Amabile, T.M. (1996) Creativity in context: Update to the social psychology of creativity. Boulder: Westview Press</w:t>
      </w:r>
      <w:r w:rsidRPr="00DE2516">
        <w:rPr>
          <w:rFonts w:eastAsia="Times New Roman"/>
          <w:b w:val="0"/>
          <w:bCs w:val="0"/>
          <w:sz w:val="22"/>
          <w:szCs w:val="22"/>
        </w:rPr>
        <w:t>.</w:t>
      </w:r>
      <w:bookmarkEnd w:id="9"/>
      <w:r w:rsidRPr="00DE2516">
        <w:rPr>
          <w:rFonts w:eastAsia="Times New Roman"/>
          <w:b w:val="0"/>
          <w:bCs w:val="0"/>
          <w:sz w:val="22"/>
          <w:szCs w:val="22"/>
        </w:rPr>
        <w:t xml:space="preserve"> </w:t>
      </w:r>
    </w:p>
    <w:p w14:paraId="7B85E3F8" w14:textId="6C4E773F"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Burnes, B. (2017) </w:t>
      </w:r>
      <w:r w:rsidRPr="00DE2516">
        <w:rPr>
          <w:rFonts w:eastAsia="Times New Roman"/>
          <w:i/>
          <w:iCs/>
        </w:rPr>
        <w:t>Managing change</w:t>
      </w:r>
      <w:r w:rsidRPr="00DE2516">
        <w:rPr>
          <w:rFonts w:eastAsia="Times New Roman"/>
        </w:rPr>
        <w:t xml:space="preserve">. 7th </w:t>
      </w:r>
      <w:proofErr w:type="spellStart"/>
      <w:r w:rsidRPr="00DE2516">
        <w:rPr>
          <w:rFonts w:eastAsia="Times New Roman"/>
        </w:rPr>
        <w:t>edn</w:t>
      </w:r>
      <w:proofErr w:type="spellEnd"/>
      <w:r w:rsidRPr="00DE2516">
        <w:rPr>
          <w:rFonts w:eastAsia="Times New Roman"/>
        </w:rPr>
        <w:t xml:space="preserve">. Harlow: Pearson. </w:t>
      </w:r>
    </w:p>
    <w:p w14:paraId="5A87A38B" w14:textId="6A45BC2E"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Department for Education and Department of Health and Social Care (2017) </w:t>
      </w:r>
      <w:r w:rsidRPr="00DE2516">
        <w:rPr>
          <w:rFonts w:eastAsia="Times New Roman"/>
          <w:i/>
          <w:iCs/>
        </w:rPr>
        <w:t>Transforming children and young people’s mental health provision: a green paper</w:t>
      </w:r>
      <w:r w:rsidRPr="00DE2516">
        <w:rPr>
          <w:rFonts w:eastAsia="Times New Roman"/>
        </w:rPr>
        <w:t xml:space="preserve">. London: HM Government. </w:t>
      </w:r>
    </w:p>
    <w:p w14:paraId="2099EE7B" w14:textId="2DF44BA6"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Department of Health and Social Care (2022) </w:t>
      </w:r>
      <w:r w:rsidRPr="00DE2516">
        <w:rPr>
          <w:rFonts w:eastAsia="Times New Roman"/>
          <w:i/>
          <w:iCs/>
        </w:rPr>
        <w:t>Data saves lives: reshaping health and social care with data</w:t>
      </w:r>
      <w:r w:rsidRPr="00DE2516">
        <w:rPr>
          <w:rFonts w:eastAsia="Times New Roman"/>
        </w:rPr>
        <w:t xml:space="preserve">. London: HM Government. </w:t>
      </w:r>
    </w:p>
    <w:p w14:paraId="4C5E9623" w14:textId="3CEA682F"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Gibbs, G. (1988) </w:t>
      </w:r>
      <w:r w:rsidRPr="00DE2516">
        <w:rPr>
          <w:rFonts w:eastAsia="Times New Roman"/>
          <w:i/>
          <w:iCs/>
        </w:rPr>
        <w:t>Learning by doing: A guide to teaching and learning methods</w:t>
      </w:r>
      <w:r w:rsidRPr="00DE2516">
        <w:rPr>
          <w:rFonts w:eastAsia="Times New Roman"/>
        </w:rPr>
        <w:t xml:space="preserve">. Further Education Unit. Oxford: Oxford Polytechnic. </w:t>
      </w:r>
    </w:p>
    <w:p w14:paraId="63B2920E" w14:textId="330AEE2C"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Greenhalgh, T., Robert, G., Macfarlane, F., Bate, P. and Kyriakidou, O. (2004) ‘Diffusion of innovations in service </w:t>
      </w:r>
      <w:proofErr w:type="spellStart"/>
      <w:r w:rsidR="008C264A">
        <w:rPr>
          <w:rFonts w:eastAsia="Times New Roman"/>
        </w:rPr>
        <w:t>organisations</w:t>
      </w:r>
      <w:proofErr w:type="spellEnd"/>
      <w:r w:rsidRPr="00DE2516">
        <w:rPr>
          <w:rFonts w:eastAsia="Times New Roman"/>
        </w:rPr>
        <w:t xml:space="preserve">: Systematic review and recommendations’, </w:t>
      </w:r>
      <w:r w:rsidRPr="00DE2516">
        <w:rPr>
          <w:rFonts w:eastAsia="Times New Roman"/>
          <w:i/>
          <w:iCs/>
        </w:rPr>
        <w:t>The Milbank Quarterly</w:t>
      </w:r>
      <w:r w:rsidRPr="00DE2516">
        <w:rPr>
          <w:rFonts w:eastAsia="Times New Roman"/>
        </w:rPr>
        <w:t xml:space="preserve">, 82(4), pp. 581–629. </w:t>
      </w:r>
    </w:p>
    <w:p w14:paraId="549A1F04" w14:textId="29B44A45"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Loades, M.E., Chatburn, E., Higson-Sweeney, N., Reynolds, S., Shafran, R., Brigden, A., Linney, C., McManus, M.N., Smalls, C. and Crawley, E. (2020) ‘Rapid Systematic Review: The Impact of Social Isolation and Loneliness on the Mental Health of Children and Adolescents in the Context of COVID-19’, </w:t>
      </w:r>
      <w:r w:rsidRPr="00DE2516">
        <w:rPr>
          <w:rFonts w:eastAsia="Times New Roman"/>
          <w:i/>
          <w:iCs/>
        </w:rPr>
        <w:t>Journal of the American Academy of Child &amp; Adolescent Psychiatry</w:t>
      </w:r>
      <w:r w:rsidRPr="00DE2516">
        <w:rPr>
          <w:rFonts w:eastAsia="Times New Roman"/>
        </w:rPr>
        <w:t xml:space="preserve">, 59(11), pp. 1218–1239. </w:t>
      </w:r>
    </w:p>
    <w:p w14:paraId="37A4C6ED" w14:textId="7B52444F"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NHS Digital (2023) </w:t>
      </w:r>
      <w:r w:rsidRPr="00DE2516">
        <w:rPr>
          <w:rFonts w:eastAsia="Times New Roman"/>
          <w:i/>
          <w:iCs/>
        </w:rPr>
        <w:t>Mental Health of Children and Young People in England, 2023</w:t>
      </w:r>
      <w:r w:rsidRPr="00DE2516">
        <w:rPr>
          <w:rFonts w:eastAsia="Times New Roman"/>
        </w:rPr>
        <w:t xml:space="preserve">. London: NHS England. </w:t>
      </w:r>
    </w:p>
    <w:p w14:paraId="47705035" w14:textId="1277485B"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NHS England (2022) </w:t>
      </w:r>
      <w:r w:rsidRPr="00DE2516">
        <w:rPr>
          <w:rFonts w:eastAsia="Times New Roman"/>
          <w:i/>
          <w:iCs/>
        </w:rPr>
        <w:t>Transforming mental health care through digital innovation</w:t>
      </w:r>
      <w:r w:rsidRPr="00DE2516">
        <w:rPr>
          <w:rFonts w:eastAsia="Times New Roman"/>
        </w:rPr>
        <w:t xml:space="preserve">. London: NHS England. </w:t>
      </w:r>
    </w:p>
    <w:p w14:paraId="3AC1E07D" w14:textId="06A9FD0A"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Porter, M.E. (2010) ‘What is value in health care?’, </w:t>
      </w:r>
      <w:r w:rsidRPr="00DE2516">
        <w:rPr>
          <w:rFonts w:eastAsia="Times New Roman"/>
          <w:i/>
          <w:iCs/>
        </w:rPr>
        <w:t>New England Journal of Medicine</w:t>
      </w:r>
      <w:r w:rsidRPr="00DE2516">
        <w:rPr>
          <w:rFonts w:eastAsia="Times New Roman"/>
        </w:rPr>
        <w:t xml:space="preserve">, 363(26), pp. 2477–2481. </w:t>
      </w:r>
    </w:p>
    <w:p w14:paraId="3ACDF014" w14:textId="0F84EF6D"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Racine, N., McArthur, B.A., Cooke, J.E., Eirich, R., Zhu, J. and Madigan, S. (2021) ‘Global Prevalence of Depressive and Anxiety Symptoms in Children and Young People During COVID-19: A Meta-analysis’, </w:t>
      </w:r>
      <w:r w:rsidRPr="00DE2516">
        <w:rPr>
          <w:rFonts w:eastAsia="Times New Roman"/>
          <w:i/>
          <w:iCs/>
        </w:rPr>
        <w:t xml:space="preserve">JAMA </w:t>
      </w:r>
      <w:proofErr w:type="spellStart"/>
      <w:r w:rsidR="008C264A">
        <w:rPr>
          <w:rFonts w:eastAsia="Times New Roman"/>
          <w:i/>
          <w:iCs/>
        </w:rPr>
        <w:t>Paediatrics</w:t>
      </w:r>
      <w:proofErr w:type="spellEnd"/>
      <w:r w:rsidRPr="00DE2516">
        <w:rPr>
          <w:rFonts w:eastAsia="Times New Roman"/>
        </w:rPr>
        <w:t xml:space="preserve">, 175(11), pp. 1142–1150. </w:t>
      </w:r>
    </w:p>
    <w:p w14:paraId="098012D9" w14:textId="0EB08A3B"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Rogers, E.M. (2003) </w:t>
      </w:r>
      <w:r w:rsidRPr="00DE2516">
        <w:rPr>
          <w:rFonts w:eastAsia="Times New Roman"/>
          <w:i/>
          <w:iCs/>
        </w:rPr>
        <w:t>Diffusion of innovations</w:t>
      </w:r>
      <w:r w:rsidRPr="00DE2516">
        <w:rPr>
          <w:rFonts w:eastAsia="Times New Roman"/>
        </w:rPr>
        <w:t xml:space="preserve">. 5th </w:t>
      </w:r>
      <w:proofErr w:type="spellStart"/>
      <w:r w:rsidRPr="00DE2516">
        <w:rPr>
          <w:rFonts w:eastAsia="Times New Roman"/>
        </w:rPr>
        <w:t>edn</w:t>
      </w:r>
      <w:proofErr w:type="spellEnd"/>
      <w:r w:rsidRPr="00DE2516">
        <w:rPr>
          <w:rFonts w:eastAsia="Times New Roman"/>
        </w:rPr>
        <w:t xml:space="preserve">. New York: Free Press. </w:t>
      </w:r>
    </w:p>
    <w:p w14:paraId="115FD1AC" w14:textId="566AA68A" w:rsidR="00D61DD5" w:rsidRPr="00DE2516" w:rsidRDefault="00D61DD5" w:rsidP="00F431A0">
      <w:pPr>
        <w:widowControl/>
        <w:spacing w:before="100" w:beforeAutospacing="1" w:after="100" w:afterAutospacing="1"/>
        <w:jc w:val="both"/>
        <w:rPr>
          <w:rFonts w:eastAsia="Times New Roman"/>
        </w:rPr>
      </w:pPr>
      <w:r w:rsidRPr="00DE2516">
        <w:rPr>
          <w:rFonts w:eastAsia="Times New Roman"/>
        </w:rPr>
        <w:t xml:space="preserve">Senge, P.M. (2006) </w:t>
      </w:r>
      <w:r w:rsidRPr="00DE2516">
        <w:rPr>
          <w:rFonts w:eastAsia="Times New Roman"/>
          <w:i/>
          <w:iCs/>
        </w:rPr>
        <w:t xml:space="preserve">The fifth discipline: the art and practice of the learning </w:t>
      </w:r>
      <w:proofErr w:type="spellStart"/>
      <w:r w:rsidR="008C264A">
        <w:rPr>
          <w:rFonts w:eastAsia="Times New Roman"/>
          <w:i/>
          <w:iCs/>
        </w:rPr>
        <w:t>organisation</w:t>
      </w:r>
      <w:proofErr w:type="spellEnd"/>
      <w:r w:rsidRPr="00DE2516">
        <w:rPr>
          <w:rFonts w:eastAsia="Times New Roman"/>
        </w:rPr>
        <w:t xml:space="preserve">. Rev. </w:t>
      </w:r>
      <w:proofErr w:type="spellStart"/>
      <w:r w:rsidRPr="00DE2516">
        <w:rPr>
          <w:rFonts w:eastAsia="Times New Roman"/>
        </w:rPr>
        <w:t>edn</w:t>
      </w:r>
      <w:proofErr w:type="spellEnd"/>
      <w:r w:rsidRPr="00DE2516">
        <w:rPr>
          <w:rFonts w:eastAsia="Times New Roman"/>
        </w:rPr>
        <w:t xml:space="preserve">. London: Random House. </w:t>
      </w:r>
    </w:p>
    <w:p w14:paraId="00000045" w14:textId="34987143" w:rsidR="00EE7D19" w:rsidRPr="00DE2516" w:rsidRDefault="00EE7D19" w:rsidP="00D61DD5">
      <w:pPr>
        <w:pBdr>
          <w:top w:val="nil"/>
          <w:left w:val="nil"/>
          <w:bottom w:val="nil"/>
          <w:right w:val="nil"/>
          <w:between w:val="nil"/>
        </w:pBdr>
        <w:spacing w:line="275" w:lineRule="auto"/>
        <w:ind w:left="465"/>
        <w:jc w:val="both"/>
      </w:pPr>
    </w:p>
    <w:sectPr w:rsidR="00EE7D19" w:rsidRPr="00DE2516">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1410D" w14:textId="77777777" w:rsidR="00B65D0A" w:rsidRDefault="00B65D0A" w:rsidP="00605FCA">
      <w:r>
        <w:separator/>
      </w:r>
    </w:p>
  </w:endnote>
  <w:endnote w:type="continuationSeparator" w:id="0">
    <w:p w14:paraId="1D228C14" w14:textId="77777777" w:rsidR="00B65D0A" w:rsidRDefault="00B65D0A" w:rsidP="00605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71C4581-A28F-40FD-99AE-B2C52C85E463}"/>
  </w:font>
  <w:font w:name="Calibri">
    <w:panose1 w:val="020F0502020204030204"/>
    <w:charset w:val="00"/>
    <w:family w:val="swiss"/>
    <w:pitch w:val="variable"/>
    <w:sig w:usb0="E4002EFF" w:usb1="C200247B" w:usb2="00000009" w:usb3="00000000" w:csb0="000001FF" w:csb1="00000000"/>
    <w:embedRegular r:id="rId2" w:fontKey="{9C53407D-F1F5-4EE0-9883-574FC3EB66FC}"/>
  </w:font>
  <w:font w:name="Cambria">
    <w:panose1 w:val="02040503050406030204"/>
    <w:charset w:val="00"/>
    <w:family w:val="roman"/>
    <w:pitch w:val="variable"/>
    <w:sig w:usb0="E00006FF" w:usb1="420024FF" w:usb2="02000000" w:usb3="00000000" w:csb0="0000019F" w:csb1="00000000"/>
    <w:embedRegular r:id="rId3" w:fontKey="{2679DDA1-A004-4F2C-81DD-AC8C3B8E21FC}"/>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D9C77" w14:textId="77777777" w:rsidR="00B65D0A" w:rsidRDefault="00B65D0A" w:rsidP="00605FCA">
      <w:r>
        <w:separator/>
      </w:r>
    </w:p>
  </w:footnote>
  <w:footnote w:type="continuationSeparator" w:id="0">
    <w:p w14:paraId="62B45D3D" w14:textId="77777777" w:rsidR="00B65D0A" w:rsidRDefault="00B65D0A" w:rsidP="00605F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383D80"/>
    <w:multiLevelType w:val="multilevel"/>
    <w:tmpl w:val="2022F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8069D3"/>
    <w:multiLevelType w:val="multilevel"/>
    <w:tmpl w:val="31E0A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9F3422"/>
    <w:multiLevelType w:val="multilevel"/>
    <w:tmpl w:val="8286CBD6"/>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3" w15:restartNumberingAfterBreak="0">
    <w:nsid w:val="755B6CD0"/>
    <w:multiLevelType w:val="multilevel"/>
    <w:tmpl w:val="829C1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044A"/>
    <w:multiLevelType w:val="multilevel"/>
    <w:tmpl w:val="98DE1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2616359">
    <w:abstractNumId w:val="2"/>
  </w:num>
  <w:num w:numId="2" w16cid:durableId="205022744">
    <w:abstractNumId w:val="4"/>
  </w:num>
  <w:num w:numId="3" w16cid:durableId="737096368">
    <w:abstractNumId w:val="1"/>
  </w:num>
  <w:num w:numId="4" w16cid:durableId="1323388428">
    <w:abstractNumId w:val="3"/>
  </w:num>
  <w:num w:numId="5" w16cid:durableId="162625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D19"/>
    <w:rsid w:val="000178CA"/>
    <w:rsid w:val="000521C1"/>
    <w:rsid w:val="00053A4D"/>
    <w:rsid w:val="0007428C"/>
    <w:rsid w:val="00077D2C"/>
    <w:rsid w:val="00092265"/>
    <w:rsid w:val="000944F3"/>
    <w:rsid w:val="000B0AE1"/>
    <w:rsid w:val="000C10DB"/>
    <w:rsid w:val="000D4806"/>
    <w:rsid w:val="001429DD"/>
    <w:rsid w:val="001568E0"/>
    <w:rsid w:val="00171B78"/>
    <w:rsid w:val="00173AA6"/>
    <w:rsid w:val="00175E1D"/>
    <w:rsid w:val="00186A46"/>
    <w:rsid w:val="001C38AF"/>
    <w:rsid w:val="001E0B4E"/>
    <w:rsid w:val="001E1EE1"/>
    <w:rsid w:val="00205126"/>
    <w:rsid w:val="00223868"/>
    <w:rsid w:val="00234917"/>
    <w:rsid w:val="00235269"/>
    <w:rsid w:val="00271C41"/>
    <w:rsid w:val="00275A4F"/>
    <w:rsid w:val="00286DC4"/>
    <w:rsid w:val="002A4B42"/>
    <w:rsid w:val="002C1287"/>
    <w:rsid w:val="00342912"/>
    <w:rsid w:val="0036027E"/>
    <w:rsid w:val="00367221"/>
    <w:rsid w:val="003920DF"/>
    <w:rsid w:val="00397DCE"/>
    <w:rsid w:val="003B1E01"/>
    <w:rsid w:val="003C0299"/>
    <w:rsid w:val="003C7AE5"/>
    <w:rsid w:val="003D6044"/>
    <w:rsid w:val="003D6765"/>
    <w:rsid w:val="003E2CCA"/>
    <w:rsid w:val="003E63E3"/>
    <w:rsid w:val="004056A3"/>
    <w:rsid w:val="00411B73"/>
    <w:rsid w:val="004526EB"/>
    <w:rsid w:val="0046091F"/>
    <w:rsid w:val="0049547D"/>
    <w:rsid w:val="004C583F"/>
    <w:rsid w:val="004D09A3"/>
    <w:rsid w:val="00507008"/>
    <w:rsid w:val="005113AE"/>
    <w:rsid w:val="005303DB"/>
    <w:rsid w:val="00536855"/>
    <w:rsid w:val="00552FCC"/>
    <w:rsid w:val="005726D9"/>
    <w:rsid w:val="005911BD"/>
    <w:rsid w:val="005B0398"/>
    <w:rsid w:val="005D03EA"/>
    <w:rsid w:val="005D1619"/>
    <w:rsid w:val="005E0294"/>
    <w:rsid w:val="005F0A1F"/>
    <w:rsid w:val="00605FCA"/>
    <w:rsid w:val="00620C0C"/>
    <w:rsid w:val="00631724"/>
    <w:rsid w:val="006345B8"/>
    <w:rsid w:val="00652E9D"/>
    <w:rsid w:val="006716F2"/>
    <w:rsid w:val="00677D1D"/>
    <w:rsid w:val="0069347A"/>
    <w:rsid w:val="006B2FCF"/>
    <w:rsid w:val="006F4B3A"/>
    <w:rsid w:val="00723911"/>
    <w:rsid w:val="00757BA7"/>
    <w:rsid w:val="00762FC1"/>
    <w:rsid w:val="0078544A"/>
    <w:rsid w:val="007B0799"/>
    <w:rsid w:val="007B146A"/>
    <w:rsid w:val="007C2EBF"/>
    <w:rsid w:val="00807A04"/>
    <w:rsid w:val="008344E6"/>
    <w:rsid w:val="008963B8"/>
    <w:rsid w:val="008A22A2"/>
    <w:rsid w:val="008C264A"/>
    <w:rsid w:val="008F7546"/>
    <w:rsid w:val="009047C0"/>
    <w:rsid w:val="00914D88"/>
    <w:rsid w:val="00925102"/>
    <w:rsid w:val="00932884"/>
    <w:rsid w:val="00935604"/>
    <w:rsid w:val="009A24EF"/>
    <w:rsid w:val="009A44E4"/>
    <w:rsid w:val="009D0238"/>
    <w:rsid w:val="009E7429"/>
    <w:rsid w:val="009F52F3"/>
    <w:rsid w:val="009F55DE"/>
    <w:rsid w:val="009F586A"/>
    <w:rsid w:val="00A15294"/>
    <w:rsid w:val="00A16148"/>
    <w:rsid w:val="00A202A8"/>
    <w:rsid w:val="00A21360"/>
    <w:rsid w:val="00A34CF0"/>
    <w:rsid w:val="00A66E91"/>
    <w:rsid w:val="00A741C8"/>
    <w:rsid w:val="00AB46E5"/>
    <w:rsid w:val="00AF6ABE"/>
    <w:rsid w:val="00B43FCE"/>
    <w:rsid w:val="00B5650B"/>
    <w:rsid w:val="00B6194E"/>
    <w:rsid w:val="00B65D0A"/>
    <w:rsid w:val="00B846E2"/>
    <w:rsid w:val="00B928E1"/>
    <w:rsid w:val="00BA4392"/>
    <w:rsid w:val="00BC0168"/>
    <w:rsid w:val="00BD51E5"/>
    <w:rsid w:val="00BF5C73"/>
    <w:rsid w:val="00BF74C0"/>
    <w:rsid w:val="00BF7E26"/>
    <w:rsid w:val="00C04EAC"/>
    <w:rsid w:val="00C25E2D"/>
    <w:rsid w:val="00C32D22"/>
    <w:rsid w:val="00C43BB0"/>
    <w:rsid w:val="00CF0334"/>
    <w:rsid w:val="00D12F57"/>
    <w:rsid w:val="00D20183"/>
    <w:rsid w:val="00D5490E"/>
    <w:rsid w:val="00D61DD5"/>
    <w:rsid w:val="00D76670"/>
    <w:rsid w:val="00D93D7E"/>
    <w:rsid w:val="00D9554C"/>
    <w:rsid w:val="00DE1707"/>
    <w:rsid w:val="00DE1C9A"/>
    <w:rsid w:val="00DE1DDA"/>
    <w:rsid w:val="00DE2516"/>
    <w:rsid w:val="00E12668"/>
    <w:rsid w:val="00E81129"/>
    <w:rsid w:val="00E91536"/>
    <w:rsid w:val="00E97BC7"/>
    <w:rsid w:val="00EB4403"/>
    <w:rsid w:val="00EC4B72"/>
    <w:rsid w:val="00EE7D19"/>
    <w:rsid w:val="00EF545A"/>
    <w:rsid w:val="00F04862"/>
    <w:rsid w:val="00F1603C"/>
    <w:rsid w:val="00F30644"/>
    <w:rsid w:val="00F34C48"/>
    <w:rsid w:val="00F358F7"/>
    <w:rsid w:val="00F42DCA"/>
    <w:rsid w:val="00F431A0"/>
    <w:rsid w:val="00F4384B"/>
    <w:rsid w:val="00F915B4"/>
    <w:rsid w:val="00FB6382"/>
    <w:rsid w:val="00FD6A5F"/>
    <w:rsid w:val="00FE60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204544"/>
  <w15:docId w15:val="{532C4F15-B2CF-4BB2-B800-B66BB2790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link w:val="Heading2Char"/>
    <w:uiPriority w:val="9"/>
    <w:unhideWhenUsed/>
    <w:qFormat/>
    <w:pPr>
      <w:pBdr>
        <w:top w:val="nil"/>
        <w:left w:val="nil"/>
        <w:bottom w:val="nil"/>
        <w:right w:val="nil"/>
        <w:between w:val="nil"/>
      </w:pBdr>
      <w:spacing w:before="225" w:after="225"/>
      <w:outlineLvl w:val="1"/>
    </w:pPr>
    <w:rPr>
      <w:b/>
      <w:bCs/>
      <w:sz w:val="36"/>
      <w:szCs w:val="36"/>
    </w:rPr>
  </w:style>
  <w:style w:type="paragraph" w:styleId="Heading3">
    <w:name w:val="heading 3"/>
    <w:basedOn w:val="Normal"/>
    <w:next w:val="Normal"/>
    <w:uiPriority w:val="9"/>
    <w:unhideWhenUsed/>
    <w:qFormat/>
    <w:p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uiPriority w:val="9"/>
    <w:unhideWhenUsed/>
    <w:qFormat/>
    <w:pPr>
      <w:pBdr>
        <w:top w:val="nil"/>
        <w:left w:val="nil"/>
        <w:bottom w:val="nil"/>
        <w:right w:val="nil"/>
        <w:between w:val="nil"/>
      </w:pBdr>
      <w:spacing w:before="255" w:after="255"/>
      <w:outlineLvl w:val="3"/>
    </w:pPr>
    <w:rPr>
      <w:b/>
      <w:bCs/>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styleId="Strong">
    <w:name w:val="Strong"/>
    <w:basedOn w:val="DefaultParagraphFont"/>
    <w:uiPriority w:val="22"/>
    <w:qFormat/>
    <w:rsid w:val="005E0294"/>
    <w:rPr>
      <w:b/>
      <w:bCs/>
    </w:rPr>
  </w:style>
  <w:style w:type="paragraph" w:styleId="NormalWeb">
    <w:name w:val="Normal (Web)"/>
    <w:basedOn w:val="Normal"/>
    <w:uiPriority w:val="99"/>
    <w:semiHidden/>
    <w:unhideWhenUsed/>
    <w:rsid w:val="00BD51E5"/>
    <w:pPr>
      <w:widowControl/>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9E7429"/>
    <w:pPr>
      <w:keepNext/>
      <w:keepLines/>
      <w:widowControl/>
      <w:pBdr>
        <w:top w:val="none" w:sz="0" w:space="0" w:color="auto"/>
        <w:left w:val="none" w:sz="0" w:space="0" w:color="auto"/>
        <w:bottom w:val="none" w:sz="0" w:space="0" w:color="auto"/>
        <w:right w:val="none" w:sz="0" w:space="0" w:color="auto"/>
        <w:between w:val="none" w:sz="0" w:space="0" w:color="auto"/>
      </w:pBdr>
      <w:spacing w:after="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9E7429"/>
    <w:pPr>
      <w:spacing w:after="100"/>
    </w:pPr>
  </w:style>
  <w:style w:type="paragraph" w:styleId="TOC2">
    <w:name w:val="toc 2"/>
    <w:basedOn w:val="Normal"/>
    <w:next w:val="Normal"/>
    <w:autoRedefine/>
    <w:uiPriority w:val="39"/>
    <w:unhideWhenUsed/>
    <w:rsid w:val="009E7429"/>
    <w:pPr>
      <w:spacing w:after="100"/>
      <w:ind w:left="220"/>
    </w:pPr>
  </w:style>
  <w:style w:type="paragraph" w:styleId="TOC3">
    <w:name w:val="toc 3"/>
    <w:basedOn w:val="Normal"/>
    <w:next w:val="Normal"/>
    <w:autoRedefine/>
    <w:uiPriority w:val="39"/>
    <w:unhideWhenUsed/>
    <w:rsid w:val="009E7429"/>
    <w:pPr>
      <w:spacing w:after="100"/>
      <w:ind w:left="440"/>
    </w:pPr>
  </w:style>
  <w:style w:type="character" w:styleId="Hyperlink">
    <w:name w:val="Hyperlink"/>
    <w:basedOn w:val="DefaultParagraphFont"/>
    <w:uiPriority w:val="99"/>
    <w:unhideWhenUsed/>
    <w:rsid w:val="009E7429"/>
    <w:rPr>
      <w:color w:val="0000FF" w:themeColor="hyperlink"/>
      <w:u w:val="single"/>
    </w:rPr>
  </w:style>
  <w:style w:type="character" w:customStyle="1" w:styleId="citation-562">
    <w:name w:val="citation-562"/>
    <w:basedOn w:val="DefaultParagraphFont"/>
    <w:rsid w:val="003D6044"/>
  </w:style>
  <w:style w:type="character" w:customStyle="1" w:styleId="citation-561">
    <w:name w:val="citation-561"/>
    <w:basedOn w:val="DefaultParagraphFont"/>
    <w:rsid w:val="003D6044"/>
  </w:style>
  <w:style w:type="character" w:customStyle="1" w:styleId="citation-560">
    <w:name w:val="citation-560"/>
    <w:basedOn w:val="DefaultParagraphFont"/>
    <w:rsid w:val="003D6044"/>
  </w:style>
  <w:style w:type="character" w:customStyle="1" w:styleId="citation-559">
    <w:name w:val="citation-559"/>
    <w:basedOn w:val="DefaultParagraphFont"/>
    <w:rsid w:val="003D6044"/>
  </w:style>
  <w:style w:type="character" w:customStyle="1" w:styleId="citation-558">
    <w:name w:val="citation-558"/>
    <w:basedOn w:val="DefaultParagraphFont"/>
    <w:rsid w:val="003D6044"/>
  </w:style>
  <w:style w:type="character" w:customStyle="1" w:styleId="citation-557">
    <w:name w:val="citation-557"/>
    <w:basedOn w:val="DefaultParagraphFont"/>
    <w:rsid w:val="003D6044"/>
  </w:style>
  <w:style w:type="character" w:customStyle="1" w:styleId="citation-556">
    <w:name w:val="citation-556"/>
    <w:basedOn w:val="DefaultParagraphFont"/>
    <w:rsid w:val="003D6044"/>
  </w:style>
  <w:style w:type="character" w:customStyle="1" w:styleId="citation-555">
    <w:name w:val="citation-555"/>
    <w:basedOn w:val="DefaultParagraphFont"/>
    <w:rsid w:val="003D6044"/>
  </w:style>
  <w:style w:type="character" w:customStyle="1" w:styleId="citation-554">
    <w:name w:val="citation-554"/>
    <w:basedOn w:val="DefaultParagraphFont"/>
    <w:rsid w:val="003D6044"/>
  </w:style>
  <w:style w:type="character" w:customStyle="1" w:styleId="citation-273">
    <w:name w:val="citation-273"/>
    <w:basedOn w:val="DefaultParagraphFont"/>
    <w:rsid w:val="00D61DD5"/>
  </w:style>
  <w:style w:type="character" w:customStyle="1" w:styleId="citation-272">
    <w:name w:val="citation-272"/>
    <w:basedOn w:val="DefaultParagraphFont"/>
    <w:rsid w:val="00D61DD5"/>
  </w:style>
  <w:style w:type="character" w:customStyle="1" w:styleId="citation-271">
    <w:name w:val="citation-271"/>
    <w:basedOn w:val="DefaultParagraphFont"/>
    <w:rsid w:val="00D61DD5"/>
  </w:style>
  <w:style w:type="character" w:customStyle="1" w:styleId="citation-270">
    <w:name w:val="citation-270"/>
    <w:basedOn w:val="DefaultParagraphFont"/>
    <w:rsid w:val="00D61DD5"/>
  </w:style>
  <w:style w:type="character" w:customStyle="1" w:styleId="citation-269">
    <w:name w:val="citation-269"/>
    <w:basedOn w:val="DefaultParagraphFont"/>
    <w:rsid w:val="00D61DD5"/>
  </w:style>
  <w:style w:type="character" w:customStyle="1" w:styleId="citation-268">
    <w:name w:val="citation-268"/>
    <w:basedOn w:val="DefaultParagraphFont"/>
    <w:rsid w:val="00D61DD5"/>
  </w:style>
  <w:style w:type="character" w:customStyle="1" w:styleId="citation-267">
    <w:name w:val="citation-267"/>
    <w:basedOn w:val="DefaultParagraphFont"/>
    <w:rsid w:val="00D61DD5"/>
  </w:style>
  <w:style w:type="character" w:customStyle="1" w:styleId="citation-266">
    <w:name w:val="citation-266"/>
    <w:basedOn w:val="DefaultParagraphFont"/>
    <w:rsid w:val="00D61DD5"/>
  </w:style>
  <w:style w:type="character" w:customStyle="1" w:styleId="citation-265">
    <w:name w:val="citation-265"/>
    <w:basedOn w:val="DefaultParagraphFont"/>
    <w:rsid w:val="00D61DD5"/>
  </w:style>
  <w:style w:type="character" w:customStyle="1" w:styleId="citation-264">
    <w:name w:val="citation-264"/>
    <w:basedOn w:val="DefaultParagraphFont"/>
    <w:rsid w:val="00D61DD5"/>
  </w:style>
  <w:style w:type="character" w:customStyle="1" w:styleId="citation-263">
    <w:name w:val="citation-263"/>
    <w:basedOn w:val="DefaultParagraphFont"/>
    <w:rsid w:val="00D61DD5"/>
  </w:style>
  <w:style w:type="character" w:customStyle="1" w:styleId="citation-262">
    <w:name w:val="citation-262"/>
    <w:basedOn w:val="DefaultParagraphFont"/>
    <w:rsid w:val="00D61DD5"/>
  </w:style>
  <w:style w:type="character" w:customStyle="1" w:styleId="citation-261">
    <w:name w:val="citation-261"/>
    <w:basedOn w:val="DefaultParagraphFont"/>
    <w:rsid w:val="00D61DD5"/>
  </w:style>
  <w:style w:type="character" w:customStyle="1" w:styleId="citation-377">
    <w:name w:val="citation-377"/>
    <w:basedOn w:val="DefaultParagraphFont"/>
    <w:rsid w:val="0049547D"/>
  </w:style>
  <w:style w:type="character" w:customStyle="1" w:styleId="citation-376">
    <w:name w:val="citation-376"/>
    <w:basedOn w:val="DefaultParagraphFont"/>
    <w:rsid w:val="0049547D"/>
  </w:style>
  <w:style w:type="character" w:customStyle="1" w:styleId="citation-375">
    <w:name w:val="citation-375"/>
    <w:basedOn w:val="DefaultParagraphFont"/>
    <w:rsid w:val="0049547D"/>
  </w:style>
  <w:style w:type="character" w:customStyle="1" w:styleId="citation-374">
    <w:name w:val="citation-374"/>
    <w:basedOn w:val="DefaultParagraphFont"/>
    <w:rsid w:val="0049547D"/>
  </w:style>
  <w:style w:type="character" w:customStyle="1" w:styleId="citation-364">
    <w:name w:val="citation-364"/>
    <w:basedOn w:val="DefaultParagraphFont"/>
    <w:rsid w:val="00552FCC"/>
  </w:style>
  <w:style w:type="character" w:customStyle="1" w:styleId="citation-363">
    <w:name w:val="citation-363"/>
    <w:basedOn w:val="DefaultParagraphFont"/>
    <w:rsid w:val="00552FCC"/>
  </w:style>
  <w:style w:type="character" w:customStyle="1" w:styleId="citation-362">
    <w:name w:val="citation-362"/>
    <w:basedOn w:val="DefaultParagraphFont"/>
    <w:rsid w:val="00552FCC"/>
  </w:style>
  <w:style w:type="character" w:customStyle="1" w:styleId="citation-361">
    <w:name w:val="citation-361"/>
    <w:basedOn w:val="DefaultParagraphFont"/>
    <w:rsid w:val="00552FCC"/>
  </w:style>
  <w:style w:type="character" w:customStyle="1" w:styleId="citation-360">
    <w:name w:val="citation-360"/>
    <w:basedOn w:val="DefaultParagraphFont"/>
    <w:rsid w:val="00552FCC"/>
  </w:style>
  <w:style w:type="character" w:customStyle="1" w:styleId="Heading2Char">
    <w:name w:val="Heading 2 Char"/>
    <w:basedOn w:val="DefaultParagraphFont"/>
    <w:link w:val="Heading2"/>
    <w:uiPriority w:val="9"/>
    <w:rsid w:val="005726D9"/>
    <w:rPr>
      <w:b/>
      <w:bCs/>
      <w:sz w:val="36"/>
      <w:szCs w:val="36"/>
    </w:rPr>
  </w:style>
  <w:style w:type="paragraph" w:styleId="Header">
    <w:name w:val="header"/>
    <w:basedOn w:val="Normal"/>
    <w:link w:val="HeaderChar"/>
    <w:uiPriority w:val="99"/>
    <w:unhideWhenUsed/>
    <w:rsid w:val="00605FCA"/>
    <w:pPr>
      <w:tabs>
        <w:tab w:val="center" w:pos="4513"/>
        <w:tab w:val="right" w:pos="9026"/>
      </w:tabs>
    </w:pPr>
  </w:style>
  <w:style w:type="character" w:customStyle="1" w:styleId="HeaderChar">
    <w:name w:val="Header Char"/>
    <w:basedOn w:val="DefaultParagraphFont"/>
    <w:link w:val="Header"/>
    <w:uiPriority w:val="99"/>
    <w:rsid w:val="00605FCA"/>
  </w:style>
  <w:style w:type="paragraph" w:styleId="Footer">
    <w:name w:val="footer"/>
    <w:basedOn w:val="Normal"/>
    <w:link w:val="FooterChar"/>
    <w:uiPriority w:val="99"/>
    <w:unhideWhenUsed/>
    <w:rsid w:val="00605FCA"/>
    <w:pPr>
      <w:tabs>
        <w:tab w:val="center" w:pos="4513"/>
        <w:tab w:val="right" w:pos="9026"/>
      </w:tabs>
    </w:pPr>
  </w:style>
  <w:style w:type="character" w:customStyle="1" w:styleId="FooterChar">
    <w:name w:val="Footer Char"/>
    <w:basedOn w:val="DefaultParagraphFont"/>
    <w:link w:val="Footer"/>
    <w:uiPriority w:val="99"/>
    <w:rsid w:val="00605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034657">
      <w:bodyDiv w:val="1"/>
      <w:marLeft w:val="0"/>
      <w:marRight w:val="0"/>
      <w:marTop w:val="0"/>
      <w:marBottom w:val="0"/>
      <w:divBdr>
        <w:top w:val="none" w:sz="0" w:space="0" w:color="auto"/>
        <w:left w:val="none" w:sz="0" w:space="0" w:color="auto"/>
        <w:bottom w:val="none" w:sz="0" w:space="0" w:color="auto"/>
        <w:right w:val="none" w:sz="0" w:space="0" w:color="auto"/>
      </w:divBdr>
    </w:div>
    <w:div w:id="131139498">
      <w:bodyDiv w:val="1"/>
      <w:marLeft w:val="0"/>
      <w:marRight w:val="0"/>
      <w:marTop w:val="0"/>
      <w:marBottom w:val="0"/>
      <w:divBdr>
        <w:top w:val="none" w:sz="0" w:space="0" w:color="auto"/>
        <w:left w:val="none" w:sz="0" w:space="0" w:color="auto"/>
        <w:bottom w:val="none" w:sz="0" w:space="0" w:color="auto"/>
        <w:right w:val="none" w:sz="0" w:space="0" w:color="auto"/>
      </w:divBdr>
    </w:div>
    <w:div w:id="255677893">
      <w:bodyDiv w:val="1"/>
      <w:marLeft w:val="0"/>
      <w:marRight w:val="0"/>
      <w:marTop w:val="0"/>
      <w:marBottom w:val="0"/>
      <w:divBdr>
        <w:top w:val="none" w:sz="0" w:space="0" w:color="auto"/>
        <w:left w:val="none" w:sz="0" w:space="0" w:color="auto"/>
        <w:bottom w:val="none" w:sz="0" w:space="0" w:color="auto"/>
        <w:right w:val="none" w:sz="0" w:space="0" w:color="auto"/>
      </w:divBdr>
    </w:div>
    <w:div w:id="452988895">
      <w:bodyDiv w:val="1"/>
      <w:marLeft w:val="0"/>
      <w:marRight w:val="0"/>
      <w:marTop w:val="0"/>
      <w:marBottom w:val="0"/>
      <w:divBdr>
        <w:top w:val="none" w:sz="0" w:space="0" w:color="auto"/>
        <w:left w:val="none" w:sz="0" w:space="0" w:color="auto"/>
        <w:bottom w:val="none" w:sz="0" w:space="0" w:color="auto"/>
        <w:right w:val="none" w:sz="0" w:space="0" w:color="auto"/>
      </w:divBdr>
    </w:div>
    <w:div w:id="465317238">
      <w:bodyDiv w:val="1"/>
      <w:marLeft w:val="0"/>
      <w:marRight w:val="0"/>
      <w:marTop w:val="0"/>
      <w:marBottom w:val="0"/>
      <w:divBdr>
        <w:top w:val="none" w:sz="0" w:space="0" w:color="auto"/>
        <w:left w:val="none" w:sz="0" w:space="0" w:color="auto"/>
        <w:bottom w:val="none" w:sz="0" w:space="0" w:color="auto"/>
        <w:right w:val="none" w:sz="0" w:space="0" w:color="auto"/>
      </w:divBdr>
    </w:div>
    <w:div w:id="1076591396">
      <w:bodyDiv w:val="1"/>
      <w:marLeft w:val="0"/>
      <w:marRight w:val="0"/>
      <w:marTop w:val="0"/>
      <w:marBottom w:val="0"/>
      <w:divBdr>
        <w:top w:val="none" w:sz="0" w:space="0" w:color="auto"/>
        <w:left w:val="none" w:sz="0" w:space="0" w:color="auto"/>
        <w:bottom w:val="none" w:sz="0" w:space="0" w:color="auto"/>
        <w:right w:val="none" w:sz="0" w:space="0" w:color="auto"/>
      </w:divBdr>
    </w:div>
    <w:div w:id="1334260124">
      <w:bodyDiv w:val="1"/>
      <w:marLeft w:val="0"/>
      <w:marRight w:val="0"/>
      <w:marTop w:val="0"/>
      <w:marBottom w:val="0"/>
      <w:divBdr>
        <w:top w:val="none" w:sz="0" w:space="0" w:color="auto"/>
        <w:left w:val="none" w:sz="0" w:space="0" w:color="auto"/>
        <w:bottom w:val="none" w:sz="0" w:space="0" w:color="auto"/>
        <w:right w:val="none" w:sz="0" w:space="0" w:color="auto"/>
      </w:divBdr>
    </w:div>
    <w:div w:id="1501431856">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1BE1D-8F9E-41A0-A929-B99019A79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Ferdoushi Rahman Monju (2430137)</dc:creator>
  <cp:lastModifiedBy>Ferdoushi Rahman Monju (2430137)</cp:lastModifiedBy>
  <cp:revision>54</cp:revision>
  <dcterms:created xsi:type="dcterms:W3CDTF">2026-07-22T22:17:00Z</dcterms:created>
  <dcterms:modified xsi:type="dcterms:W3CDTF">2026-07-30T20:51:00Z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f260e3e7-e348-467c-9416-f852a661f5d9</vt:lpwstr>
  </property>
</Properties>
</file>