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450" w:rsidRDefault="00433450" w:rsidP="00433450">
      <w:pPr>
        <w:spacing w:line="240" w:lineRule="auto"/>
        <w:contextualSpacing/>
      </w:pPr>
      <w:r>
        <w:t>Screening the Past</w:t>
      </w:r>
    </w:p>
    <w:p w:rsidR="00433450" w:rsidRDefault="00433450" w:rsidP="00433450">
      <w:pPr>
        <w:spacing w:line="240" w:lineRule="auto"/>
        <w:contextualSpacing/>
      </w:pPr>
      <w:proofErr w:type="spellStart"/>
      <w:r>
        <w:t>Mangal</w:t>
      </w:r>
      <w:proofErr w:type="spellEnd"/>
      <w:r>
        <w:t xml:space="preserve"> Pandey</w:t>
      </w:r>
    </w:p>
    <w:p w:rsidR="00433450" w:rsidRDefault="00433450" w:rsidP="00433450">
      <w:pPr>
        <w:spacing w:line="240" w:lineRule="auto"/>
        <w:contextualSpacing/>
      </w:pPr>
      <w:r>
        <w:t>Carter Reid Henley</w:t>
      </w:r>
    </w:p>
    <w:p w:rsidR="00433450" w:rsidRDefault="00433450" w:rsidP="00433450">
      <w:pPr>
        <w:spacing w:line="240" w:lineRule="auto"/>
        <w:contextualSpacing/>
      </w:pPr>
      <w:r>
        <w:t>December 15, 2020</w:t>
      </w:r>
    </w:p>
    <w:p w:rsidR="00433450" w:rsidRDefault="00433450" w:rsidP="00433450">
      <w:pPr>
        <w:ind w:firstLine="720"/>
      </w:pPr>
    </w:p>
    <w:p w:rsidR="00FF1A30" w:rsidRPr="00FF1A30" w:rsidRDefault="00FF1A30" w:rsidP="00FF1A30">
      <w:pPr>
        <w:ind w:firstLine="720"/>
        <w:rPr>
          <w:i/>
        </w:rPr>
      </w:pPr>
      <w:r w:rsidRPr="00FF1A30">
        <w:rPr>
          <w:i/>
        </w:rPr>
        <w:t xml:space="preserve">History lives in the minds of those who lived it, and in the hearts of those who come after. </w:t>
      </w:r>
    </w:p>
    <w:p w:rsidR="00FF1A30" w:rsidRDefault="00451C87" w:rsidP="00433450">
      <w:pPr>
        <w:ind w:firstLine="720"/>
      </w:pPr>
      <w:r>
        <w:t xml:space="preserve">This film marries history and legend in a cohesive and empathetic narrative. Filled with bright colors and beautiful camera work, the audience is transported into another world. While the film portrays the events in a straightforward manner, the characters make the audience </w:t>
      </w:r>
      <w:r>
        <w:rPr>
          <w:i/>
        </w:rPr>
        <w:t>feel</w:t>
      </w:r>
      <w:r>
        <w:t xml:space="preserve"> that this is actually what happened – it is as if they wink at you at the end of each scene: letting you know that you are in on their secret. </w:t>
      </w:r>
    </w:p>
    <w:p w:rsidR="006F7FCE" w:rsidRDefault="00483116" w:rsidP="00433450">
      <w:pPr>
        <w:ind w:firstLine="720"/>
      </w:pPr>
      <w:r>
        <w:t xml:space="preserve">The film’s objective is to merge history and “proud folklore” in order to string together a cohesive narrative which propagates a legend. </w:t>
      </w:r>
      <w:r>
        <w:rPr>
          <w:rStyle w:val="FootnoteReference"/>
        </w:rPr>
        <w:footnoteReference w:id="1"/>
      </w:r>
      <w:r>
        <w:t xml:space="preserve"> By integrating both history and legend, the film is able to follow a narrative which is both believable but also seemingly very distant. </w:t>
      </w:r>
      <w:r w:rsidR="00980780">
        <w:t xml:space="preserve">The scene of a Colonial superpower holding the fort on foreign soil is set by the camera panning over the river running adjacent to West Bengal, and then to an elephant adorned with jewels and colorful fabric. The juxtaposition between economics and culture in the opening scene is evident. The audience is immediately made aware of the power of the West through the voice over. The year is 1857 and the British East India Company is the most powerful commercial business in the world. Not only is it an incredibly successful trading company, but it has its own military. In addition, nearly one fifth of the world’s population works for or is subject to the company in one form or another. </w:t>
      </w:r>
      <w:r w:rsidR="00980780">
        <w:rPr>
          <w:rStyle w:val="FootnoteReference"/>
        </w:rPr>
        <w:footnoteReference w:id="2"/>
      </w:r>
      <w:r w:rsidR="00980780">
        <w:t xml:space="preserve"> The sense of foreboding is made more powerful when the film’s protagonist appears on screen. He is shown as a young, dirty man with deep-set eyes and a stoic appearance. </w:t>
      </w:r>
      <w:proofErr w:type="spellStart"/>
      <w:r w:rsidR="00980780">
        <w:t>Mangal’s</w:t>
      </w:r>
      <w:proofErr w:type="spellEnd"/>
      <w:r w:rsidR="00980780">
        <w:t xml:space="preserve"> figure is starkly different than the soldiers who stand around him. He is a brown face in a sea of clean uniforms and white faces. Not only is his physical appearance drastically different, but he is standing on a small pedestal with a hangman’s noose; thus drawing a very clear line between </w:t>
      </w:r>
      <w:proofErr w:type="spellStart"/>
      <w:r w:rsidR="00980780">
        <w:t>Mangal</w:t>
      </w:r>
      <w:proofErr w:type="spellEnd"/>
      <w:r w:rsidR="00980780">
        <w:t xml:space="preserve"> and the Colonial soldiers. He is introduced as a criminal, a man who is wild and fearsome: the other. </w:t>
      </w:r>
      <w:r w:rsidR="008C092C">
        <w:t>As the scene begins to fade, t</w:t>
      </w:r>
      <w:r w:rsidR="00980780">
        <w:t xml:space="preserve">he fate of this young prisoner is </w:t>
      </w:r>
      <w:r w:rsidR="008C092C">
        <w:t>foreshadowed by the white officer who states, “The earth will be scorched, and rivers will flow with blood.”</w:t>
      </w:r>
      <w:r w:rsidR="008C092C">
        <w:rPr>
          <w:rStyle w:val="FootnoteReference"/>
        </w:rPr>
        <w:footnoteReference w:id="3"/>
      </w:r>
    </w:p>
    <w:p w:rsidR="008C092C" w:rsidRDefault="008C092C">
      <w:r>
        <w:tab/>
        <w:t xml:space="preserve">While the film focuses on the exploitation of foreign workers and resources for the benefit of the British, the film also downplays </w:t>
      </w:r>
      <w:proofErr w:type="spellStart"/>
      <w:r>
        <w:t>Mangal’s</w:t>
      </w:r>
      <w:proofErr w:type="spellEnd"/>
      <w:r>
        <w:t xml:space="preserve"> role in the rebellion against the British East India Company.</w:t>
      </w:r>
      <w:r w:rsidR="006A3481">
        <w:t xml:space="preserve"> </w:t>
      </w:r>
      <w:r w:rsidR="006A3481">
        <w:rPr>
          <w:rStyle w:val="FootnoteReference"/>
        </w:rPr>
        <w:footnoteReference w:id="4"/>
      </w:r>
      <w:r w:rsidR="00433450">
        <w:t xml:space="preserve"> Often called the “first Indian War of Independence”, the rebellion of Indian soldiers against this global superpower was the first of its kind. Despite the bleak outlook for the protagonist in the opening scene,</w:t>
      </w:r>
      <w:r>
        <w:t xml:space="preserve"> </w:t>
      </w:r>
      <w:proofErr w:type="spellStart"/>
      <w:r>
        <w:t>Mangal’s</w:t>
      </w:r>
      <w:proofErr w:type="spellEnd"/>
      <w:r>
        <w:t xml:space="preserve"> character is portrayed as a “good guy”</w:t>
      </w:r>
      <w:r w:rsidR="00433450">
        <w:t xml:space="preserve"> and quite amiable as the film progresses. </w:t>
      </w:r>
      <w:r w:rsidR="00A47428">
        <w:t xml:space="preserve">The contrast between the British and the Indian soldiers is an important aspect of the film. Without ‘othering’ the native culture and people, the film would fail at its objective: Colonial power had to and needed to be addressed because of its lack of respect for native peoples. While William, the British East Indian captain, has a connection with William – born out of shared trauma – he cannot help the fact that he and </w:t>
      </w:r>
      <w:proofErr w:type="spellStart"/>
      <w:r w:rsidR="00A47428">
        <w:t>Mangal</w:t>
      </w:r>
      <w:proofErr w:type="spellEnd"/>
      <w:r w:rsidR="00A47428">
        <w:t xml:space="preserve"> will never be equal. In addition to the differences between the Western and Eastern </w:t>
      </w:r>
      <w:r w:rsidR="00A47428">
        <w:lastRenderedPageBreak/>
        <w:t xml:space="preserve">soldiers, India’s caste system further separates members of the company from one another, as well as the general society around them. </w:t>
      </w:r>
    </w:p>
    <w:p w:rsidR="00FF1A30" w:rsidRDefault="00FF1A30"/>
    <w:p w:rsidR="00FF1A30" w:rsidRDefault="00FF1A30"/>
    <w:p w:rsidR="00FF1A30" w:rsidRPr="00FF1A30" w:rsidRDefault="00FF1A30">
      <w:pPr>
        <w:rPr>
          <w:b/>
        </w:rPr>
      </w:pPr>
      <w:r w:rsidRPr="00FF1A30">
        <w:rPr>
          <w:b/>
        </w:rPr>
        <w:t>Bibliography</w:t>
      </w:r>
    </w:p>
    <w:p w:rsidR="00FF1A30" w:rsidRDefault="00FF1A30">
      <w:bookmarkStart w:id="0" w:name="_GoBack"/>
      <w:bookmarkEnd w:id="0"/>
    </w:p>
    <w:p w:rsidR="00FF1A30" w:rsidRPr="00FF1A30" w:rsidRDefault="00FF1A30">
      <w:pPr>
        <w:rPr>
          <w:b/>
        </w:rPr>
      </w:pPr>
      <w:r>
        <w:rPr>
          <w:b/>
        </w:rPr>
        <w:t>Journal articles</w:t>
      </w:r>
    </w:p>
    <w:p w:rsidR="00FF1A30" w:rsidRDefault="00FF1A30">
      <w:r>
        <w:t xml:space="preserve">Rain, A. “The Rising: A Ballad of </w:t>
      </w:r>
      <w:proofErr w:type="spellStart"/>
      <w:r>
        <w:t>Magal</w:t>
      </w:r>
      <w:proofErr w:type="spellEnd"/>
      <w:r>
        <w:t xml:space="preserve"> Pandey: - Narrating the Nation? 2007, pp. 1-4.</w:t>
      </w:r>
    </w:p>
    <w:p w:rsidR="00FF1A30" w:rsidRPr="00FF1A30" w:rsidRDefault="00FF1A30">
      <w:pPr>
        <w:rPr>
          <w:b/>
        </w:rPr>
      </w:pPr>
    </w:p>
    <w:p w:rsidR="00FF1A30" w:rsidRPr="00FF1A30" w:rsidRDefault="00FF1A30">
      <w:r w:rsidRPr="00FF1A30">
        <w:rPr>
          <w:b/>
        </w:rPr>
        <w:t>Books</w:t>
      </w:r>
    </w:p>
    <w:p w:rsidR="00FF1A30" w:rsidRPr="00FF1A30" w:rsidRDefault="00FF1A30">
      <w:proofErr w:type="spellStart"/>
      <w:r>
        <w:t>Wolpart</w:t>
      </w:r>
      <w:proofErr w:type="spellEnd"/>
      <w:r>
        <w:t xml:space="preserve">, S. </w:t>
      </w:r>
      <w:r>
        <w:rPr>
          <w:i/>
        </w:rPr>
        <w:t xml:space="preserve">A New History of India. </w:t>
      </w:r>
      <w:r>
        <w:t xml:space="preserve">Oxford: Oxford University Press. </w:t>
      </w:r>
    </w:p>
    <w:sectPr w:rsidR="00FF1A30" w:rsidRPr="00FF1A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070" w:rsidRDefault="00C72070" w:rsidP="00483116">
      <w:pPr>
        <w:spacing w:after="0" w:line="240" w:lineRule="auto"/>
      </w:pPr>
      <w:r>
        <w:separator/>
      </w:r>
    </w:p>
  </w:endnote>
  <w:endnote w:type="continuationSeparator" w:id="0">
    <w:p w:rsidR="00C72070" w:rsidRDefault="00C72070" w:rsidP="00483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070" w:rsidRDefault="00C72070" w:rsidP="00483116">
      <w:pPr>
        <w:spacing w:after="0" w:line="240" w:lineRule="auto"/>
      </w:pPr>
      <w:r>
        <w:separator/>
      </w:r>
    </w:p>
  </w:footnote>
  <w:footnote w:type="continuationSeparator" w:id="0">
    <w:p w:rsidR="00C72070" w:rsidRDefault="00C72070" w:rsidP="00483116">
      <w:pPr>
        <w:spacing w:after="0" w:line="240" w:lineRule="auto"/>
      </w:pPr>
      <w:r>
        <w:continuationSeparator/>
      </w:r>
    </w:p>
  </w:footnote>
  <w:footnote w:id="1">
    <w:p w:rsidR="00483116" w:rsidRPr="008C092C" w:rsidRDefault="00483116">
      <w:pPr>
        <w:pStyle w:val="FootnoteText"/>
      </w:pPr>
      <w:r>
        <w:rPr>
          <w:rStyle w:val="FootnoteReference"/>
        </w:rPr>
        <w:footnoteRef/>
      </w:r>
      <w:r w:rsidR="008C092C">
        <w:t xml:space="preserve"> </w:t>
      </w:r>
      <w:proofErr w:type="spellStart"/>
      <w:r w:rsidR="008C092C">
        <w:t>Wolport</w:t>
      </w:r>
      <w:proofErr w:type="spellEnd"/>
      <w:r w:rsidR="008C092C">
        <w:t xml:space="preserve">, S. </w:t>
      </w:r>
      <w:r w:rsidR="008C092C">
        <w:rPr>
          <w:i/>
        </w:rPr>
        <w:t xml:space="preserve">A New History of India. </w:t>
      </w:r>
      <w:r w:rsidR="008C092C">
        <w:t>Oxford: Oxford University Press.</w:t>
      </w:r>
    </w:p>
  </w:footnote>
  <w:footnote w:id="2">
    <w:p w:rsidR="00980780" w:rsidRPr="00980780" w:rsidRDefault="00980780">
      <w:pPr>
        <w:pStyle w:val="FootnoteText"/>
      </w:pPr>
      <w:r>
        <w:rPr>
          <w:rStyle w:val="FootnoteReference"/>
        </w:rPr>
        <w:footnoteRef/>
      </w:r>
      <w:r>
        <w:t xml:space="preserve"> </w:t>
      </w:r>
      <w:proofErr w:type="spellStart"/>
      <w:r>
        <w:rPr>
          <w:i/>
        </w:rPr>
        <w:t>Mangal</w:t>
      </w:r>
      <w:proofErr w:type="spellEnd"/>
      <w:r>
        <w:rPr>
          <w:i/>
        </w:rPr>
        <w:t xml:space="preserve"> Pandey</w:t>
      </w:r>
      <w:r w:rsidR="006A3481">
        <w:t xml:space="preserve">, 2005, 00:01:18. </w:t>
      </w:r>
    </w:p>
  </w:footnote>
  <w:footnote w:id="3">
    <w:p w:rsidR="008C092C" w:rsidRDefault="008C092C">
      <w:pPr>
        <w:pStyle w:val="FootnoteText"/>
      </w:pPr>
      <w:r>
        <w:rPr>
          <w:rStyle w:val="FootnoteReference"/>
        </w:rPr>
        <w:footnoteRef/>
      </w:r>
      <w:r w:rsidR="006A3481">
        <w:t xml:space="preserve"> Ibid, 00:02:50</w:t>
      </w:r>
    </w:p>
  </w:footnote>
  <w:footnote w:id="4">
    <w:p w:rsidR="006A3481" w:rsidRDefault="006A3481">
      <w:pPr>
        <w:pStyle w:val="FootnoteText"/>
      </w:pPr>
      <w:r>
        <w:rPr>
          <w:rStyle w:val="FootnoteReference"/>
        </w:rPr>
        <w:footnoteRef/>
      </w:r>
      <w:r>
        <w:t xml:space="preserve"> Rain, A. “The Rising: A Ballad of Manga Pandey” – Narrating the Nation? 2007, pp. 1-4.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116"/>
    <w:rsid w:val="00433450"/>
    <w:rsid w:val="00451C87"/>
    <w:rsid w:val="00483116"/>
    <w:rsid w:val="006A3481"/>
    <w:rsid w:val="006F7FCE"/>
    <w:rsid w:val="008C092C"/>
    <w:rsid w:val="00980780"/>
    <w:rsid w:val="00A47428"/>
    <w:rsid w:val="00C72070"/>
    <w:rsid w:val="00FF1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0C04B5-6053-419C-8D89-69836E49E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831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3116"/>
    <w:rPr>
      <w:sz w:val="20"/>
      <w:szCs w:val="20"/>
    </w:rPr>
  </w:style>
  <w:style w:type="character" w:styleId="FootnoteReference">
    <w:name w:val="footnote reference"/>
    <w:basedOn w:val="DefaultParagraphFont"/>
    <w:uiPriority w:val="99"/>
    <w:semiHidden/>
    <w:unhideWhenUsed/>
    <w:rsid w:val="004831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E3ED9-F412-4EB5-9D3E-165778F52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547</Words>
  <Characters>3122</Characters>
  <Application>Microsoft Office Word</Application>
  <DocSecurity>0</DocSecurity>
  <Lines>26</Lines>
  <Paragraphs>7</Paragraphs>
  <ScaleCrop>false</ScaleCrop>
  <Company/>
  <LinksUpToDate>false</LinksUpToDate>
  <CharactersWithSpaces>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Henley</dc:creator>
  <cp:keywords/>
  <dc:description/>
  <cp:lastModifiedBy>Carter Henley</cp:lastModifiedBy>
  <cp:revision>8</cp:revision>
  <dcterms:created xsi:type="dcterms:W3CDTF">2020-12-20T21:29:00Z</dcterms:created>
  <dcterms:modified xsi:type="dcterms:W3CDTF">2020-12-20T22:32:00Z</dcterms:modified>
</cp:coreProperties>
</file>