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Calibri" w:cs="Calibri" w:eastAsia="Calibri" w:hAnsi="Calibri"/>
          <w:i w:val="1"/>
          <w:u w:val="single"/>
        </w:rPr>
      </w:pPr>
      <w:r w:rsidDel="00000000" w:rsidR="00000000" w:rsidRPr="00000000">
        <w:rPr>
          <w:rFonts w:ascii="Calibri" w:cs="Calibri" w:eastAsia="Calibri" w:hAnsi="Calibri"/>
          <w:i w:val="1"/>
          <w:u w:val="single"/>
          <w:rtl w:val="0"/>
        </w:rPr>
        <w:t xml:space="preserve">What is the position of the bride in the marital relationship according to the classical sources?</w:t>
      </w:r>
    </w:p>
    <w:p w:rsidR="00000000" w:rsidDel="00000000" w:rsidP="00000000" w:rsidRDefault="00000000" w:rsidRPr="00000000" w14:paraId="00000001">
      <w:pPr>
        <w:contextualSpacing w:val="0"/>
        <w:rPr>
          <w:rFonts w:ascii="Calibri" w:cs="Calibri" w:eastAsia="Calibri" w:hAnsi="Calibri"/>
        </w:rPr>
      </w:pPr>
      <w:r w:rsidDel="00000000" w:rsidR="00000000" w:rsidRPr="00000000">
        <w:rPr>
          <w:rFonts w:ascii="Calibri" w:cs="Calibri" w:eastAsia="Calibri" w:hAnsi="Calibri"/>
          <w:rtl w:val="0"/>
        </w:rPr>
        <w:t xml:space="preserve">The bride in the marital relationship was always second to her husband and couldn’t act outside of what was allowed by her spouse who, like the bride’s father, acted as her </w:t>
      </w:r>
      <w:r w:rsidDel="00000000" w:rsidR="00000000" w:rsidRPr="00000000">
        <w:rPr>
          <w:rFonts w:ascii="Calibri" w:cs="Calibri" w:eastAsia="Calibri" w:hAnsi="Calibri"/>
          <w:i w:val="1"/>
          <w:rtl w:val="0"/>
        </w:rPr>
        <w:t xml:space="preserve">kyrios</w:t>
      </w:r>
      <w:r w:rsidDel="00000000" w:rsidR="00000000" w:rsidRPr="00000000">
        <w:rPr>
          <w:rFonts w:ascii="Calibri" w:cs="Calibri" w:eastAsia="Calibri" w:hAnsi="Calibri"/>
          <w:rtl w:val="0"/>
        </w:rPr>
        <w:t xml:space="preserve">, and controlled almost every aspect of her life; this is seen in Lysias’ </w:t>
      </w:r>
      <w:r w:rsidDel="00000000" w:rsidR="00000000" w:rsidRPr="00000000">
        <w:rPr>
          <w:rFonts w:ascii="Calibri" w:cs="Calibri" w:eastAsia="Calibri" w:hAnsi="Calibri"/>
          <w:i w:val="1"/>
          <w:rtl w:val="0"/>
        </w:rPr>
        <w:t xml:space="preserve">On the Murder of Eratosthenes</w:t>
      </w:r>
      <w:r w:rsidDel="00000000" w:rsidR="00000000" w:rsidRPr="00000000">
        <w:rPr>
          <w:rFonts w:ascii="Calibri" w:cs="Calibri" w:eastAsia="Calibri" w:hAnsi="Calibri"/>
          <w:rtl w:val="0"/>
        </w:rPr>
        <w:t xml:space="preserve"> where he explains that he kept a watch on her (Lys. 1 6)</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as befitting a husband, as well as in Aristotles’ </w:t>
      </w:r>
      <w:r w:rsidDel="00000000" w:rsidR="00000000" w:rsidRPr="00000000">
        <w:rPr>
          <w:rFonts w:ascii="Calibri" w:cs="Calibri" w:eastAsia="Calibri" w:hAnsi="Calibri"/>
          <w:i w:val="1"/>
          <w:rtl w:val="0"/>
        </w:rPr>
        <w:t xml:space="preserve">Politics</w:t>
      </w:r>
      <w:r w:rsidDel="00000000" w:rsidR="00000000" w:rsidRPr="00000000">
        <w:rPr>
          <w:rFonts w:ascii="Calibri" w:cs="Calibri" w:eastAsia="Calibri" w:hAnsi="Calibri"/>
          <w:rtl w:val="0"/>
        </w:rPr>
        <w:t xml:space="preserve"> where he explains the science of the household (pg 59)</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and that due to it a man had power over both his wife and children.</w:t>
      </w:r>
    </w:p>
    <w:p w:rsidR="00000000" w:rsidDel="00000000" w:rsidP="00000000" w:rsidRDefault="00000000" w:rsidRPr="00000000" w14:paraId="00000002">
      <w:pPr>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03">
      <w:pPr>
        <w:contextualSpacing w:val="0"/>
        <w:rPr>
          <w:rFonts w:ascii="Calibri" w:cs="Calibri" w:eastAsia="Calibri" w:hAnsi="Calibri"/>
        </w:rPr>
      </w:pPr>
      <w:r w:rsidDel="00000000" w:rsidR="00000000" w:rsidRPr="00000000">
        <w:rPr>
          <w:rFonts w:ascii="Calibri" w:cs="Calibri" w:eastAsia="Calibri" w:hAnsi="Calibri"/>
          <w:rtl w:val="0"/>
        </w:rPr>
        <w:t xml:space="preserve">The bride was, for example, expected to provide legitimate children for her husband, both an heir and daughters to eventually betroth, as examined in Demosthenes’ </w:t>
      </w:r>
      <w:r w:rsidDel="00000000" w:rsidR="00000000" w:rsidRPr="00000000">
        <w:rPr>
          <w:rFonts w:ascii="Calibri" w:cs="Calibri" w:eastAsia="Calibri" w:hAnsi="Calibri"/>
          <w:i w:val="1"/>
          <w:rtl w:val="0"/>
        </w:rPr>
        <w:t xml:space="preserve">Against Neara</w:t>
      </w:r>
      <w:r w:rsidDel="00000000" w:rsidR="00000000" w:rsidRPr="00000000">
        <w:rPr>
          <w:rFonts w:ascii="Calibri" w:cs="Calibri" w:eastAsia="Calibri" w:hAnsi="Calibri"/>
          <w:rtl w:val="0"/>
        </w:rPr>
        <w:t xml:space="preserve">, where he explains a wife’s duty as being </w:t>
      </w:r>
      <w:r w:rsidDel="00000000" w:rsidR="00000000" w:rsidRPr="00000000">
        <w:rPr>
          <w:rFonts w:ascii="Calibri" w:cs="Calibri" w:eastAsia="Calibri" w:hAnsi="Calibri"/>
          <w:i w:val="1"/>
          <w:rtl w:val="0"/>
        </w:rPr>
        <w:t xml:space="preserve">“to bear us legitimate children and to be faithful guardians of our households.”</w:t>
      </w:r>
      <w:r w:rsidDel="00000000" w:rsidR="00000000" w:rsidRPr="00000000">
        <w:rPr>
          <w:rFonts w:ascii="Calibri" w:cs="Calibri" w:eastAsia="Calibri" w:hAnsi="Calibri"/>
          <w:rtl w:val="0"/>
        </w:rPr>
        <w:t xml:space="preserve"> (Dem. 59 122)</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Many of Xenophon’s works further explain a wife’s duty to her husband: the wife was, for example, expected to take on the majority of the burden of child-rearing (Memorabilia II, pg 117)</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 as it was believed that women were naturally better suited to it than men (Oeconomicus, pg 475)</w:t>
      </w:r>
      <w:r w:rsidDel="00000000" w:rsidR="00000000" w:rsidRPr="00000000">
        <w:rPr>
          <w:rFonts w:ascii="Calibri" w:cs="Calibri" w:eastAsia="Calibri" w:hAnsi="Calibri"/>
          <w:vertAlign w:val="superscript"/>
          <w:rtl w:val="0"/>
        </w:rPr>
        <w:t xml:space="preserve">4</w:t>
      </w:r>
      <w:r w:rsidDel="00000000" w:rsidR="00000000" w:rsidRPr="00000000">
        <w:rPr>
          <w:rFonts w:ascii="Calibri" w:cs="Calibri" w:eastAsia="Calibri" w:hAnsi="Calibri"/>
          <w:rtl w:val="0"/>
        </w:rPr>
        <w:t xml:space="preserve"> because of the way the gods created them to be more inclined towards the indoors (Oeconomicus, pg 449)</w:t>
      </w:r>
      <w:r w:rsidDel="00000000" w:rsidR="00000000" w:rsidRPr="00000000">
        <w:rPr>
          <w:rFonts w:ascii="Calibri" w:cs="Calibri" w:eastAsia="Calibri" w:hAnsi="Calibri"/>
          <w:vertAlign w:val="superscript"/>
          <w:rtl w:val="0"/>
        </w:rPr>
        <w:t xml:space="preserve">4</w:t>
      </w:r>
      <w:r w:rsidDel="00000000" w:rsidR="00000000" w:rsidRPr="00000000">
        <w:rPr>
          <w:rFonts w:ascii="Calibri" w:cs="Calibri" w:eastAsia="Calibri" w:hAnsi="Calibri"/>
          <w:rtl w:val="0"/>
        </w:rPr>
        <w:t xml:space="preserve">.</w:t>
      </w:r>
    </w:p>
    <w:p w:rsidR="00000000" w:rsidDel="00000000" w:rsidP="00000000" w:rsidRDefault="00000000" w:rsidRPr="00000000" w14:paraId="00000004">
      <w:pPr>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05">
      <w:pPr>
        <w:contextualSpacing w:val="0"/>
        <w:rPr>
          <w:rFonts w:ascii="Calibri" w:cs="Calibri" w:eastAsia="Calibri" w:hAnsi="Calibri"/>
        </w:rPr>
      </w:pPr>
      <w:r w:rsidDel="00000000" w:rsidR="00000000" w:rsidRPr="00000000">
        <w:rPr>
          <w:rFonts w:ascii="Calibri" w:cs="Calibri" w:eastAsia="Calibri" w:hAnsi="Calibri"/>
          <w:rtl w:val="0"/>
        </w:rPr>
        <w:t xml:space="preserve">Spouses also lived almost entirely segregated from one another in the household; this is seen in Lysias’ </w:t>
      </w:r>
      <w:r w:rsidDel="00000000" w:rsidR="00000000" w:rsidRPr="00000000">
        <w:rPr>
          <w:rFonts w:ascii="Calibri" w:cs="Calibri" w:eastAsia="Calibri" w:hAnsi="Calibri"/>
          <w:i w:val="1"/>
          <w:rtl w:val="0"/>
        </w:rPr>
        <w:t xml:space="preserve">On the Murder of Eratosthenes</w:t>
      </w:r>
      <w:r w:rsidDel="00000000" w:rsidR="00000000" w:rsidRPr="00000000">
        <w:rPr>
          <w:rFonts w:ascii="Calibri" w:cs="Calibri" w:eastAsia="Calibri" w:hAnsi="Calibri"/>
          <w:rtl w:val="0"/>
        </w:rPr>
        <w:t xml:space="preserve"> where he describes the living arrangements in his house, as the husband lived in quarters below the quarters of the women in household (Lys. 1 9)</w:t>
      </w:r>
      <w:r w:rsidDel="00000000" w:rsidR="00000000" w:rsidRPr="00000000">
        <w:rPr>
          <w:rFonts w:ascii="Calibri" w:cs="Calibri" w:eastAsia="Calibri" w:hAnsi="Calibri"/>
          <w:vertAlign w:val="superscript"/>
          <w:rtl w:val="0"/>
        </w:rPr>
        <w:t xml:space="preserve">1</w:t>
      </w:r>
      <w:r w:rsidDel="00000000" w:rsidR="00000000" w:rsidRPr="00000000">
        <w:rPr>
          <w:rFonts w:ascii="Calibri" w:cs="Calibri" w:eastAsia="Calibri" w:hAnsi="Calibri"/>
          <w:rtl w:val="0"/>
        </w:rPr>
        <w:t xml:space="preserve">. Wives also</w:t>
      </w:r>
      <w:r w:rsidDel="00000000" w:rsidR="00000000" w:rsidRPr="00000000">
        <w:rPr>
          <w:rFonts w:ascii="Calibri" w:cs="Calibri" w:eastAsia="Calibri" w:hAnsi="Calibri"/>
          <w:rtl w:val="0"/>
        </w:rPr>
        <w:t xml:space="preserve"> used to manage various domestic tasks - such as shopping, cloth manufacture, etc - or, in wealthier families, in the management of household staff and servants (Lys. 1 7)</w:t>
      </w:r>
      <w:r w:rsidDel="00000000" w:rsidR="00000000" w:rsidRPr="00000000">
        <w:rPr>
          <w:rFonts w:ascii="Calibri" w:cs="Calibri" w:eastAsia="Calibri" w:hAnsi="Calibri"/>
          <w:vertAlign w:val="superscript"/>
          <w:rtl w:val="0"/>
        </w:rPr>
        <w:t xml:space="preserve">1</w:t>
      </w:r>
      <w:r w:rsidDel="00000000" w:rsidR="00000000" w:rsidRPr="00000000">
        <w:rPr>
          <w:rFonts w:ascii="Calibri" w:cs="Calibri" w:eastAsia="Calibri" w:hAnsi="Calibri"/>
          <w:rtl w:val="0"/>
        </w:rPr>
        <w:t xml:space="preserve">, (Dem. 59 122)</w:t>
      </w:r>
      <w:r w:rsidDel="00000000" w:rsidR="00000000" w:rsidRPr="00000000">
        <w:rPr>
          <w:rFonts w:ascii="Calibri" w:cs="Calibri" w:eastAsia="Calibri" w:hAnsi="Calibri"/>
          <w:vertAlign w:val="superscript"/>
          <w:rtl w:val="0"/>
        </w:rPr>
        <w:t xml:space="preserve">3</w:t>
      </w:r>
      <w:r w:rsidDel="00000000" w:rsidR="00000000" w:rsidRPr="00000000">
        <w:rPr>
          <w:rFonts w:ascii="Calibri" w:cs="Calibri" w:eastAsia="Calibri" w:hAnsi="Calibri"/>
          <w:rtl w:val="0"/>
        </w:rPr>
        <w:t xml:space="preserve">, (Xenophon, Oeconomicus, pg 479)</w:t>
      </w:r>
      <w:r w:rsidDel="00000000" w:rsidR="00000000" w:rsidRPr="00000000">
        <w:rPr>
          <w:rFonts w:ascii="Calibri" w:cs="Calibri" w:eastAsia="Calibri" w:hAnsi="Calibri"/>
          <w:vertAlign w:val="superscript"/>
          <w:rtl w:val="0"/>
        </w:rPr>
        <w:t xml:space="preserve">4</w:t>
      </w:r>
      <w:r w:rsidDel="00000000" w:rsidR="00000000" w:rsidRPr="00000000">
        <w:rPr>
          <w:rFonts w:ascii="Calibri" w:cs="Calibri" w:eastAsia="Calibri" w:hAnsi="Calibri"/>
          <w:rtl w:val="0"/>
        </w:rPr>
        <w:t xml:space="preserve">, (Xenophon, Oeconomicus, pg 473)</w:t>
      </w:r>
      <w:r w:rsidDel="00000000" w:rsidR="00000000" w:rsidRPr="00000000">
        <w:rPr>
          <w:rFonts w:ascii="Calibri" w:cs="Calibri" w:eastAsia="Calibri" w:hAnsi="Calibri"/>
          <w:vertAlign w:val="superscript"/>
          <w:rtl w:val="0"/>
        </w:rPr>
        <w:t xml:space="preserve">4</w:t>
      </w:r>
      <w:r w:rsidDel="00000000" w:rsidR="00000000" w:rsidRPr="00000000">
        <w:rPr>
          <w:rFonts w:ascii="Calibri" w:cs="Calibri" w:eastAsia="Calibri" w:hAnsi="Calibri"/>
          <w:rtl w:val="0"/>
        </w:rPr>
        <w:t xml:space="preserve">.</w:t>
      </w:r>
    </w:p>
    <w:p w:rsidR="00000000" w:rsidDel="00000000" w:rsidP="00000000" w:rsidRDefault="00000000" w:rsidRPr="00000000" w14:paraId="00000006">
      <w:pPr>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07">
      <w:pPr>
        <w:contextualSpacing w:val="0"/>
        <w:rPr>
          <w:rFonts w:ascii="Calibri" w:cs="Calibri" w:eastAsia="Calibri" w:hAnsi="Calibri"/>
        </w:rPr>
      </w:pPr>
      <w:r w:rsidDel="00000000" w:rsidR="00000000" w:rsidRPr="00000000">
        <w:rPr>
          <w:rFonts w:ascii="Calibri" w:cs="Calibri" w:eastAsia="Calibri" w:hAnsi="Calibri"/>
          <w:rtl w:val="0"/>
        </w:rPr>
        <w:t xml:space="preserve">Further, despite it being common for their husbands to have concubines or mistresses, in some cases multiple, (Dem. 59 122)</w:t>
      </w:r>
      <w:r w:rsidDel="00000000" w:rsidR="00000000" w:rsidRPr="00000000">
        <w:rPr>
          <w:rFonts w:ascii="Calibri" w:cs="Calibri" w:eastAsia="Calibri" w:hAnsi="Calibri"/>
          <w:vertAlign w:val="superscript"/>
          <w:rtl w:val="0"/>
        </w:rPr>
        <w:t xml:space="preserve">3</w:t>
      </w:r>
      <w:r w:rsidDel="00000000" w:rsidR="00000000" w:rsidRPr="00000000">
        <w:rPr>
          <w:rFonts w:ascii="Calibri" w:cs="Calibri" w:eastAsia="Calibri" w:hAnsi="Calibri"/>
          <w:rtl w:val="0"/>
        </w:rPr>
        <w:t xml:space="preserve"> women were expected to remain to chaste and devoted to her husband (Xenophon, Cyropaedia, VI. pg 137)</w:t>
      </w:r>
      <w:r w:rsidDel="00000000" w:rsidR="00000000" w:rsidRPr="00000000">
        <w:rPr>
          <w:rFonts w:ascii="Calibri" w:cs="Calibri" w:eastAsia="Calibri" w:hAnsi="Calibri"/>
          <w:vertAlign w:val="superscript"/>
          <w:rtl w:val="0"/>
        </w:rPr>
        <w:t xml:space="preserve">5</w:t>
      </w:r>
      <w:r w:rsidDel="00000000" w:rsidR="00000000" w:rsidRPr="00000000">
        <w:rPr>
          <w:rFonts w:ascii="Calibri" w:cs="Calibri" w:eastAsia="Calibri" w:hAnsi="Calibri"/>
          <w:rtl w:val="0"/>
        </w:rPr>
        <w:t xml:space="preserve"> and was considered an adulteress if she allowed herself to be seduced by another man, with adultery considered a contemptible crime by the law (Xenophon, Cyropaedia, pg 11)</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For this crime, a woman recognised as an adulteress could face social and religious exclusion, as well as any sort of punishment so long as it was short of death, (Dem. 59 87)</w:t>
      </w:r>
      <w:r w:rsidDel="00000000" w:rsidR="00000000" w:rsidRPr="00000000">
        <w:rPr>
          <w:rFonts w:ascii="Calibri" w:cs="Calibri" w:eastAsia="Calibri" w:hAnsi="Calibri"/>
          <w:vertAlign w:val="superscript"/>
          <w:rtl w:val="0"/>
        </w:rPr>
        <w:t xml:space="preserve">3</w:t>
      </w:r>
      <w:r w:rsidDel="00000000" w:rsidR="00000000" w:rsidRPr="00000000">
        <w:rPr>
          <w:rFonts w:ascii="Calibri" w:cs="Calibri" w:eastAsia="Calibri" w:hAnsi="Calibri"/>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08">
      <w:pPr>
        <w:contextualSpacing w:val="0"/>
        <w:jc w:val="cente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Bibliography</w:t>
      </w:r>
    </w:p>
    <w:p w:rsidR="00000000" w:rsidDel="00000000" w:rsidP="00000000" w:rsidRDefault="00000000" w:rsidRPr="00000000" w14:paraId="00000009">
      <w:pPr>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0A">
      <w:pPr>
        <w:contextualSpacing w:val="0"/>
        <w:rPr>
          <w:rFonts w:ascii="Calibri" w:cs="Calibri" w:eastAsia="Calibri" w:hAnsi="Calibri"/>
        </w:rPr>
      </w:pPr>
      <w:r w:rsidDel="00000000" w:rsidR="00000000" w:rsidRPr="00000000">
        <w:rPr>
          <w:rFonts w:ascii="Calibri" w:cs="Calibri" w:eastAsia="Calibri" w:hAnsi="Calibri"/>
          <w:rtl w:val="0"/>
        </w:rPr>
        <w:t xml:space="preserve">Lysias 1 - On the Murder of Eratosthenes</w:t>
      </w:r>
    </w:p>
    <w:p w:rsidR="00000000" w:rsidDel="00000000" w:rsidP="00000000" w:rsidRDefault="00000000" w:rsidRPr="00000000" w14:paraId="0000000B">
      <w:pPr>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0C">
      <w:pPr>
        <w:spacing w:line="240" w:lineRule="auto"/>
        <w:contextualSpacing w:val="0"/>
        <w:rPr>
          <w:rFonts w:ascii="Calibri" w:cs="Calibri" w:eastAsia="Calibri" w:hAnsi="Calibri"/>
        </w:rPr>
      </w:pPr>
      <w:r w:rsidDel="00000000" w:rsidR="00000000" w:rsidRPr="00000000">
        <w:rPr>
          <w:rFonts w:ascii="Calibri" w:cs="Calibri" w:eastAsia="Calibri" w:hAnsi="Calibri"/>
          <w:rtl w:val="0"/>
        </w:rPr>
        <w:t xml:space="preserve">ARISTOTLE, &amp; RACKHAM, H. (2015). Politics. Cambridge, Mass, Harvard University Press.</w:t>
      </w:r>
    </w:p>
    <w:p w:rsidR="00000000" w:rsidDel="00000000" w:rsidP="00000000" w:rsidRDefault="00000000" w:rsidRPr="00000000" w14:paraId="0000000D">
      <w:pPr>
        <w:spacing w:line="240"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0E">
      <w:pPr>
        <w:contextualSpacing w:val="0"/>
        <w:rPr>
          <w:rFonts w:ascii="Calibri" w:cs="Calibri" w:eastAsia="Calibri" w:hAnsi="Calibri"/>
        </w:rPr>
      </w:pPr>
      <w:r w:rsidDel="00000000" w:rsidR="00000000" w:rsidRPr="00000000">
        <w:rPr>
          <w:rFonts w:ascii="Calibri" w:cs="Calibri" w:eastAsia="Calibri" w:hAnsi="Calibri"/>
          <w:rtl w:val="0"/>
        </w:rPr>
        <w:t xml:space="preserve">Demosthenes, Against Neaera</w:t>
      </w:r>
    </w:p>
    <w:p w:rsidR="00000000" w:rsidDel="00000000" w:rsidP="00000000" w:rsidRDefault="00000000" w:rsidRPr="00000000" w14:paraId="0000000F">
      <w:pPr>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10">
      <w:pPr>
        <w:contextualSpacing w:val="0"/>
        <w:rPr>
          <w:rFonts w:ascii="Calibri" w:cs="Calibri" w:eastAsia="Calibri" w:hAnsi="Calibri"/>
        </w:rPr>
      </w:pPr>
      <w:r w:rsidDel="00000000" w:rsidR="00000000" w:rsidRPr="00000000">
        <w:rPr>
          <w:rFonts w:ascii="Calibri" w:cs="Calibri" w:eastAsia="Calibri" w:hAnsi="Calibri"/>
          <w:rtl w:val="0"/>
        </w:rPr>
        <w:t xml:space="preserve">XENOPHON, A., MARCHANT, E. C., TODD, O. J., &amp; HENDERSON, J. (2013). Xenophon IV, IV. Xenophon. Cambridge, MA, Harvard University Press.</w:t>
      </w:r>
    </w:p>
    <w:p w:rsidR="00000000" w:rsidDel="00000000" w:rsidP="00000000" w:rsidRDefault="00000000" w:rsidRPr="00000000" w14:paraId="00000011">
      <w:pPr>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12">
      <w:pPr>
        <w:contextualSpacing w:val="0"/>
        <w:rPr>
          <w:rFonts w:ascii="Calibri" w:cs="Calibri" w:eastAsia="Calibri" w:hAnsi="Calibri"/>
        </w:rPr>
      </w:pPr>
      <w:r w:rsidDel="00000000" w:rsidR="00000000" w:rsidRPr="00000000">
        <w:rPr>
          <w:rFonts w:ascii="Calibri" w:cs="Calibri" w:eastAsia="Calibri" w:hAnsi="Calibri"/>
          <w:rtl w:val="0"/>
        </w:rPr>
        <w:t xml:space="preserve">XENOPHON, &amp; MILLER, W. (2014). Cyropaedian1. Cambridge, MA, Harvard University Press.</w:t>
      </w: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13">
      <w:pPr>
        <w:spacing w:line="240" w:lineRule="auto"/>
        <w:contextualSpacing w:val="0"/>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Demosthenes, Against Neaera</w:t>
      </w:r>
    </w:p>
  </w:footnote>
  <w:footnote w:id="0">
    <w:p w:rsidR="00000000" w:rsidDel="00000000" w:rsidP="00000000" w:rsidRDefault="00000000" w:rsidRPr="00000000" w14:paraId="00000014">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Lysias 1 - On the Murder of Eratosthenes</w:t>
      </w:r>
    </w:p>
  </w:footnote>
  <w:footnote w:id="1">
    <w:p w:rsidR="00000000" w:rsidDel="00000000" w:rsidP="00000000" w:rsidRDefault="00000000" w:rsidRPr="00000000" w14:paraId="00000015">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ARISTOTLE, &amp; RACKHAM, H. (2015). Politics. Cambridge, Mass, Harvard University Press.</w:t>
      </w:r>
    </w:p>
  </w:footnote>
  <w:footnote w:id="3">
    <w:p w:rsidR="00000000" w:rsidDel="00000000" w:rsidP="00000000" w:rsidRDefault="00000000" w:rsidRPr="00000000" w14:paraId="00000016">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XENOPHON, A., MARCHANT, E. C., TODD, O. J., &amp; HENDERSON, J. (2013). Xenophon IV, IV. Xenophon. Cambridge, MA, Harvard University Press.</w:t>
      </w:r>
    </w:p>
  </w:footnote>
  <w:footnote w:id="4">
    <w:p w:rsidR="00000000" w:rsidDel="00000000" w:rsidP="00000000" w:rsidRDefault="00000000" w:rsidRPr="00000000" w14:paraId="00000017">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XENOPHON, &amp; MILLER, W. (2014). Cyropaedian1. Cambridge, MA, Harvard University Press.</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