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rsidRPr="0059324A" w:rsidR="0059324A" w:rsidP="63FB6247" w:rsidRDefault="0059324A" w14:paraId="6F6C5F48" w14:textId="750CC89E">
      <w:pPr>
        <w:rPr>
          <w:b w:val="1"/>
          <w:bCs w:val="1"/>
          <w:u w:val="single"/>
        </w:rPr>
      </w:pPr>
      <w:r w:rsidRPr="63FB6247" w:rsidR="5AC99380">
        <w:rPr>
          <w:b w:val="1"/>
          <w:bCs w:val="1"/>
          <w:u w:val="single"/>
        </w:rPr>
        <w:t>Student Name: Sarah Doody</w:t>
      </w:r>
    </w:p>
    <w:p w:rsidRPr="0059324A" w:rsidR="0059324A" w:rsidP="63FB6247" w:rsidRDefault="0059324A" w14:paraId="1011D02C" w14:textId="620067FE">
      <w:pPr>
        <w:rPr>
          <w:b w:val="1"/>
          <w:bCs w:val="1"/>
          <w:u w:val="single"/>
        </w:rPr>
      </w:pPr>
      <w:r w:rsidRPr="63FB6247" w:rsidR="287F73F0">
        <w:rPr>
          <w:b w:val="1"/>
          <w:bCs w:val="1"/>
          <w:u w:val="single"/>
        </w:rPr>
        <w:t>Student Number:2407283</w:t>
      </w:r>
    </w:p>
    <w:p w:rsidRPr="0059324A" w:rsidR="0059324A" w:rsidP="63FB6247" w:rsidRDefault="0059324A" w14:paraId="700DA6F0" w14:textId="045D6865">
      <w:pPr>
        <w:rPr>
          <w:b w:val="1"/>
          <w:bCs w:val="1"/>
          <w:u w:val="single"/>
        </w:rPr>
      </w:pPr>
      <w:r w:rsidRPr="63FB6247" w:rsidR="5AC99380">
        <w:rPr>
          <w:b w:val="1"/>
          <w:bCs w:val="1"/>
          <w:u w:val="none"/>
        </w:rPr>
        <w:t>Module Code: BMHP5016</w:t>
      </w:r>
    </w:p>
    <w:p w:rsidRPr="0059324A" w:rsidR="0059324A" w:rsidP="63FB6247" w:rsidRDefault="0059324A" w14:paraId="53B25C45" w14:textId="15AED937">
      <w:pPr>
        <w:rPr>
          <w:b w:val="1"/>
          <w:bCs w:val="1"/>
          <w:u w:val="single"/>
        </w:rPr>
      </w:pPr>
      <w:r w:rsidRPr="63FB6247" w:rsidR="5AC99380">
        <w:rPr>
          <w:b w:val="1"/>
          <w:bCs w:val="1"/>
          <w:u w:val="single"/>
        </w:rPr>
        <w:t xml:space="preserve">Assignment Title: </w:t>
      </w:r>
      <w:r w:rsidRPr="63FB6247" w:rsidR="5AC99380">
        <w:rPr>
          <w:b w:val="1"/>
          <w:bCs w:val="1"/>
          <w:u w:val="single"/>
        </w:rPr>
        <w:t>Component</w:t>
      </w:r>
      <w:r w:rsidRPr="63FB6247" w:rsidR="5AC99380">
        <w:rPr>
          <w:b w:val="1"/>
          <w:bCs w:val="1"/>
          <w:u w:val="single"/>
        </w:rPr>
        <w:t xml:space="preserve"> 2 Written assignment re</w:t>
      </w:r>
      <w:r w:rsidRPr="63FB6247" w:rsidR="1FC8A575">
        <w:rPr>
          <w:b w:val="1"/>
          <w:bCs w:val="1"/>
          <w:u w:val="single"/>
        </w:rPr>
        <w:t>port</w:t>
      </w:r>
    </w:p>
    <w:p w:rsidRPr="0059324A" w:rsidR="0059324A" w:rsidP="63FB6247" w:rsidRDefault="0059324A" w14:paraId="6385935B" w14:textId="219CBEBD">
      <w:pPr>
        <w:rPr>
          <w:b w:val="1"/>
          <w:bCs w:val="1"/>
          <w:u w:val="single"/>
        </w:rPr>
      </w:pPr>
      <w:r w:rsidRPr="63FB6247" w:rsidR="1FC8A575">
        <w:rPr>
          <w:b w:val="1"/>
          <w:bCs w:val="1"/>
          <w:u w:val="single"/>
        </w:rPr>
        <w:t>Lecturer: A</w:t>
      </w:r>
      <w:r w:rsidRPr="63FB6247" w:rsidR="39213B4A">
        <w:rPr>
          <w:b w:val="1"/>
          <w:bCs w:val="1"/>
          <w:u w:val="single"/>
        </w:rPr>
        <w:t>ishat Bakre</w:t>
      </w:r>
    </w:p>
    <w:p w:rsidRPr="0059324A" w:rsidR="0059324A" w:rsidP="0059324A" w:rsidRDefault="0059324A" w14:paraId="5FDF4CC5" w14:textId="6BC46CA1">
      <w:pPr>
        <w:rPr>
          <w:b w:val="1"/>
          <w:bCs w:val="1"/>
          <w:u w:val="single"/>
        </w:rPr>
      </w:pPr>
      <w:r w:rsidRPr="63FB6247" w:rsidR="0059324A">
        <w:rPr>
          <w:b w:val="1"/>
          <w:bCs w:val="1"/>
          <w:u w:val="single"/>
        </w:rPr>
        <w:t>Person</w:t>
      </w:r>
      <w:r w:rsidRPr="63FB6247" w:rsidR="0059324A">
        <w:rPr>
          <w:rFonts w:ascii="Cambria Math" w:hAnsi="Cambria Math" w:cs="Cambria Math"/>
          <w:b w:val="1"/>
          <w:bCs w:val="1"/>
          <w:u w:val="single"/>
        </w:rPr>
        <w:t>‑</w:t>
      </w:r>
      <w:r w:rsidRPr="63FB6247" w:rsidR="0059324A">
        <w:rPr>
          <w:b w:val="1"/>
          <w:bCs w:val="1"/>
          <w:u w:val="single"/>
        </w:rPr>
        <w:t>Centred Care and Partnership Working: A Critical Evaluation</w:t>
      </w:r>
    </w:p>
    <w:p w:rsidRPr="0059324A" w:rsidR="0059324A" w:rsidP="0059324A" w:rsidRDefault="0059324A" w14:paraId="1CE669F8" w14:textId="438591DD">
      <w:pPr>
        <w:rPr>
          <w:b/>
          <w:bCs/>
          <w:u w:val="single"/>
        </w:rPr>
      </w:pPr>
      <w:r w:rsidRPr="0059324A">
        <w:rPr>
          <w:b/>
          <w:bCs/>
          <w:u w:val="single"/>
        </w:rPr>
        <w:t>Introduction</w:t>
      </w:r>
    </w:p>
    <w:p w:rsidR="0059324A" w:rsidP="0059324A" w:rsidRDefault="0059324A" w14:paraId="08F9CD8B" w14:textId="7A759BC3">
      <w:r>
        <w:t>Person</w:t>
      </w:r>
      <w:r>
        <w:rPr>
          <w:rFonts w:ascii="Cambria Math" w:hAnsi="Cambria Math" w:cs="Cambria Math"/>
        </w:rPr>
        <w:t>‑</w:t>
      </w:r>
      <w:r>
        <w:t>centred care (PCC) and partnership working (PW) have become defining features of contemporary health and social care policy in the United Kingdom, positioned as essential mechanisms for improving quality, reducing fragmentation, and promoting autonomy. PCC emphasises tailoring care to the individual’s values, needs, and preferences, an approach widely promoted by organisations such as the Health Foundation (2016). PW, meanwhile, is rooted in collaborative, multi</w:t>
      </w:r>
      <w:r>
        <w:rPr>
          <w:rFonts w:ascii="Cambria Math" w:hAnsi="Cambria Math" w:cs="Cambria Math"/>
        </w:rPr>
        <w:t>‑</w:t>
      </w:r>
      <w:r>
        <w:t xml:space="preserve">agency practice, as described by </w:t>
      </w:r>
      <w:proofErr w:type="spellStart"/>
      <w:r>
        <w:t>Glasby</w:t>
      </w:r>
      <w:proofErr w:type="spellEnd"/>
      <w:r>
        <w:t xml:space="preserve"> and Dickinson (2014). However, despite strong policy endorsement, both PCC and PW </w:t>
      </w:r>
      <w:bookmarkStart w:name="_Int_PNZdj876" w:id="0"/>
      <w:r>
        <w:t>are shaped</w:t>
      </w:r>
      <w:bookmarkEnd w:id="0"/>
      <w:r>
        <w:t xml:space="preserve"> by complex ethical, organisational, and structural realities that challenge their implementation. The rhetoric surrounding these concepts often presents them as universally beneficial, yet in practice</w:t>
      </w:r>
      <w:r w:rsidR="00A4513E">
        <w:t>,</w:t>
      </w:r>
      <w:r>
        <w:t xml:space="preserve"> they </w:t>
      </w:r>
      <w:bookmarkStart w:name="_Int_pwZfY9qX" w:id="1"/>
      <w:r>
        <w:t>are influenced</w:t>
      </w:r>
      <w:bookmarkEnd w:id="1"/>
      <w:r>
        <w:t xml:space="preserve"> by resource constraints, professional hierarchies, and systemic inequalities. This report critically evaluates PCC and PW, drawing on theory, ethics, legislation, and practice</w:t>
      </w:r>
      <w:r>
        <w:rPr>
          <w:rFonts w:ascii="Cambria Math" w:hAnsi="Cambria Math" w:cs="Cambria Math"/>
        </w:rPr>
        <w:t>‑</w:t>
      </w:r>
      <w:r>
        <w:t>based examples to explore how these approaches function in real</w:t>
      </w:r>
      <w:r>
        <w:rPr>
          <w:rFonts w:ascii="Cambria Math" w:hAnsi="Cambria Math" w:cs="Cambria Math"/>
        </w:rPr>
        <w:t>‑</w:t>
      </w:r>
      <w:r>
        <w:t xml:space="preserve">world settings and where significant gaps </w:t>
      </w:r>
      <w:r w:rsidR="0058493A">
        <w:t>exist</w:t>
      </w:r>
      <w:r>
        <w:t xml:space="preserve"> between aspiration and practice. Through this analysis, it becomes clear that while PCC and PW are central to modern care delivery, their success depends on the broader organisational and political context in which they </w:t>
      </w:r>
      <w:bookmarkStart w:name="_Int_SxHibQdy" w:id="2"/>
      <w:r>
        <w:t>operate</w:t>
      </w:r>
      <w:bookmarkEnd w:id="2"/>
      <w:r>
        <w:t>.</w:t>
      </w:r>
    </w:p>
    <w:p w:rsidR="0059324A" w:rsidP="0059324A" w:rsidRDefault="0059324A" w14:paraId="724EFC19" w14:textId="77777777"/>
    <w:p w:rsidRPr="0059324A" w:rsidR="0059324A" w:rsidP="0059324A" w:rsidRDefault="0059324A" w14:paraId="007A4290" w14:textId="26D7A88A">
      <w:pPr>
        <w:rPr>
          <w:b/>
          <w:bCs/>
          <w:u w:val="single"/>
        </w:rPr>
      </w:pPr>
      <w:r w:rsidRPr="0059324A">
        <w:rPr>
          <w:b/>
          <w:bCs/>
          <w:u w:val="single"/>
        </w:rPr>
        <w:t>Defining Person</w:t>
      </w:r>
      <w:r w:rsidRPr="0059324A">
        <w:rPr>
          <w:rFonts w:ascii="Cambria Math" w:hAnsi="Cambria Math" w:cs="Cambria Math"/>
          <w:b/>
          <w:bCs/>
          <w:u w:val="single"/>
        </w:rPr>
        <w:t>‑</w:t>
      </w:r>
      <w:r w:rsidRPr="0059324A">
        <w:rPr>
          <w:b/>
          <w:bCs/>
          <w:u w:val="single"/>
        </w:rPr>
        <w:t>Centred Care: Benefits and Limitations</w:t>
      </w:r>
    </w:p>
    <w:p w:rsidR="0059324A" w:rsidP="0059324A" w:rsidRDefault="0059324A" w14:paraId="6F4803E3" w14:textId="44177102">
      <w:r>
        <w:t>Person</w:t>
      </w:r>
      <w:r>
        <w:rPr>
          <w:rFonts w:ascii="Cambria Math" w:hAnsi="Cambria Math" w:cs="Cambria Math"/>
        </w:rPr>
        <w:t>‑</w:t>
      </w:r>
      <w:r>
        <w:t xml:space="preserve">centred care </w:t>
      </w:r>
      <w:bookmarkStart w:name="_Int_gbD6bL4O" w:id="3"/>
      <w:r>
        <w:t>is broadly defined</w:t>
      </w:r>
      <w:bookmarkEnd w:id="3"/>
      <w:r>
        <w:t xml:space="preserve"> as an approach that places the individual at the centre of decision</w:t>
      </w:r>
      <w:r>
        <w:rPr>
          <w:rFonts w:ascii="Cambria Math" w:hAnsi="Cambria Math" w:cs="Cambria Math"/>
        </w:rPr>
        <w:t>‑</w:t>
      </w:r>
      <w:r>
        <w:t>making, ensuring that care reflects their unique preferences, values, and circumstances (Health Foundation, 2016). This definition aligns with contemporary expectations of autonomy and self</w:t>
      </w:r>
      <w:r>
        <w:rPr>
          <w:rFonts w:ascii="Cambria Math" w:hAnsi="Cambria Math" w:cs="Cambria Math"/>
        </w:rPr>
        <w:t>‑</w:t>
      </w:r>
      <w:r>
        <w:t xml:space="preserve">determination, yet it has been criticised for its conceptual vagueness and tendency to </w:t>
      </w:r>
      <w:bookmarkStart w:name="_Int_F9US7pOK" w:id="4"/>
      <w:r>
        <w:t>be interpreted</w:t>
      </w:r>
      <w:bookmarkEnd w:id="4"/>
      <w:r>
        <w:t xml:space="preserve"> superficially. McCormack and </w:t>
      </w:r>
      <w:proofErr w:type="spellStart"/>
      <w:r>
        <w:t>McCance</w:t>
      </w:r>
      <w:proofErr w:type="spellEnd"/>
      <w:r>
        <w:t xml:space="preserve"> (2017) argue that PCC </w:t>
      </w:r>
      <w:bookmarkStart w:name="_Int_z1mDxbQL" w:id="5"/>
      <w:r>
        <w:t>is often misunderstood</w:t>
      </w:r>
      <w:bookmarkEnd w:id="5"/>
      <w:r>
        <w:t xml:space="preserve"> or reduced to simplistic notions of “good communication” or “being nice,” which risks obscuring the deeper relational, cultural, and organisational work </w:t>
      </w:r>
      <w:bookmarkStart w:name="_Int_bhyCp3Is" w:id="6"/>
      <w:r>
        <w:t>required</w:t>
      </w:r>
      <w:bookmarkEnd w:id="6"/>
      <w:r>
        <w:t xml:space="preserve"> to deliver it meaningfully. PCC is associated with improved satisfaction, enhanced </w:t>
      </w:r>
      <w:r w:rsidR="00A4513E">
        <w:t>well-being</w:t>
      </w:r>
      <w:r>
        <w:t xml:space="preserve">, and better engagement (Coulter and Oldham, 2016), and evidence suggests that individuals who feel heard and respected are more likely to adhere to treatment plans and experience positive outcomes. However, these benefits are not universally experienced. PCC assumes that individuals have the desire, confidence, and capacity to </w:t>
      </w:r>
      <w:bookmarkStart w:name="_Int_KixXAdgJ" w:id="7"/>
      <w:r>
        <w:t>participate</w:t>
      </w:r>
      <w:bookmarkEnd w:id="7"/>
      <w:r>
        <w:t xml:space="preserve"> actively in decisions, which may not be the case for those experiencing crisis, cognitive impairment, trauma, or cultural barriers. For example, individuals from collectivist cultures may prefer family</w:t>
      </w:r>
      <w:r>
        <w:rPr>
          <w:rFonts w:ascii="Cambria Math" w:hAnsi="Cambria Math" w:cs="Cambria Math"/>
        </w:rPr>
        <w:t>‑</w:t>
      </w:r>
      <w:r>
        <w:t>led decision</w:t>
      </w:r>
      <w:r>
        <w:rPr>
          <w:rFonts w:ascii="Cambria Math" w:hAnsi="Cambria Math" w:cs="Cambria Math"/>
        </w:rPr>
        <w:t>‑</w:t>
      </w:r>
      <w:r>
        <w:t>making, which challenges Western assumptions about autonomy.</w:t>
      </w:r>
    </w:p>
    <w:p w:rsidR="0059324A" w:rsidP="0059324A" w:rsidRDefault="0059324A" w14:paraId="1ABB9CE2" w14:textId="602E9C58">
      <w:r>
        <w:lastRenderedPageBreak/>
        <w:t>Structural limitations further constrain PCC. Workforce shortages, time pressures, and managerial cultures that prioritise efficiency over relational practice significantly undermine the ability of staff to engage meaningfully with service users. The Royal College of Nursing (2022) highlights how chronic staffing deficits reduce the time available for personalised conversations, leading to task</w:t>
      </w:r>
      <w:r>
        <w:rPr>
          <w:rFonts w:ascii="Cambria Math" w:hAnsi="Cambria Math" w:cs="Cambria Math"/>
        </w:rPr>
        <w:t>‑</w:t>
      </w:r>
      <w:r>
        <w:t>focused rather than person</w:t>
      </w:r>
      <w:r>
        <w:rPr>
          <w:rFonts w:ascii="Cambria Math" w:hAnsi="Cambria Math" w:cs="Cambria Math"/>
        </w:rPr>
        <w:t>‑</w:t>
      </w:r>
      <w:r>
        <w:t xml:space="preserve">centred care. Additionally, PCC can inadvertently reinforce inequalities by privileging those with higher health literacy, confidence, or communication skills. Individuals who struggle to articulate their preferences may receive less personalised care, despite being the ones who could benefit most from it. These tensions reveal that PCC is not simply a matter of professional attitude but </w:t>
      </w:r>
      <w:bookmarkStart w:name="_Int_lfnEvNLd" w:id="8"/>
      <w:r>
        <w:t>is deeply influenced</w:t>
      </w:r>
      <w:bookmarkEnd w:id="8"/>
      <w:r>
        <w:t xml:space="preserve"> by systemic conditions that can either enable or undermine its delivery. Without addressing these structural barriers, PCC risks becoming an aspirational ideal rather than a consistent reality.</w:t>
      </w:r>
    </w:p>
    <w:p w:rsidR="0059324A" w:rsidP="0059324A" w:rsidRDefault="0059324A" w14:paraId="2A7E393C" w14:textId="77777777"/>
    <w:p w:rsidRPr="0059324A" w:rsidR="0059324A" w:rsidP="0059324A" w:rsidRDefault="0059324A" w14:paraId="3FE12C6B" w14:textId="61E02375">
      <w:pPr>
        <w:rPr>
          <w:b/>
          <w:bCs/>
          <w:u w:val="single"/>
        </w:rPr>
      </w:pPr>
      <w:r w:rsidRPr="0059324A">
        <w:rPr>
          <w:b/>
          <w:bCs/>
          <w:u w:val="single"/>
        </w:rPr>
        <w:t xml:space="preserve">Critical Examination of McCormack and </w:t>
      </w:r>
      <w:proofErr w:type="spellStart"/>
      <w:r w:rsidRPr="0059324A">
        <w:rPr>
          <w:b/>
          <w:bCs/>
          <w:u w:val="single"/>
        </w:rPr>
        <w:t>McCance’s</w:t>
      </w:r>
      <w:proofErr w:type="spellEnd"/>
      <w:r w:rsidRPr="0059324A">
        <w:rPr>
          <w:b/>
          <w:bCs/>
          <w:u w:val="single"/>
        </w:rPr>
        <w:t xml:space="preserve"> Person</w:t>
      </w:r>
      <w:r w:rsidRPr="0059324A">
        <w:rPr>
          <w:rFonts w:ascii="Cambria Math" w:hAnsi="Cambria Math" w:cs="Cambria Math"/>
          <w:b/>
          <w:bCs/>
          <w:u w:val="single"/>
        </w:rPr>
        <w:t>‑</w:t>
      </w:r>
      <w:r w:rsidRPr="0059324A">
        <w:rPr>
          <w:b/>
          <w:bCs/>
          <w:u w:val="single"/>
        </w:rPr>
        <w:t>Centred Nursing Framework</w:t>
      </w:r>
    </w:p>
    <w:p w:rsidR="0059324A" w:rsidP="0059324A" w:rsidRDefault="0059324A" w14:paraId="783A551F" w14:textId="751FD94C">
      <w:r>
        <w:t xml:space="preserve">McCormack and </w:t>
      </w:r>
      <w:proofErr w:type="spellStart"/>
      <w:r>
        <w:t>McCance’s</w:t>
      </w:r>
      <w:proofErr w:type="spellEnd"/>
      <w:r>
        <w:t xml:space="preserve"> Person</w:t>
      </w:r>
      <w:r>
        <w:rPr>
          <w:rFonts w:ascii="Cambria Math" w:hAnsi="Cambria Math" w:cs="Cambria Math"/>
        </w:rPr>
        <w:t>‑</w:t>
      </w:r>
      <w:r>
        <w:t>Centred Nursing Framework (PCNF) is one of the most influential theoretical models underpinning PCC. The framework emphasises staff attributes, organisational culture, and relational processes as essential components of person</w:t>
      </w:r>
      <w:r>
        <w:rPr>
          <w:rFonts w:ascii="Cambria Math" w:hAnsi="Cambria Math" w:cs="Cambria Math"/>
        </w:rPr>
        <w:t>‑</w:t>
      </w:r>
      <w:r>
        <w:t xml:space="preserve">centred practice (McCormack and </w:t>
      </w:r>
      <w:proofErr w:type="spellStart"/>
      <w:r>
        <w:t>McCance</w:t>
      </w:r>
      <w:proofErr w:type="spellEnd"/>
      <w:r>
        <w:t>, 2017). Its strength lies in recognising that PCC is relational and contextual rather than task</w:t>
      </w:r>
      <w:r>
        <w:rPr>
          <w:rFonts w:ascii="Cambria Math" w:hAnsi="Cambria Math" w:cs="Cambria Math"/>
        </w:rPr>
        <w:t>‑</w:t>
      </w:r>
      <w:r>
        <w:t>based, highlighting the importance of therapeutic relationships, shared decision</w:t>
      </w:r>
      <w:r>
        <w:rPr>
          <w:rFonts w:ascii="Cambria Math" w:hAnsi="Cambria Math" w:cs="Cambria Math"/>
        </w:rPr>
        <w:t>‑</w:t>
      </w:r>
      <w:r>
        <w:t>making, and meaningful engagement. The PCNF also acknowledges that organisational culture, leadership, and staff wellbeing are critical to enabling PCC, which moves the conversation beyond individual behaviour and towards systemic responsibility.</w:t>
      </w:r>
    </w:p>
    <w:p w:rsidR="0059324A" w:rsidP="0059324A" w:rsidRDefault="0059324A" w14:paraId="47BEB915" w14:textId="3697B5A2">
      <w:r>
        <w:t>However, the model has limitations. It is rooted in nursing philosophy, which may not translate seamlessly into multi</w:t>
      </w:r>
      <w:r>
        <w:rPr>
          <w:rFonts w:ascii="Cambria Math" w:hAnsi="Cambria Math" w:cs="Cambria Math"/>
        </w:rPr>
        <w:t>‑</w:t>
      </w:r>
      <w:r>
        <w:t xml:space="preserve">agency contexts where professional identities, priorities, and power dynamics differ significantly. For example, medical dominance in acute settings may overshadow the relational focus emphasised in the PCNF, making it difficult to implement the model consistently. The framework also assumes that staff have the emotional capacity and organisational support to engage in reflective practice, an assumption that is often unrealistic in overstretched services (RCN, 2022). High workloads, burnout, and limited supervision can hinder the reflective processes that the PCNF relies upon. Additionally, concepts such as “authentic engagement” and “therapeutic culture” are difficult to measure, making evaluation inconsistent and potentially subjective. While the PCNF provides a valuable theoretical lens, its practical application requires organisational transformation that many services are not resourced to achieve. This highlights a broader tension between theoretical ideals and the realities </w:t>
      </w:r>
      <w:r>
        <w:lastRenderedPageBreak/>
        <w:t xml:space="preserve">of practice, where structural constraints often limit the extent to which PCC can </w:t>
      </w:r>
      <w:bookmarkStart w:name="_Int_kQxZUJYV" w:id="9"/>
      <w:r>
        <w:t>be fully realised</w:t>
      </w:r>
      <w:bookmarkEnd w:id="9"/>
      <w:r>
        <w:t>.</w:t>
      </w:r>
    </w:p>
    <w:p w:rsidR="0059324A" w:rsidP="0059324A" w:rsidRDefault="0059324A" w14:paraId="7ACF2E2C" w14:textId="77777777"/>
    <w:p w:rsidRPr="0059324A" w:rsidR="0059324A" w:rsidP="0059324A" w:rsidRDefault="0059324A" w14:paraId="0AAE9848" w14:textId="2AEA4BD3">
      <w:pPr>
        <w:rPr>
          <w:b/>
          <w:bCs/>
          <w:u w:val="single"/>
        </w:rPr>
      </w:pPr>
      <w:r w:rsidRPr="0059324A">
        <w:rPr>
          <w:b/>
          <w:bCs/>
          <w:u w:val="single"/>
        </w:rPr>
        <w:t>Ethical Fundamentals in Health and Social Care</w:t>
      </w:r>
    </w:p>
    <w:p w:rsidR="0059324A" w:rsidP="0059324A" w:rsidRDefault="0059324A" w14:paraId="1FD6A18B" w14:textId="79902BB9">
      <w:r>
        <w:t xml:space="preserve">Ethical principles underpin both PCC and PW, yet applying these principles in practice involves navigating complex tensions. Beauchamp and Childress (2019) </w:t>
      </w:r>
      <w:bookmarkStart w:name="_Int_1a1wMa5w" w:id="10"/>
      <w:r>
        <w:t>identify</w:t>
      </w:r>
      <w:bookmarkEnd w:id="10"/>
      <w:r>
        <w:t xml:space="preserve"> autonomy, beneficence, non</w:t>
      </w:r>
      <w:r>
        <w:rPr>
          <w:rFonts w:ascii="Cambria Math" w:hAnsi="Cambria Math" w:cs="Cambria Math"/>
        </w:rPr>
        <w:t>‑</w:t>
      </w:r>
      <w:r>
        <w:t xml:space="preserve">maleficence, and justice as core ethical principles. Autonomy is central to PCC, but it </w:t>
      </w:r>
      <w:bookmarkStart w:name="_Int_ayXfy9Ja" w:id="11"/>
      <w:r>
        <w:t>frequently</w:t>
      </w:r>
      <w:bookmarkEnd w:id="11"/>
      <w:r>
        <w:t xml:space="preserve"> conflicts with beneficence and non</w:t>
      </w:r>
      <w:r>
        <w:rPr>
          <w:rFonts w:ascii="Cambria Math" w:hAnsi="Cambria Math" w:cs="Cambria Math"/>
        </w:rPr>
        <w:t>‑</w:t>
      </w:r>
      <w:r>
        <w:t xml:space="preserve">maleficence, particularly in safeguarding or mental health crises where safety may override choice. For example, an individual may refuse treatment that professionals believe is necessary to prevent harm, creating an ethical dilemma between respecting autonomy and ensuring safety. Justice requires </w:t>
      </w:r>
      <w:bookmarkStart w:name="_Int_CixzLZnY" w:id="12"/>
      <w:r>
        <w:t>equitable</w:t>
      </w:r>
      <w:bookmarkEnd w:id="12"/>
      <w:r>
        <w:t xml:space="preserve"> access to care, yet PCC can inadvertently widen inequalities by privileging those with higher health literacy or confidence. Individuals who struggle to articulate their preferences may receive less personalised care, despite being the ones who could benefit most from it.</w:t>
      </w:r>
    </w:p>
    <w:p w:rsidR="0059324A" w:rsidP="0059324A" w:rsidRDefault="0059324A" w14:paraId="379C9D14" w14:textId="73781D0C">
      <w:r>
        <w:t xml:space="preserve">Beneficence, intended to promote </w:t>
      </w:r>
      <w:r w:rsidR="00A4513E">
        <w:t>well-being</w:t>
      </w:r>
      <w:r>
        <w:t xml:space="preserve">, can become paternalistic if professionals impose their own interpretations of what is “best” for the individual. This tension is particularly </w:t>
      </w:r>
      <w:r w:rsidR="0058493A">
        <w:t>clear</w:t>
      </w:r>
      <w:r>
        <w:t xml:space="preserve"> in mental health settings, where risk</w:t>
      </w:r>
      <w:r>
        <w:rPr>
          <w:rFonts w:ascii="Cambria Math" w:hAnsi="Cambria Math" w:cs="Cambria Math"/>
        </w:rPr>
        <w:t>‑</w:t>
      </w:r>
      <w:r>
        <w:t>averse cultures may lead to restrictive practices that conflict with PCC principles. Non</w:t>
      </w:r>
      <w:r>
        <w:rPr>
          <w:rFonts w:ascii="Cambria Math" w:hAnsi="Cambria Math" w:cs="Cambria Math"/>
        </w:rPr>
        <w:t>‑</w:t>
      </w:r>
      <w:r>
        <w:t xml:space="preserve">maleficence also raises challenges, as avoiding harm may require limiting autonomy in certain circumstances. These tensions highlight that ethical practice is not simply the application of abstract </w:t>
      </w:r>
      <w:r w:rsidR="0058493A">
        <w:t>principles,</w:t>
      </w:r>
      <w:r>
        <w:t xml:space="preserve"> but a dynamic negotiation shaped by organisational pressures, cultural contexts, and individual circumstances. Ethical decision</w:t>
      </w:r>
      <w:r>
        <w:rPr>
          <w:rFonts w:ascii="Cambria Math" w:hAnsi="Cambria Math" w:cs="Cambria Math"/>
        </w:rPr>
        <w:t>‑</w:t>
      </w:r>
      <w:r>
        <w:t>making is therefore complex and context</w:t>
      </w:r>
      <w:r>
        <w:rPr>
          <w:rFonts w:ascii="Cambria Math" w:hAnsi="Cambria Math" w:cs="Cambria Math"/>
        </w:rPr>
        <w:t>‑</w:t>
      </w:r>
      <w:r>
        <w:t xml:space="preserve">dependent, requiring professionals to balance competing values while </w:t>
      </w:r>
      <w:bookmarkStart w:name="_Int_IBIAVsd2" w:id="13"/>
      <w:r>
        <w:t>maintaining</w:t>
      </w:r>
      <w:bookmarkEnd w:id="13"/>
      <w:r>
        <w:t xml:space="preserve"> a commitment to person</w:t>
      </w:r>
      <w:r>
        <w:rPr>
          <w:rFonts w:ascii="Cambria Math" w:hAnsi="Cambria Math" w:cs="Cambria Math"/>
        </w:rPr>
        <w:t>‑</w:t>
      </w:r>
      <w:r>
        <w:t>centred principles.</w:t>
      </w:r>
    </w:p>
    <w:p w:rsidR="0059324A" w:rsidP="0059324A" w:rsidRDefault="0059324A" w14:paraId="0E42DFC9" w14:textId="77777777"/>
    <w:p w:rsidRPr="0059324A" w:rsidR="0059324A" w:rsidP="0059324A" w:rsidRDefault="0059324A" w14:paraId="47E43076" w14:textId="13289BBD">
      <w:pPr>
        <w:rPr>
          <w:b/>
          <w:bCs/>
          <w:u w:val="single"/>
        </w:rPr>
      </w:pPr>
      <w:r w:rsidRPr="0059324A">
        <w:rPr>
          <w:b/>
          <w:bCs/>
          <w:u w:val="single"/>
        </w:rPr>
        <w:t>Evaluating Partnership Working in Health and Social Care</w:t>
      </w:r>
    </w:p>
    <w:p w:rsidR="0059324A" w:rsidP="0059324A" w:rsidRDefault="0059324A" w14:paraId="394DAF4D" w14:textId="17EB6626">
      <w:r>
        <w:t xml:space="preserve">Partnership working </w:t>
      </w:r>
      <w:bookmarkStart w:name="_Int_4jTj8Wq1" w:id="14"/>
      <w:r>
        <w:t>is promoted</w:t>
      </w:r>
      <w:bookmarkEnd w:id="14"/>
      <w:r>
        <w:t xml:space="preserve"> as essential for delivering integrated, holistic care, yet evidence suggests that collaboration is far more complex than policy rhetoric implies. </w:t>
      </w:r>
      <w:proofErr w:type="spellStart"/>
      <w:r>
        <w:t>Glasby</w:t>
      </w:r>
      <w:proofErr w:type="spellEnd"/>
      <w:r>
        <w:t xml:space="preserve"> and Dickinson (2014) argue that PW is often idealised, overlooking the structural and cultural barriers that hinder effective collaboration. While PW can reduce fragmentation, improve continuity, and enhance safeguarding, it </w:t>
      </w:r>
      <w:bookmarkStart w:name="_Int_EEZWzIOh" w:id="15"/>
      <w:r>
        <w:t>is also hindered</w:t>
      </w:r>
      <w:bookmarkEnd w:id="15"/>
      <w:r>
        <w:t xml:space="preserve"> by power imbalances between professions, particularly the dominance of medical perspectives. These power dynamics can marginalise social care contributions and limit genuine collaboration, reinforcing hierarchical structures that undermine shared decision</w:t>
      </w:r>
      <w:r>
        <w:rPr>
          <w:rFonts w:ascii="Cambria Math" w:hAnsi="Cambria Math" w:cs="Cambria Math"/>
        </w:rPr>
        <w:t>‑</w:t>
      </w:r>
      <w:r>
        <w:t>making.</w:t>
      </w:r>
    </w:p>
    <w:p w:rsidR="0059324A" w:rsidP="0059324A" w:rsidRDefault="0059324A" w14:paraId="72CD1E00" w14:textId="39447AD2">
      <w:r>
        <w:lastRenderedPageBreak/>
        <w:t>Conflicting organisational priorities, differing thresholds for intervention, and incompatible digital systems further complicate joint working. For example, health services may prioritise clinical outcomes, while social care focuses on independence and wellbeing, leading to tensions in decision</w:t>
      </w:r>
      <w:r>
        <w:rPr>
          <w:rFonts w:ascii="Cambria Math" w:hAnsi="Cambria Math" w:cs="Cambria Math"/>
        </w:rPr>
        <w:t>‑</w:t>
      </w:r>
      <w:r>
        <w:t xml:space="preserve">making. Professional identity tensions may also arise, as collaboration can challenge autonomy and established ways of working. These challenges </w:t>
      </w:r>
      <w:bookmarkStart w:name="_Int_3VGd1Y01" w:id="16"/>
      <w:r>
        <w:t>demonstrate</w:t>
      </w:r>
      <w:bookmarkEnd w:id="16"/>
      <w:r>
        <w:t xml:space="preserve"> that PW is not simply a technical process but a negotiation of power, culture, and organisational interests, requiring sustained effort and supportive infrastructure to function effectively. Without addressing these systemic barriers, PW risks becoming fragmented and inconsistent, undermining its potential to improve outcomes.</w:t>
      </w:r>
    </w:p>
    <w:p w:rsidR="0059324A" w:rsidP="0059324A" w:rsidRDefault="0059324A" w14:paraId="4204EBBF" w14:textId="77777777"/>
    <w:p w:rsidRPr="0059324A" w:rsidR="0059324A" w:rsidP="0059324A" w:rsidRDefault="0059324A" w14:paraId="6ECB2B7B" w14:textId="57F03A02">
      <w:pPr>
        <w:rPr>
          <w:b/>
          <w:bCs/>
          <w:u w:val="single"/>
        </w:rPr>
      </w:pPr>
      <w:r w:rsidRPr="0059324A">
        <w:rPr>
          <w:b/>
          <w:bCs/>
          <w:u w:val="single"/>
        </w:rPr>
        <w:t>Application of Partnership Working in a Community Mental Health Team</w:t>
      </w:r>
    </w:p>
    <w:p w:rsidR="0059324A" w:rsidP="0059324A" w:rsidRDefault="0059324A" w14:paraId="2D3DBCBC" w14:textId="4C4AA10A">
      <w:r>
        <w:t xml:space="preserve">Community Mental Health Teams (CMHTs) </w:t>
      </w:r>
      <w:r w:rsidR="0058493A">
        <w:t>give</w:t>
      </w:r>
      <w:r>
        <w:t xml:space="preserve"> a clear example of both the potential and limitations of partnership working. In theory, CMHTs operate through multidisciplinary collaboration, bringing together nurses, social workers, psychiatrists, psychologists, and support workers to deliver holistic care. In practice, MDT meetings </w:t>
      </w:r>
      <w:bookmarkStart w:name="_Int_s0m38ZrR" w:id="17"/>
      <w:r>
        <w:t>facilitate</w:t>
      </w:r>
      <w:bookmarkEnd w:id="17"/>
      <w:r>
        <w:t xml:space="preserve"> shared </w:t>
      </w:r>
      <w:r w:rsidR="0058493A">
        <w:t>ability</w:t>
      </w:r>
      <w:r>
        <w:t>, joint risk assessments, and coordinated planning, which can significantly improve outcomes for individuals with complex needs (NHS England, 2019). These collaborative processes enable professionals to draw on diverse perspectives, enhancing the quality and safety of care.</w:t>
      </w:r>
    </w:p>
    <w:p w:rsidR="0059324A" w:rsidP="0059324A" w:rsidRDefault="0059324A" w14:paraId="69BCA0A2" w14:textId="3A368099">
      <w:r>
        <w:t>However, CMHTs also face substantial challenges. High caseloads often force staff to prioritise crisis management over collaborative planning, limiting the time available for meaningful partnership working. Incompatible digital systems create delays and miscommunication, hindering information</w:t>
      </w:r>
      <w:r>
        <w:rPr>
          <w:rFonts w:ascii="Cambria Math" w:hAnsi="Cambria Math" w:cs="Cambria Math"/>
        </w:rPr>
        <w:t>‑</w:t>
      </w:r>
      <w:r>
        <w:t>sharing and coordination. Service</w:t>
      </w:r>
      <w:r>
        <w:rPr>
          <w:rFonts w:ascii="Cambria Math" w:hAnsi="Cambria Math" w:cs="Cambria Math"/>
        </w:rPr>
        <w:t>‑</w:t>
      </w:r>
      <w:r>
        <w:t xml:space="preserve">user involvement, a core element of PCC, is inconsistent and can </w:t>
      </w:r>
      <w:bookmarkStart w:name="_Int_3LUL58w9" w:id="18"/>
      <w:r>
        <w:t>be limited</w:t>
      </w:r>
      <w:bookmarkEnd w:id="18"/>
      <w:r>
        <w:t xml:space="preserve"> by risk</w:t>
      </w:r>
      <w:r>
        <w:rPr>
          <w:rFonts w:ascii="Cambria Math" w:hAnsi="Cambria Math" w:cs="Cambria Math"/>
        </w:rPr>
        <w:t>‑</w:t>
      </w:r>
      <w:r>
        <w:t xml:space="preserve">averse cultures or paternalistic attitudes. Interagency tensions may arise due to differing eligibility criteria, funding structures, or organisational priorities, creating barriers to seamless collaboration. These issues illustrate that while PW has significant potential, its success is heavily dependent on organisational capacity, leadership, and culture. Without addressing these systemic challenges, PW may </w:t>
      </w:r>
      <w:bookmarkStart w:name="_Int_zNBIMaef" w:id="19"/>
      <w:r>
        <w:t>fail to</w:t>
      </w:r>
      <w:bookmarkEnd w:id="19"/>
      <w:r>
        <w:t xml:space="preserve"> deliver the integrated, person</w:t>
      </w:r>
      <w:r>
        <w:rPr>
          <w:rFonts w:ascii="Cambria Math" w:hAnsi="Cambria Math" w:cs="Cambria Math"/>
        </w:rPr>
        <w:t>‑</w:t>
      </w:r>
      <w:r>
        <w:t>centred care it promises.</w:t>
      </w:r>
    </w:p>
    <w:p w:rsidR="0059324A" w:rsidP="0059324A" w:rsidRDefault="0059324A" w14:paraId="046B58F9" w14:textId="77777777"/>
    <w:p w:rsidRPr="0059324A" w:rsidR="0059324A" w:rsidP="0059324A" w:rsidRDefault="0059324A" w14:paraId="46FA096C" w14:textId="0CCA5CFA">
      <w:pPr>
        <w:rPr>
          <w:b/>
          <w:bCs/>
          <w:u w:val="single"/>
        </w:rPr>
      </w:pPr>
      <w:r w:rsidRPr="0059324A">
        <w:rPr>
          <w:b/>
          <w:bCs/>
          <w:u w:val="single"/>
        </w:rPr>
        <w:t>Policy and Legislation Supporting PCC and PW</w:t>
      </w:r>
    </w:p>
    <w:p w:rsidR="0059324A" w:rsidP="0059324A" w:rsidRDefault="0059324A" w14:paraId="42E3828E" w14:textId="1B343E99">
      <w:r>
        <w:t>UK policy strongly endorses PCC and PW, yet there is a persistent gap between legislative intention and practical implementation. The Care Act 2014 enshrines wellbeing, choice, and control as central principles of adult social care, but austerity</w:t>
      </w:r>
      <w:r>
        <w:rPr>
          <w:rFonts w:ascii="Cambria Math" w:hAnsi="Cambria Math" w:cs="Cambria Math"/>
        </w:rPr>
        <w:t>‑</w:t>
      </w:r>
      <w:r>
        <w:t xml:space="preserve">driven funding cuts have severely limited local authorities’ ability to deliver </w:t>
      </w:r>
      <w:r>
        <w:lastRenderedPageBreak/>
        <w:t xml:space="preserve">personalised support. The Health and Social Care Act 2012 </w:t>
      </w:r>
      <w:r w:rsidR="0058493A">
        <w:t>promotes</w:t>
      </w:r>
      <w:r>
        <w:t xml:space="preserve"> patient choice and integrated care, yet marketisation has </w:t>
      </w:r>
      <w:bookmarkStart w:name="_Int_Dv4sp56F" w:id="20"/>
      <w:r>
        <w:t>arguably increased</w:t>
      </w:r>
      <w:bookmarkEnd w:id="20"/>
      <w:r>
        <w:t xml:space="preserve"> fragmentation rather than reducing it. The NHS Long Term Plan emphasises integrated care systems, but progress has been uneven and hindered by workforce shortages and organisational complexity (NHS England, 2019). The Mental Capacity Act 2005 supports autonomy, but research </w:t>
      </w:r>
      <w:bookmarkStart w:name="_Int_f1v9bec7" w:id="21"/>
      <w:r>
        <w:t>indicates</w:t>
      </w:r>
      <w:bookmarkEnd w:id="21"/>
      <w:r>
        <w:t xml:space="preserve"> inconsistent application and widespread misunderstanding among professionals. The Equality Act 2010 provides a legal framework for fairness, yet persistent health inequalities suggest that policy alone cannot address structural disadvantage. These contradictions highlight the challenges of translating policy ideals into everyday practice and underscore the need for systemic reform.</w:t>
      </w:r>
    </w:p>
    <w:p w:rsidR="0059324A" w:rsidP="0059324A" w:rsidRDefault="0059324A" w14:paraId="2D14670A" w14:textId="77777777"/>
    <w:p w:rsidRPr="00CD2583" w:rsidR="0059324A" w:rsidP="0059324A" w:rsidRDefault="0059324A" w14:paraId="5E44EB82" w14:textId="0C381C81">
      <w:pPr>
        <w:rPr>
          <w:b/>
          <w:bCs/>
          <w:u w:val="single"/>
        </w:rPr>
      </w:pPr>
      <w:r w:rsidRPr="00CD2583">
        <w:rPr>
          <w:b/>
          <w:bCs/>
          <w:u w:val="single"/>
        </w:rPr>
        <w:t>Recommendations for Future Development</w:t>
      </w:r>
    </w:p>
    <w:p w:rsidR="0059324A" w:rsidP="0059324A" w:rsidRDefault="0059324A" w14:paraId="36CB9FB6" w14:textId="584C8FDE">
      <w:r>
        <w:t>Future development of PCC and PW requires systemic transformation rather than isolated interventions. Addressing structural inequalities is essential, as PCC and PW cannot succeed without tackling the social determinants of health that shape access, engagement, and outcomes. Workforce investment is critical, including training in cultural competence, trauma</w:t>
      </w:r>
      <w:r>
        <w:rPr>
          <w:rFonts w:ascii="Cambria Math" w:hAnsi="Cambria Math" w:cs="Cambria Math"/>
        </w:rPr>
        <w:t>‑</w:t>
      </w:r>
      <w:r>
        <w:t>informed practice, and reflective skills. Digital integration must be prioritised to enable seamless information</w:t>
      </w:r>
      <w:r>
        <w:rPr>
          <w:rFonts w:ascii="Cambria Math" w:hAnsi="Cambria Math" w:cs="Cambria Math"/>
        </w:rPr>
        <w:t>‑</w:t>
      </w:r>
      <w:r>
        <w:t>sharing across agencies. Co</w:t>
      </w:r>
      <w:r>
        <w:rPr>
          <w:rFonts w:ascii="Cambria Math" w:hAnsi="Cambria Math" w:cs="Cambria Math"/>
        </w:rPr>
        <w:t>‑</w:t>
      </w:r>
      <w:r>
        <w:t xml:space="preserve">production should </w:t>
      </w:r>
      <w:bookmarkStart w:name="_Int_uT1rs3fl" w:id="22"/>
      <w:r>
        <w:t>be embedded</w:t>
      </w:r>
      <w:bookmarkEnd w:id="22"/>
      <w:r>
        <w:t xml:space="preserve"> at all levels, ensuring that service users play a meaningful role in designing, delivering, and evaluating services. Funding models must </w:t>
      </w:r>
      <w:bookmarkStart w:name="_Int_vB3If8VS" w:id="23"/>
      <w:r>
        <w:t>be reformed</w:t>
      </w:r>
      <w:bookmarkEnd w:id="23"/>
      <w:r>
        <w:t xml:space="preserve"> to support sustainable, preventative, and collaborative approaches rather than crisis</w:t>
      </w:r>
      <w:r>
        <w:rPr>
          <w:rFonts w:ascii="Cambria Math" w:hAnsi="Cambria Math" w:cs="Cambria Math"/>
        </w:rPr>
        <w:t>‑</w:t>
      </w:r>
      <w:r>
        <w:t>driven responses. Finally, organisational cultures must shift towards valuing relational practice, reflective learning, and shared leadership, creating environments where PCC and PW can genuinely flourish.</w:t>
      </w:r>
    </w:p>
    <w:p w:rsidR="0059324A" w:rsidP="0059324A" w:rsidRDefault="0059324A" w14:paraId="3CBADA44" w14:textId="77777777"/>
    <w:p w:rsidRPr="00CD2583" w:rsidR="0059324A" w:rsidP="0059324A" w:rsidRDefault="0059324A" w14:paraId="2402A4EC" w14:textId="1C1A7426">
      <w:pPr>
        <w:rPr>
          <w:b/>
          <w:bCs/>
          <w:u w:val="single"/>
        </w:rPr>
      </w:pPr>
      <w:r w:rsidRPr="00CD2583">
        <w:rPr>
          <w:b/>
          <w:bCs/>
          <w:u w:val="single"/>
        </w:rPr>
        <w:t>Conclusion</w:t>
      </w:r>
    </w:p>
    <w:p w:rsidR="005A6957" w:rsidP="005A6957" w:rsidRDefault="005A6957" w14:paraId="4457B43E" w14:textId="613FFB92">
      <w:r>
        <w:t>Person</w:t>
      </w:r>
      <w:r>
        <w:rPr>
          <w:rFonts w:ascii="Cambria Math" w:hAnsi="Cambria Math" w:cs="Cambria Math"/>
        </w:rPr>
        <w:t>‑</w:t>
      </w:r>
      <w:r>
        <w:t xml:space="preserve">centred care and partnership working occupy </w:t>
      </w:r>
      <w:bookmarkStart w:name="_Int_H1YInQRI" w:id="24"/>
      <w:r>
        <w:t>a central place</w:t>
      </w:r>
      <w:bookmarkEnd w:id="24"/>
      <w:r>
        <w:t xml:space="preserve"> in contemporary health and social care discourse, yet this report has shown that their implementation is far more complex than policy rhetoric suggests. While both approaches </w:t>
      </w:r>
      <w:bookmarkStart w:name="_Int_6w1Ojxhr" w:id="25"/>
      <w:r>
        <w:t>are grounded</w:t>
      </w:r>
      <w:bookmarkEnd w:id="25"/>
      <w:r>
        <w:t xml:space="preserve"> in strong ethical principles and supported by extensive legislation, their practical delivery </w:t>
      </w:r>
      <w:bookmarkStart w:name="_Int_GtIsI2Rl" w:id="26"/>
      <w:r>
        <w:t>is shaped</w:t>
      </w:r>
      <w:bookmarkEnd w:id="26"/>
      <w:r>
        <w:t xml:space="preserve"> by structural constraints, workforce pressures, and entrenched organisational cultures that often limit their effectiveness. The theoretical foundations of PCC, such as McCormack and </w:t>
      </w:r>
      <w:proofErr w:type="spellStart"/>
      <w:r>
        <w:t>McCance’s</w:t>
      </w:r>
      <w:proofErr w:type="spellEnd"/>
      <w:r>
        <w:t xml:space="preserve"> framework, offer valuable insight into the relational and contextual nature of personalised care, but these ideals </w:t>
      </w:r>
      <w:bookmarkStart w:name="_Int_7ZMmebpM" w:id="27"/>
      <w:r>
        <w:t>frequently</w:t>
      </w:r>
      <w:bookmarkEnd w:id="27"/>
      <w:r>
        <w:t xml:space="preserve"> clash with the realities of high caseloads, limited resources, and risk</w:t>
      </w:r>
      <w:r>
        <w:rPr>
          <w:rFonts w:ascii="Cambria Math" w:hAnsi="Cambria Math" w:cs="Cambria Math"/>
        </w:rPr>
        <w:t>‑</w:t>
      </w:r>
      <w:r>
        <w:t xml:space="preserve">averse environments. Similarly, partnership working </w:t>
      </w:r>
      <w:bookmarkStart w:name="_Int_d6EjZ5eA" w:id="28"/>
      <w:r>
        <w:t>is widely promoted</w:t>
      </w:r>
      <w:bookmarkEnd w:id="28"/>
      <w:r>
        <w:t xml:space="preserve"> as a mechanism for improving integration and reducing fragmentation, yet persistent power imbalances, incompatible </w:t>
      </w:r>
      <w:r>
        <w:lastRenderedPageBreak/>
        <w:t>systems, and conflicting professional priorities continue to undermine genuine collaboration.</w:t>
      </w:r>
    </w:p>
    <w:p w:rsidR="005A6957" w:rsidP="005A6957" w:rsidRDefault="005A6957" w14:paraId="6F74E05E" w14:textId="7C186137">
      <w:r>
        <w:t xml:space="preserve">A critical theme </w:t>
      </w:r>
      <w:bookmarkStart w:name="_Int_9JoyPdyU" w:id="29"/>
      <w:r>
        <w:t>emerging</w:t>
      </w:r>
      <w:bookmarkEnd w:id="29"/>
      <w:r>
        <w:t xml:space="preserve"> from this evaluation is the tension between aspiration and reality. PCC and PW </w:t>
      </w:r>
      <w:bookmarkStart w:name="_Int_lFUx3Xyi" w:id="30"/>
      <w:r>
        <w:t>are often presented</w:t>
      </w:r>
      <w:bookmarkEnd w:id="30"/>
      <w:r>
        <w:t xml:space="preserve"> as universally achievable, yet their success depends heavily on the broader socio</w:t>
      </w:r>
      <w:r>
        <w:rPr>
          <w:rFonts w:ascii="Cambria Math" w:hAnsi="Cambria Math" w:cs="Cambria Math"/>
        </w:rPr>
        <w:t>‑</w:t>
      </w:r>
      <w:r>
        <w:t xml:space="preserve">political context, including funding structures, workforce stability, and organisational leadership. Without addressing these systemic issues, both approaches risk becoming </w:t>
      </w:r>
      <w:proofErr w:type="spellStart"/>
      <w:r>
        <w:t>tokenistic</w:t>
      </w:r>
      <w:proofErr w:type="spellEnd"/>
      <w:r>
        <w:t xml:space="preserve"> implemented in language rather than in practice. Moreover, the ethical complexities surrounding autonomy, beneficence, and justice highlight that PCC is not simply a matter of offering choice, but of navigating competing values in ways that respect individual needs while ensuring safety and equity. Partnership working, too, requires more than co</w:t>
      </w:r>
      <w:r>
        <w:rPr>
          <w:rFonts w:ascii="Cambria Math" w:hAnsi="Cambria Math" w:cs="Cambria Math"/>
        </w:rPr>
        <w:t>‑</w:t>
      </w:r>
      <w:r>
        <w:t>location or shared meetings; it demands a cultural shift towards mutual respect, shared accountability, and genuinely integrated practice.</w:t>
      </w:r>
    </w:p>
    <w:p w:rsidRPr="00AB2DA9" w:rsidR="00AB2DA9" w:rsidP="0059324A" w:rsidRDefault="005A6957" w14:paraId="1615D48E" w14:textId="66EE89C0">
      <w:r>
        <w:t xml:space="preserve">Meaningful progress in PCC and PW will require sustained investment, policy coherence, and a commitment to tackling the structural inequalities that shape people’s experiences of care. It also requires empowering practitioners through training, reflective spaces, and supportive leadership so they can engage in the relational work that PCC and PW demand. Until these wider conditions </w:t>
      </w:r>
      <w:bookmarkStart w:name="_Int_ru9UWbcK" w:id="31"/>
      <w:r>
        <w:t>are addressed</w:t>
      </w:r>
      <w:bookmarkEnd w:id="31"/>
      <w:r>
        <w:t xml:space="preserve">, PCC and PW will remain vulnerable to inconsistency, variation, and the pressures of an overstretched system. However, with the right organisational and political commitment, both approaches have the potential to transform care experiences, improve outcomes, and create a more </w:t>
      </w:r>
      <w:bookmarkStart w:name="_Int_hrrcCq8m" w:id="32"/>
      <w:r>
        <w:t>equitable</w:t>
      </w:r>
      <w:bookmarkEnd w:id="32"/>
      <w:r>
        <w:t xml:space="preserve"> and responsive health and social care system.</w:t>
      </w:r>
    </w:p>
    <w:p w:rsidR="005A6957" w:rsidP="0059324A" w:rsidRDefault="005A6957" w14:paraId="4CE2C8A7" w14:textId="77777777">
      <w:pPr>
        <w:rPr>
          <w:b/>
          <w:bCs/>
          <w:u w:val="single"/>
        </w:rPr>
      </w:pPr>
    </w:p>
    <w:p w:rsidR="005A6957" w:rsidP="0059324A" w:rsidRDefault="005A6957" w14:paraId="1BD98964" w14:textId="77777777">
      <w:pPr>
        <w:rPr>
          <w:b/>
          <w:bCs/>
          <w:u w:val="single"/>
        </w:rPr>
      </w:pPr>
    </w:p>
    <w:p w:rsidR="005A6957" w:rsidP="0059324A" w:rsidRDefault="005A6957" w14:paraId="419B5830" w14:textId="77777777">
      <w:pPr>
        <w:rPr>
          <w:b/>
          <w:bCs/>
          <w:u w:val="single"/>
        </w:rPr>
      </w:pPr>
    </w:p>
    <w:p w:rsidR="005A6957" w:rsidP="0059324A" w:rsidRDefault="005A6957" w14:paraId="42DB1008" w14:textId="77777777">
      <w:pPr>
        <w:rPr>
          <w:b/>
          <w:bCs/>
          <w:u w:val="single"/>
        </w:rPr>
      </w:pPr>
    </w:p>
    <w:p w:rsidR="005A6957" w:rsidP="0059324A" w:rsidRDefault="005A6957" w14:paraId="2B297C19" w14:textId="77777777">
      <w:pPr>
        <w:rPr>
          <w:b/>
          <w:bCs/>
          <w:u w:val="single"/>
        </w:rPr>
      </w:pPr>
    </w:p>
    <w:p w:rsidR="005A6957" w:rsidP="0059324A" w:rsidRDefault="005A6957" w14:paraId="6D9292AA" w14:textId="77777777">
      <w:pPr>
        <w:rPr>
          <w:b/>
          <w:bCs/>
          <w:u w:val="single"/>
        </w:rPr>
      </w:pPr>
    </w:p>
    <w:p w:rsidR="005A6957" w:rsidP="0059324A" w:rsidRDefault="005A6957" w14:paraId="5811DC5B" w14:textId="77777777">
      <w:pPr>
        <w:rPr>
          <w:b/>
          <w:bCs/>
          <w:u w:val="single"/>
        </w:rPr>
      </w:pPr>
    </w:p>
    <w:p w:rsidR="005A6957" w:rsidP="0059324A" w:rsidRDefault="005A6957" w14:paraId="5F5F866B" w14:textId="77777777">
      <w:pPr>
        <w:rPr>
          <w:b/>
          <w:bCs/>
          <w:u w:val="single"/>
        </w:rPr>
      </w:pPr>
    </w:p>
    <w:p w:rsidR="005A6957" w:rsidP="0059324A" w:rsidRDefault="005A6957" w14:paraId="229BAB36" w14:textId="77777777">
      <w:pPr>
        <w:rPr>
          <w:b/>
          <w:bCs/>
          <w:u w:val="single"/>
        </w:rPr>
      </w:pPr>
    </w:p>
    <w:p w:rsidR="005A6957" w:rsidP="0059324A" w:rsidRDefault="005A6957" w14:paraId="37A85BD6" w14:textId="77777777">
      <w:pPr>
        <w:rPr>
          <w:b/>
          <w:bCs/>
          <w:u w:val="single"/>
        </w:rPr>
      </w:pPr>
    </w:p>
    <w:p w:rsidR="005A6957" w:rsidP="0059324A" w:rsidRDefault="005A6957" w14:paraId="0A13A807" w14:textId="77777777">
      <w:pPr>
        <w:rPr>
          <w:b/>
          <w:bCs/>
          <w:u w:val="single"/>
        </w:rPr>
      </w:pPr>
    </w:p>
    <w:p w:rsidR="005A6957" w:rsidP="0059324A" w:rsidRDefault="005A6957" w14:paraId="4A890352" w14:textId="77777777">
      <w:pPr>
        <w:rPr>
          <w:b/>
          <w:bCs/>
          <w:u w:val="single"/>
        </w:rPr>
      </w:pPr>
    </w:p>
    <w:p w:rsidRPr="00CD2583" w:rsidR="0059324A" w:rsidP="0059324A" w:rsidRDefault="0059324A" w14:paraId="5729F7D4" w14:textId="46627756">
      <w:pPr>
        <w:rPr>
          <w:b/>
          <w:bCs/>
          <w:u w:val="single"/>
        </w:rPr>
      </w:pPr>
      <w:r w:rsidRPr="00CD2583">
        <w:rPr>
          <w:b/>
          <w:bCs/>
          <w:u w:val="single"/>
        </w:rPr>
        <w:lastRenderedPageBreak/>
        <w:t>Reference List</w:t>
      </w:r>
    </w:p>
    <w:p w:rsidR="0059324A" w:rsidP="0059324A" w:rsidRDefault="0059324A" w14:paraId="0015610D" w14:textId="4A3AEC27">
      <w:r>
        <w:t xml:space="preserve">Beauchamp, </w:t>
      </w:r>
      <w:r w:rsidR="008D63D2">
        <w:t>T.,</w:t>
      </w:r>
      <w:r>
        <w:t xml:space="preserve"> and Childress, J. (2019) Principles of Biomedical Ethics. 8th ed. Oxford: Oxford University Press.</w:t>
      </w:r>
    </w:p>
    <w:p w:rsidR="0059324A" w:rsidP="0059324A" w:rsidRDefault="0059324A" w14:paraId="4F38EBD1" w14:textId="77777777">
      <w:r>
        <w:t>Care Act (2014). London: HMSO.</w:t>
      </w:r>
    </w:p>
    <w:p w:rsidR="0059324A" w:rsidP="0059324A" w:rsidRDefault="0059324A" w14:paraId="55BB7E54" w14:textId="5D1B561B">
      <w:r>
        <w:t xml:space="preserve">Coulter, </w:t>
      </w:r>
      <w:r w:rsidR="008D63D2">
        <w:t>A.,</w:t>
      </w:r>
      <w:r>
        <w:t xml:space="preserve"> and Oldham, J. (2016) ‘Person</w:t>
      </w:r>
      <w:r>
        <w:rPr>
          <w:rFonts w:ascii="Cambria Math" w:hAnsi="Cambria Math" w:cs="Cambria Math"/>
        </w:rPr>
        <w:t>‑</w:t>
      </w:r>
      <w:r>
        <w:t>centred care: what is it and how do we get there?’ Future Hospital Journal, 3(2), pp. 114–116.</w:t>
      </w:r>
    </w:p>
    <w:p w:rsidR="0059324A" w:rsidP="0059324A" w:rsidRDefault="0059324A" w14:paraId="14EA35FC" w14:textId="77777777">
      <w:r>
        <w:t>Equality Act (2010). London: HMSO.</w:t>
      </w:r>
    </w:p>
    <w:p w:rsidR="0059324A" w:rsidP="0059324A" w:rsidRDefault="0059324A" w14:paraId="7825B360" w14:textId="77777777">
      <w:proofErr w:type="spellStart"/>
      <w:r>
        <w:t>Glasby</w:t>
      </w:r>
      <w:proofErr w:type="spellEnd"/>
      <w:r>
        <w:t>, J. and Dickinson, H. (2014) Partnership Working in Health and Social Care. 2nd ed. Bristol: Policy Press.</w:t>
      </w:r>
    </w:p>
    <w:p w:rsidR="0059324A" w:rsidP="0059324A" w:rsidRDefault="0059324A" w14:paraId="595F57DE" w14:textId="77777777">
      <w:r>
        <w:t>Health Foundation (2016) Person</w:t>
      </w:r>
      <w:r>
        <w:rPr>
          <w:rFonts w:ascii="Cambria Math" w:hAnsi="Cambria Math" w:cs="Cambria Math"/>
        </w:rPr>
        <w:t>‑</w:t>
      </w:r>
      <w:r>
        <w:t>centred care made simple. London: The Health Foundation.</w:t>
      </w:r>
    </w:p>
    <w:p w:rsidR="0059324A" w:rsidP="0059324A" w:rsidRDefault="0059324A" w14:paraId="39BAD25D" w14:textId="77777777">
      <w:r>
        <w:t>Health and Social Care Act (2012). London: HMSO.</w:t>
      </w:r>
    </w:p>
    <w:p w:rsidR="0059324A" w:rsidP="0059324A" w:rsidRDefault="0059324A" w14:paraId="4F251725" w14:textId="77777777">
      <w:r>
        <w:t xml:space="preserve">McCormack, B. and </w:t>
      </w:r>
      <w:proofErr w:type="spellStart"/>
      <w:r>
        <w:t>McCance</w:t>
      </w:r>
      <w:proofErr w:type="spellEnd"/>
      <w:r>
        <w:t>, T. (2017) Person</w:t>
      </w:r>
      <w:r>
        <w:rPr>
          <w:rFonts w:ascii="Cambria Math" w:hAnsi="Cambria Math" w:cs="Cambria Math"/>
        </w:rPr>
        <w:t>‑</w:t>
      </w:r>
      <w:r>
        <w:t>Centred Practice in Nursing and Health Care. 2nd ed. Oxford: Wiley</w:t>
      </w:r>
      <w:r>
        <w:rPr>
          <w:rFonts w:ascii="Cambria Math" w:hAnsi="Cambria Math" w:cs="Cambria Math"/>
        </w:rPr>
        <w:t>‑</w:t>
      </w:r>
      <w:r>
        <w:t>Blackwell.</w:t>
      </w:r>
    </w:p>
    <w:p w:rsidR="0059324A" w:rsidP="0059324A" w:rsidRDefault="0059324A" w14:paraId="5CF5CCB8" w14:textId="77777777">
      <w:r>
        <w:t>Mental Capacity Act (2005). London: HMSO.</w:t>
      </w:r>
    </w:p>
    <w:p w:rsidR="0059324A" w:rsidP="0059324A" w:rsidRDefault="0059324A" w14:paraId="5CBB865C" w14:textId="77777777">
      <w:r>
        <w:t>NHS England (2019) The NHS Long Term Plan. London: NHS England.</w:t>
      </w:r>
    </w:p>
    <w:p w:rsidR="0059324A" w:rsidP="0059324A" w:rsidRDefault="0059324A" w14:paraId="211E5742" w14:textId="77777777">
      <w:r>
        <w:t>NICE (2021) Shared Decision Making: NG197. London: NICE.</w:t>
      </w:r>
    </w:p>
    <w:p w:rsidR="00B20E0C" w:rsidRDefault="0059324A" w14:paraId="20BA1E0C" w14:textId="24063EAB">
      <w:r>
        <w:t>Royal College of Nursing (2022) Staffing for Safe and Effective Care. London: RCN.</w:t>
      </w:r>
    </w:p>
    <w:sectPr w:rsidR="00B20E0C">
      <w:pgSz w:w="11906" w:h="16838" w:orient="portrait"/>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rsidR="00CD2583" w:rsidP="00CD2583" w:rsidRDefault="00CD2583" w14:paraId="1FD7C983" w14:textId="77777777">
      <w:pPr>
        <w:spacing w:after="0" w:line="240" w:lineRule="auto"/>
      </w:pPr>
      <w:r>
        <w:separator/>
      </w:r>
    </w:p>
  </w:endnote>
  <w:endnote w:type="continuationSeparator" w:id="0">
    <w:p w:rsidR="00CD2583" w:rsidP="00CD2583" w:rsidRDefault="00CD2583" w14:paraId="6CC993CB" w14:textId="7777777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panose1 w:val="020B0004020202020204"/>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panose1 w:val="020B0004020202020204"/>
    <w:charset w:val="00"/>
    <w:family w:val="swiss"/>
    <w:notTrueType/>
    <w:pitch w:val="variable"/>
    <w:sig w:usb0="20000287" w:usb1="00000003" w:usb2="00000000" w:usb3="00000000" w:csb0="0000019F" w:csb1="00000000"/>
  </w:font>
  <w:font w:name="Cambria Math">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rsidR="00CD2583" w:rsidP="00CD2583" w:rsidRDefault="00CD2583" w14:paraId="16CD6CD9" w14:textId="77777777">
      <w:pPr>
        <w:spacing w:after="0" w:line="240" w:lineRule="auto"/>
      </w:pPr>
      <w:r>
        <w:separator/>
      </w:r>
    </w:p>
  </w:footnote>
  <w:footnote w:type="continuationSeparator" w:id="0">
    <w:p w:rsidR="00CD2583" w:rsidP="00CD2583" w:rsidRDefault="00CD2583" w14:paraId="7E92AEB0" w14:textId="77777777">
      <w:pPr>
        <w:spacing w:after="0" w:line="240" w:lineRule="auto"/>
      </w:pPr>
      <w:r>
        <w:continuationSeparator/>
      </w:r>
    </w:p>
  </w:footnote>
</w:footnotes>
</file>

<file path=word/intelligence2.xml><?xml version="1.0" encoding="utf-8"?>
<int2:intelligence xmlns:int2="http://schemas.microsoft.com/office/intelligence/2020/intelligence" xmlns:oel="http://schemas.microsoft.com/office/2019/extlst">
  <int2:observations>
    <int2:bookmark int2:bookmarkName="_Int_lFUx3Xyi" int2:invalidationBookmarkName="" int2:hashCode="t/hpPFLcj/OpLO" int2:id="YnnCsimM">
      <int2:state int2:value="Rejected" int2:type="style"/>
    </int2:bookmark>
    <int2:bookmark int2:bookmarkName="_Int_PNZdj876" int2:invalidationBookmarkName="" int2:hashCode="XBCTO60HnI4yRJ" int2:id="DKTFtwKQ">
      <int2:state int2:value="Rejected" int2:type="style"/>
    </int2:bookmark>
    <int2:bookmark int2:bookmarkName="_Int_pwZfY9qX" int2:invalidationBookmarkName="" int2:hashCode="yKDJq+Wfh/D8zr" int2:id="9n4Jtvag">
      <int2:state int2:value="Rejected" int2:type="style"/>
    </int2:bookmark>
    <int2:bookmark int2:bookmarkName="_Int_SxHibQdy" int2:invalidationBookmarkName="" int2:hashCode="3bPvKjIwSOetA5" int2:id="ZkOhltDo">
      <int2:state int2:value="Rejected" int2:type="style"/>
    </int2:bookmark>
    <int2:bookmark int2:bookmarkName="_Int_gbD6bL4O" int2:invalidationBookmarkName="" int2:hashCode="s95Abi/k0iwMSr" int2:id="acODNBmd">
      <int2:state int2:value="Rejected" int2:type="style"/>
    </int2:bookmark>
    <int2:bookmark int2:bookmarkName="_Int_z1mDxbQL" int2:invalidationBookmarkName="" int2:hashCode="FHylqW5ZNIFFeB" int2:id="qsz2hpKI">
      <int2:state int2:value="Rejected" int2:type="style"/>
    </int2:bookmark>
    <int2:bookmark int2:bookmarkName="_Int_F9US7pOK" int2:invalidationBookmarkName="" int2:hashCode="3Q4yC7V24CHo5R" int2:id="xfs0tAqS">
      <int2:state int2:value="Rejected" int2:type="style"/>
    </int2:bookmark>
    <int2:bookmark int2:bookmarkName="_Int_bhyCp3Is" int2:invalidationBookmarkName="" int2:hashCode="GnfUFiJMu+d6Q5" int2:id="t6C5K374">
      <int2:state int2:value="Rejected" int2:type="style"/>
    </int2:bookmark>
    <int2:bookmark int2:bookmarkName="_Int_KixXAdgJ" int2:invalidationBookmarkName="" int2:hashCode="1oV0hlFN+4Gwi+" int2:id="WMpXENYf">
      <int2:state int2:value="Rejected" int2:type="style"/>
    </int2:bookmark>
    <int2:bookmark int2:bookmarkName="_Int_lfnEvNLd" int2:invalidationBookmarkName="" int2:hashCode="xZb0PNM+CmXhro" int2:id="JmGyuY8n">
      <int2:state int2:value="Rejected" int2:type="style"/>
    </int2:bookmark>
    <int2:bookmark int2:bookmarkName="_Int_kQxZUJYV" int2:invalidationBookmarkName="" int2:hashCode="r5iNSkWsWVTEnv" int2:id="uINQUe44">
      <int2:state int2:value="Rejected" int2:type="style"/>
    </int2:bookmark>
    <int2:bookmark int2:bookmarkName="_Int_1a1wMa5w" int2:invalidationBookmarkName="" int2:hashCode="m/D4/19di8v/ud" int2:id="s8nMN2Gc">
      <int2:state int2:value="Rejected" int2:type="style"/>
    </int2:bookmark>
    <int2:bookmark int2:bookmarkName="_Int_ayXfy9Ja" int2:invalidationBookmarkName="" int2:hashCode="2i9M6eDcqD4Mt6" int2:id="jtZBMPUs">
      <int2:state int2:value="Rejected" int2:type="style"/>
    </int2:bookmark>
    <int2:bookmark int2:bookmarkName="_Int_CixzLZnY" int2:invalidationBookmarkName="" int2:hashCode="xhKzW50/O76H3Z" int2:id="aA8m0bLq">
      <int2:state int2:value="Rejected" int2:type="style"/>
    </int2:bookmark>
    <int2:bookmark int2:bookmarkName="_Int_IBIAVsd2" int2:invalidationBookmarkName="" int2:hashCode="051uur3qTsy1Ie" int2:id="Y6JnP7Ag">
      <int2:state int2:value="Rejected" int2:type="style"/>
    </int2:bookmark>
    <int2:bookmark int2:bookmarkName="_Int_4jTj8Wq1" int2:invalidationBookmarkName="" int2:hashCode="/K8WXZT8sNfZCM" int2:id="OUAXSgbz">
      <int2:state int2:value="Rejected" int2:type="style"/>
    </int2:bookmark>
    <int2:bookmark int2:bookmarkName="_Int_EEZWzIOh" int2:invalidationBookmarkName="" int2:hashCode="eAlHl1g8EAAYsr" int2:id="bqtmt8xB">
      <int2:state int2:value="Rejected" int2:type="style"/>
    </int2:bookmark>
    <int2:bookmark int2:bookmarkName="_Int_3VGd1Y01" int2:invalidationBookmarkName="" int2:hashCode="SLGLFARhzcGrh6" int2:id="rxBjvYQE">
      <int2:state int2:value="Rejected" int2:type="style"/>
    </int2:bookmark>
    <int2:bookmark int2:bookmarkName="_Int_s0m38ZrR" int2:invalidationBookmarkName="" int2:hashCode="BP722YIMEjO0Sh" int2:id="7GRah8UC">
      <int2:state int2:value="Rejected" int2:type="style"/>
    </int2:bookmark>
    <int2:bookmark int2:bookmarkName="_Int_3LUL58w9" int2:invalidationBookmarkName="" int2:hashCode="RGqULZzFiJtYZr" int2:id="4Q6u9vvi">
      <int2:state int2:value="Rejected" int2:type="style"/>
    </int2:bookmark>
    <int2:bookmark int2:bookmarkName="_Int_zNBIMaef" int2:invalidationBookmarkName="" int2:hashCode="801CC1EaWoVJ+P" int2:id="eqevXfa1">
      <int2:state int2:value="Rejected" int2:type="style"/>
    </int2:bookmark>
    <int2:bookmark int2:bookmarkName="_Int_Dv4sp56F" int2:invalidationBookmarkName="" int2:hashCode="/O94EAfkqahxoK" int2:id="st2kCrOz">
      <int2:state int2:value="Rejected" int2:type="style"/>
    </int2:bookmark>
    <int2:bookmark int2:bookmarkName="_Int_f1v9bec7" int2:invalidationBookmarkName="" int2:hashCode="maS+KK4PEzqNKd" int2:id="ZzhBPhaD">
      <int2:state int2:value="Rejected" int2:type="style"/>
    </int2:bookmark>
    <int2:bookmark int2:bookmarkName="_Int_uT1rs3fl" int2:invalidationBookmarkName="" int2:hashCode="krc9jyctnkRZ9u" int2:id="3PZ6MzPh">
      <int2:state int2:value="Rejected" int2:type="style"/>
    </int2:bookmark>
    <int2:bookmark int2:bookmarkName="_Int_vB3If8VS" int2:invalidationBookmarkName="" int2:hashCode="LLHebimjcqq/cD" int2:id="ee4a5UDc">
      <int2:state int2:value="Rejected" int2:type="style"/>
    </int2:bookmark>
    <int2:bookmark int2:bookmarkName="_Int_H1YInQRI" int2:invalidationBookmarkName="" int2:hashCode="iAFrimimMK9SD/" int2:id="oi2THmup">
      <int2:state int2:value="Rejected" int2:type="style"/>
    </int2:bookmark>
    <int2:bookmark int2:bookmarkName="_Int_GtIsI2Rl" int2:invalidationBookmarkName="" int2:hashCode="QyMHtVzhlTy+I2" int2:id="nlEtS8Rj">
      <int2:state int2:value="Rejected" int2:type="style"/>
    </int2:bookmark>
    <int2:bookmark int2:bookmarkName="_Int_6w1Ojxhr" int2:invalidationBookmarkName="" int2:hashCode="xxFHguecxJYzNQ" int2:id="JkvWlv7i">
      <int2:state int2:value="Rejected" int2:type="style"/>
    </int2:bookmark>
    <int2:bookmark int2:bookmarkName="_Int_d6EjZ5eA" int2:invalidationBookmarkName="" int2:hashCode="G9N6tii+uWPrbO" int2:id="XDrIioID">
      <int2:state int2:value="Rejected" int2:type="style"/>
    </int2:bookmark>
    <int2:bookmark int2:bookmarkName="_Int_7ZMmebpM" int2:invalidationBookmarkName="" int2:hashCode="2i9M6eDcqD4Mt6" int2:id="qcCP578v">
      <int2:state int2:value="Rejected" int2:type="style"/>
    </int2:bookmark>
    <int2:bookmark int2:bookmarkName="_Int_9JoyPdyU" int2:invalidationBookmarkName="" int2:hashCode="Z7UxKrZs5gOmFV" int2:id="ECeadhdB">
      <int2:state int2:value="Rejected" int2:type="style"/>
    </int2:bookmark>
    <int2:bookmark int2:bookmarkName="_Int_ru9UWbcK" int2:invalidationBookmarkName="" int2:hashCode="29OPdM1BG8HNSL" int2:id="UQHpuwji">
      <int2:state int2:value="Rejected" int2:type="style"/>
    </int2:bookmark>
    <int2:bookmark int2:bookmarkName="_Int_hrrcCq8m" int2:invalidationBookmarkName="" int2:hashCode="xhKzW50/O76H3Z" int2:id="EY2BERgh">
      <int2:state int2:value="Rejected" int2:type="style"/>
    </int2:bookmark>
  </int2:observations>
  <int2:intelligenceSettings/>
  <int2:onDemandWorkflows/>
</int2:intelligenc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65"/>
  <w:proofState w:spelling="clean" w:grammar="dirty"/>
  <w:trackRevisions w:val="false"/>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20E0C"/>
    <w:rsid w:val="001D1104"/>
    <w:rsid w:val="0058493A"/>
    <w:rsid w:val="0059324A"/>
    <w:rsid w:val="005A6957"/>
    <w:rsid w:val="005D3FA9"/>
    <w:rsid w:val="00600F9B"/>
    <w:rsid w:val="006B19A4"/>
    <w:rsid w:val="006E736B"/>
    <w:rsid w:val="007C2542"/>
    <w:rsid w:val="008D63D2"/>
    <w:rsid w:val="009808F6"/>
    <w:rsid w:val="00A4513E"/>
    <w:rsid w:val="00AB2DA9"/>
    <w:rsid w:val="00B20E0C"/>
    <w:rsid w:val="00CD2583"/>
    <w:rsid w:val="00D8189C"/>
    <w:rsid w:val="00F2659F"/>
    <w:rsid w:val="06EA0DDC"/>
    <w:rsid w:val="1B81F51C"/>
    <w:rsid w:val="1FC8A575"/>
    <w:rsid w:val="287F73F0"/>
    <w:rsid w:val="30F26393"/>
    <w:rsid w:val="39213B4A"/>
    <w:rsid w:val="39422A26"/>
    <w:rsid w:val="5AC99380"/>
    <w:rsid w:val="5E6C3436"/>
    <w:rsid w:val="5E8224B6"/>
    <w:rsid w:val="63FB624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276113C0"/>
  <w15:chartTrackingRefBased/>
  <w15:docId w15:val="{9F4B367A-F869-2C44-9B01-B56D31AEA8E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hAnsiTheme="minorHAnsi" w:eastAsiaTheme="minorEastAsia"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style>
  <w:style w:type="paragraph" w:styleId="Heading1">
    <w:name w:val="heading 1"/>
    <w:basedOn w:val="Normal"/>
    <w:next w:val="Normal"/>
    <w:link w:val="Heading1Char"/>
    <w:uiPriority w:val="9"/>
    <w:qFormat/>
    <w:rsid w:val="00B20E0C"/>
    <w:pPr>
      <w:keepNext/>
      <w:keepLines/>
      <w:spacing w:before="360" w:after="80"/>
      <w:outlineLvl w:val="0"/>
    </w:pPr>
    <w:rPr>
      <w:rFonts w:asciiTheme="majorHAnsi" w:hAnsiTheme="majorHAnsi" w:eastAsiaTheme="majorEastAsia"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B20E0C"/>
    <w:pPr>
      <w:keepNext/>
      <w:keepLines/>
      <w:spacing w:before="160" w:after="80"/>
      <w:outlineLvl w:val="1"/>
    </w:pPr>
    <w:rPr>
      <w:rFonts w:asciiTheme="majorHAnsi" w:hAnsiTheme="majorHAnsi" w:eastAsiaTheme="majorEastAsia"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B20E0C"/>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B20E0C"/>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B20E0C"/>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B20E0C"/>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B20E0C"/>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B20E0C"/>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B20E0C"/>
    <w:pPr>
      <w:keepNext/>
      <w:keepLines/>
      <w:spacing w:after="0"/>
      <w:outlineLvl w:val="8"/>
    </w:pPr>
    <w:rPr>
      <w:rFonts w:eastAsiaTheme="majorEastAsia" w:cstheme="majorBidi"/>
      <w:color w:val="272727" w:themeColor="text1" w:themeTint="D8"/>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sid w:val="00B20E0C"/>
    <w:rPr>
      <w:rFonts w:asciiTheme="majorHAnsi" w:hAnsiTheme="majorHAnsi" w:eastAsiaTheme="majorEastAsia" w:cstheme="majorBidi"/>
      <w:color w:val="0F4761" w:themeColor="accent1" w:themeShade="BF"/>
      <w:sz w:val="40"/>
      <w:szCs w:val="40"/>
    </w:rPr>
  </w:style>
  <w:style w:type="character" w:styleId="Heading2Char" w:customStyle="1">
    <w:name w:val="Heading 2 Char"/>
    <w:basedOn w:val="DefaultParagraphFont"/>
    <w:link w:val="Heading2"/>
    <w:uiPriority w:val="9"/>
    <w:semiHidden/>
    <w:rsid w:val="00B20E0C"/>
    <w:rPr>
      <w:rFonts w:asciiTheme="majorHAnsi" w:hAnsiTheme="majorHAnsi" w:eastAsiaTheme="majorEastAsia" w:cstheme="majorBidi"/>
      <w:color w:val="0F4761" w:themeColor="accent1" w:themeShade="BF"/>
      <w:sz w:val="32"/>
      <w:szCs w:val="32"/>
    </w:rPr>
  </w:style>
  <w:style w:type="character" w:styleId="Heading3Char" w:customStyle="1">
    <w:name w:val="Heading 3 Char"/>
    <w:basedOn w:val="DefaultParagraphFont"/>
    <w:link w:val="Heading3"/>
    <w:uiPriority w:val="9"/>
    <w:semiHidden/>
    <w:rsid w:val="00B20E0C"/>
    <w:rPr>
      <w:rFonts w:eastAsiaTheme="majorEastAsia" w:cstheme="majorBidi"/>
      <w:color w:val="0F4761" w:themeColor="accent1" w:themeShade="BF"/>
      <w:sz w:val="28"/>
      <w:szCs w:val="28"/>
    </w:rPr>
  </w:style>
  <w:style w:type="character" w:styleId="Heading4Char" w:customStyle="1">
    <w:name w:val="Heading 4 Char"/>
    <w:basedOn w:val="DefaultParagraphFont"/>
    <w:link w:val="Heading4"/>
    <w:uiPriority w:val="9"/>
    <w:semiHidden/>
    <w:rsid w:val="00B20E0C"/>
    <w:rPr>
      <w:rFonts w:eastAsiaTheme="majorEastAsia" w:cstheme="majorBidi"/>
      <w:i/>
      <w:iCs/>
      <w:color w:val="0F4761" w:themeColor="accent1" w:themeShade="BF"/>
    </w:rPr>
  </w:style>
  <w:style w:type="character" w:styleId="Heading5Char" w:customStyle="1">
    <w:name w:val="Heading 5 Char"/>
    <w:basedOn w:val="DefaultParagraphFont"/>
    <w:link w:val="Heading5"/>
    <w:uiPriority w:val="9"/>
    <w:semiHidden/>
    <w:rsid w:val="00B20E0C"/>
    <w:rPr>
      <w:rFonts w:eastAsiaTheme="majorEastAsia" w:cstheme="majorBidi"/>
      <w:color w:val="0F4761" w:themeColor="accent1" w:themeShade="BF"/>
    </w:rPr>
  </w:style>
  <w:style w:type="character" w:styleId="Heading6Char" w:customStyle="1">
    <w:name w:val="Heading 6 Char"/>
    <w:basedOn w:val="DefaultParagraphFont"/>
    <w:link w:val="Heading6"/>
    <w:uiPriority w:val="9"/>
    <w:semiHidden/>
    <w:rsid w:val="00B20E0C"/>
    <w:rPr>
      <w:rFonts w:eastAsiaTheme="majorEastAsia" w:cstheme="majorBidi"/>
      <w:i/>
      <w:iCs/>
      <w:color w:val="595959" w:themeColor="text1" w:themeTint="A6"/>
    </w:rPr>
  </w:style>
  <w:style w:type="character" w:styleId="Heading7Char" w:customStyle="1">
    <w:name w:val="Heading 7 Char"/>
    <w:basedOn w:val="DefaultParagraphFont"/>
    <w:link w:val="Heading7"/>
    <w:uiPriority w:val="9"/>
    <w:semiHidden/>
    <w:rsid w:val="00B20E0C"/>
    <w:rPr>
      <w:rFonts w:eastAsiaTheme="majorEastAsia" w:cstheme="majorBidi"/>
      <w:color w:val="595959" w:themeColor="text1" w:themeTint="A6"/>
    </w:rPr>
  </w:style>
  <w:style w:type="character" w:styleId="Heading8Char" w:customStyle="1">
    <w:name w:val="Heading 8 Char"/>
    <w:basedOn w:val="DefaultParagraphFont"/>
    <w:link w:val="Heading8"/>
    <w:uiPriority w:val="9"/>
    <w:semiHidden/>
    <w:rsid w:val="00B20E0C"/>
    <w:rPr>
      <w:rFonts w:eastAsiaTheme="majorEastAsia" w:cstheme="majorBidi"/>
      <w:i/>
      <w:iCs/>
      <w:color w:val="272727" w:themeColor="text1" w:themeTint="D8"/>
    </w:rPr>
  </w:style>
  <w:style w:type="character" w:styleId="Heading9Char" w:customStyle="1">
    <w:name w:val="Heading 9 Char"/>
    <w:basedOn w:val="DefaultParagraphFont"/>
    <w:link w:val="Heading9"/>
    <w:uiPriority w:val="9"/>
    <w:semiHidden/>
    <w:rsid w:val="00B20E0C"/>
    <w:rPr>
      <w:rFonts w:eastAsiaTheme="majorEastAsia" w:cstheme="majorBidi"/>
      <w:color w:val="272727" w:themeColor="text1" w:themeTint="D8"/>
    </w:rPr>
  </w:style>
  <w:style w:type="paragraph" w:styleId="Title">
    <w:name w:val="Title"/>
    <w:basedOn w:val="Normal"/>
    <w:next w:val="Normal"/>
    <w:link w:val="TitleChar"/>
    <w:uiPriority w:val="10"/>
    <w:qFormat/>
    <w:rsid w:val="00B20E0C"/>
    <w:pPr>
      <w:spacing w:after="80" w:line="240" w:lineRule="auto"/>
      <w:contextualSpacing/>
    </w:pPr>
    <w:rPr>
      <w:rFonts w:asciiTheme="majorHAnsi" w:hAnsiTheme="majorHAnsi" w:eastAsiaTheme="majorEastAsia" w:cstheme="majorBidi"/>
      <w:spacing w:val="-10"/>
      <w:kern w:val="28"/>
      <w:sz w:val="56"/>
      <w:szCs w:val="56"/>
    </w:rPr>
  </w:style>
  <w:style w:type="character" w:styleId="TitleChar" w:customStyle="1">
    <w:name w:val="Title Char"/>
    <w:basedOn w:val="DefaultParagraphFont"/>
    <w:link w:val="Title"/>
    <w:uiPriority w:val="10"/>
    <w:rsid w:val="00B20E0C"/>
    <w:rPr>
      <w:rFonts w:asciiTheme="majorHAnsi" w:hAnsiTheme="majorHAnsi" w:eastAsiaTheme="majorEastAsia" w:cstheme="majorBidi"/>
      <w:spacing w:val="-10"/>
      <w:kern w:val="28"/>
      <w:sz w:val="56"/>
      <w:szCs w:val="56"/>
    </w:rPr>
  </w:style>
  <w:style w:type="paragraph" w:styleId="Subtitle">
    <w:name w:val="Subtitle"/>
    <w:basedOn w:val="Normal"/>
    <w:next w:val="Normal"/>
    <w:link w:val="SubtitleChar"/>
    <w:uiPriority w:val="11"/>
    <w:qFormat/>
    <w:rsid w:val="00B20E0C"/>
    <w:pPr>
      <w:numPr>
        <w:ilvl w:val="1"/>
      </w:numPr>
    </w:pPr>
    <w:rPr>
      <w:rFonts w:eastAsiaTheme="majorEastAsia" w:cstheme="majorBidi"/>
      <w:color w:val="595959" w:themeColor="text1" w:themeTint="A6"/>
      <w:spacing w:val="15"/>
      <w:sz w:val="28"/>
      <w:szCs w:val="28"/>
    </w:rPr>
  </w:style>
  <w:style w:type="character" w:styleId="SubtitleChar" w:customStyle="1">
    <w:name w:val="Subtitle Char"/>
    <w:basedOn w:val="DefaultParagraphFont"/>
    <w:link w:val="Subtitle"/>
    <w:uiPriority w:val="11"/>
    <w:rsid w:val="00B20E0C"/>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B20E0C"/>
    <w:pPr>
      <w:spacing w:before="160"/>
      <w:jc w:val="center"/>
    </w:pPr>
    <w:rPr>
      <w:i/>
      <w:iCs/>
      <w:color w:val="404040" w:themeColor="text1" w:themeTint="BF"/>
    </w:rPr>
  </w:style>
  <w:style w:type="character" w:styleId="QuoteChar" w:customStyle="1">
    <w:name w:val="Quote Char"/>
    <w:basedOn w:val="DefaultParagraphFont"/>
    <w:link w:val="Quote"/>
    <w:uiPriority w:val="29"/>
    <w:rsid w:val="00B20E0C"/>
    <w:rPr>
      <w:i/>
      <w:iCs/>
      <w:color w:val="404040" w:themeColor="text1" w:themeTint="BF"/>
    </w:rPr>
  </w:style>
  <w:style w:type="paragraph" w:styleId="ListParagraph">
    <w:name w:val="List Paragraph"/>
    <w:basedOn w:val="Normal"/>
    <w:uiPriority w:val="34"/>
    <w:qFormat/>
    <w:rsid w:val="00B20E0C"/>
    <w:pPr>
      <w:ind w:left="720"/>
      <w:contextualSpacing/>
    </w:pPr>
  </w:style>
  <w:style w:type="character" w:styleId="IntenseEmphasis">
    <w:name w:val="Intense Emphasis"/>
    <w:basedOn w:val="DefaultParagraphFont"/>
    <w:uiPriority w:val="21"/>
    <w:qFormat/>
    <w:rsid w:val="00B20E0C"/>
    <w:rPr>
      <w:i/>
      <w:iCs/>
      <w:color w:val="0F4761" w:themeColor="accent1" w:themeShade="BF"/>
    </w:rPr>
  </w:style>
  <w:style w:type="paragraph" w:styleId="IntenseQuote">
    <w:name w:val="Intense Quote"/>
    <w:basedOn w:val="Normal"/>
    <w:next w:val="Normal"/>
    <w:link w:val="IntenseQuoteChar"/>
    <w:uiPriority w:val="30"/>
    <w:qFormat/>
    <w:rsid w:val="00B20E0C"/>
    <w:pPr>
      <w:pBdr>
        <w:top w:val="single" w:color="0F4761" w:themeColor="accent1" w:themeShade="BF" w:sz="4" w:space="10"/>
        <w:bottom w:val="single" w:color="0F4761" w:themeColor="accent1" w:themeShade="BF" w:sz="4" w:space="10"/>
      </w:pBdr>
      <w:spacing w:before="360" w:after="360"/>
      <w:ind w:left="864" w:right="864"/>
      <w:jc w:val="center"/>
    </w:pPr>
    <w:rPr>
      <w:i/>
      <w:iCs/>
      <w:color w:val="0F4761" w:themeColor="accent1" w:themeShade="BF"/>
    </w:rPr>
  </w:style>
  <w:style w:type="character" w:styleId="IntenseQuoteChar" w:customStyle="1">
    <w:name w:val="Intense Quote Char"/>
    <w:basedOn w:val="DefaultParagraphFont"/>
    <w:link w:val="IntenseQuote"/>
    <w:uiPriority w:val="30"/>
    <w:rsid w:val="00B20E0C"/>
    <w:rPr>
      <w:i/>
      <w:iCs/>
      <w:color w:val="0F4761" w:themeColor="accent1" w:themeShade="BF"/>
    </w:rPr>
  </w:style>
  <w:style w:type="character" w:styleId="IntenseReference">
    <w:name w:val="Intense Reference"/>
    <w:basedOn w:val="DefaultParagraphFont"/>
    <w:uiPriority w:val="32"/>
    <w:qFormat/>
    <w:rsid w:val="00B20E0C"/>
    <w:rPr>
      <w:b/>
      <w:bCs/>
      <w:smallCaps/>
      <w:color w:val="0F4761" w:themeColor="accent1" w:themeShade="BF"/>
      <w:spacing w:val="5"/>
    </w:rPr>
  </w:style>
  <w:style w:type="paragraph" w:styleId="Header">
    <w:name w:val="header"/>
    <w:basedOn w:val="Normal"/>
    <w:link w:val="HeaderChar"/>
    <w:uiPriority w:val="99"/>
    <w:unhideWhenUsed/>
    <w:rsid w:val="00CD2583"/>
    <w:pPr>
      <w:tabs>
        <w:tab w:val="center" w:pos="4513"/>
        <w:tab w:val="right" w:pos="9026"/>
      </w:tabs>
      <w:spacing w:after="0" w:line="240" w:lineRule="auto"/>
    </w:pPr>
  </w:style>
  <w:style w:type="character" w:styleId="HeaderChar" w:customStyle="1">
    <w:name w:val="Header Char"/>
    <w:basedOn w:val="DefaultParagraphFont"/>
    <w:link w:val="Header"/>
    <w:uiPriority w:val="99"/>
    <w:rsid w:val="00CD2583"/>
  </w:style>
  <w:style w:type="paragraph" w:styleId="Footer">
    <w:name w:val="footer"/>
    <w:basedOn w:val="Normal"/>
    <w:link w:val="FooterChar"/>
    <w:uiPriority w:val="99"/>
    <w:unhideWhenUsed/>
    <w:rsid w:val="00CD2583"/>
    <w:pPr>
      <w:tabs>
        <w:tab w:val="center" w:pos="4513"/>
        <w:tab w:val="right" w:pos="9026"/>
      </w:tabs>
      <w:spacing w:after="0" w:line="240" w:lineRule="auto"/>
    </w:pPr>
  </w:style>
  <w:style w:type="character" w:styleId="FooterChar" w:customStyle="1">
    <w:name w:val="Footer Char"/>
    <w:basedOn w:val="DefaultParagraphFont"/>
    <w:link w:val="Footer"/>
    <w:uiPriority w:val="99"/>
    <w:rsid w:val="00CD258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&#65279;<?xml version="1.0" encoding="utf-8"?><Relationships xmlns="http://schemas.openxmlformats.org/package/2006/relationships"><Relationship Type="http://schemas.microsoft.com/office/2020/10/relationships/intelligence" Target="intelligence2.xml" Id="rId8" /><Relationship Type="http://schemas.openxmlformats.org/officeDocument/2006/relationships/webSettings" Target="webSettings.xml" Id="rId3" /><Relationship Type="http://schemas.openxmlformats.org/officeDocument/2006/relationships/theme" Target="theme/theme1.xml" Id="rId7" /><Relationship Type="http://schemas.openxmlformats.org/officeDocument/2006/relationships/settings" Target="settings.xml" Id="rId2" /><Relationship Type="http://schemas.openxmlformats.org/officeDocument/2006/relationships/styles" Target="styles.xml" Id="rId1" /><Relationship Type="http://schemas.openxmlformats.org/officeDocument/2006/relationships/fontTable" Target="fontTable.xml" Id="rId6" /><Relationship Type="http://schemas.openxmlformats.org/officeDocument/2006/relationships/endnotes" Target="endnotes.xml" Id="rId5" /><Relationship Type="http://schemas.openxmlformats.org/officeDocument/2006/relationships/footnotes" Target="footnotes.xml" Id="rId4" /></Relationships>
</file>

<file path=word/theme/theme1.xml><?xml version="1.0" encoding="utf-8"?>
<a:theme xmlns:a="http://schemas.openxmlformats.org/drawingml/2006/main" xmlns:thm15="http://schemas.microsoft.com/office/thememl/2012/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Sarah Doody (2407283)</dc:creator>
  <keywords/>
  <dc:description/>
  <lastModifiedBy>Sarah Doody (2407283)</lastModifiedBy>
  <revision>3</revision>
  <dcterms:created xsi:type="dcterms:W3CDTF">2026-03-28T09:56:00.0000000Z</dcterms:created>
  <dcterms:modified xsi:type="dcterms:W3CDTF">2026-03-28T12:51:40.1919474Z</dcterms:modified>
</coreProperties>
</file>